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Business Plan, Financials &amp; Pitch Video Review Services | Tony Elumelu Foundation</w:t>
      </w:r>
    </w:p>
    <w:p>
      <w:pPr>
        <w:pStyle w:val="Heading2"/>
      </w:pPr>
      <w:r>
        <w:t xml:space="preserve">1 Executive summary</w:t>
      </w:r>
    </w:p>
    <w:p>
      <w:pPr/>
      <w:r>
        <w:t xml:space="preserve">Smart Investment has operated from Sierra Leone since 2001, delivering ICT, infrastructure and institutional consultancy services across West Africa. Smart Impact Consult (SIC) is the group’s boutique impact-investment practice, working across Kenya and Sierra Leone in fund advisory, DFI advisory, technical assistance to funds, impact measurement and reporting, and applied research published through its own Insights Hub at smartimpactconsult.com.</w:t>
      </w:r>
    </w:p>
    <w:p>
      <w:pPr/>
      <w:r>
        <w:t xml:space="preserve">The Foundation’s review criteria are financial understanding, entrepreneurial mindset, and the feasibility, demand and scalability of the business idea. These are the questions an investor asks. We therefore propose to run the review as an investment screen, not a proofreading exercise: five scored dimensions on an anchored 1–5 rubric, an arithmetic and consistency check on every financial model, a second reviewer on a sampled share of submissions, and written feedback each entrepreneur can act on.</w:t>
      </w:r>
    </w:p>
    <w:p>
      <w:pPr/>
      <w:r>
        <w:t xml:space="preserve">The Foundation receives, for every submission:</w:t>
      </w:r>
    </w:p>
    <w:p>
      <w:pPr>
        <w:pStyle w:val="ListParagraph"/>
        <w:numPr>
          <w:ilvl w:val="0"/>
          <w:numId w:val="2"/>
        </w:numPr>
      </w:pPr>
      <w:r>
        <w:t xml:space="preserve">a scored review of the business plan, the financials and the pitch video;</w:t>
      </w:r>
    </w:p>
    <w:p>
      <w:pPr>
        <w:pStyle w:val="ListParagraph"/>
        <w:numPr>
          <w:ilvl w:val="0"/>
          <w:numId w:val="2"/>
        </w:numPr>
      </w:pPr>
      <w:r>
        <w:t xml:space="preserve">a one-page feedback note naming three strengths and three priority improvements;</w:t>
      </w:r>
    </w:p>
    <w:p>
      <w:pPr>
        <w:pStyle w:val="ListParagraph"/>
        <w:numPr>
          <w:ilvl w:val="0"/>
          <w:numId w:val="2"/>
        </w:numPr>
      </w:pPr>
      <w:r>
        <w:t xml:space="preserve">video notes covering message, structure and production, not only content;</w:t>
      </w:r>
    </w:p>
    <w:p>
      <w:pPr>
        <w:pStyle w:val="ListParagraph"/>
        <w:numPr>
          <w:ilvl w:val="0"/>
          <w:numId w:val="2"/>
        </w:numPr>
      </w:pPr>
      <w:r>
        <w:t xml:space="preserve">and, for each cohort, a report on the patterns across submissions: where plans are strong, where models break, and what training would fix.</w:t>
      </w:r>
    </w:p>
    <w:p>
      <w:pPr/>
      <w:r>
        <w:t xml:space="preserve">We are placed to do this for four reasons. We assess ventures for a living: we have assessed 64+ investment propositions from fourteen African markets seeking USD 344m in aggregate capital against a consistent framework. We read financial models: our team has built portfolio data systems and ESG diligence for acquisitions. We know the founder’s side: through the Capital Ignition Workshop Series we engaged 115 founders, and we built the fundraising strategy that secured 2+ investors for Protein Kenya in under 60 days. And we judge pitch videos as a craft: Regina Love Clarkson, who leads the team, has video editing experience, and our Head of Design, Damilare Jegede, leads visual communication across all client-facing work.</w:t>
      </w:r>
    </w:p>
    <w:p>
      <w:pPr/>
      <w:r>
        <w:t xml:space="preserve">Our working hypothesis, to be tested in a calibration batch before full volume, is that the weakest part of most early-stage submissions is not the idea but the arithmetic and the evidence of demand, and that a review which finds and explains those two gaps lifts the whole cohort.</w:t>
      </w:r>
    </w:p>
    <w:p>
      <w:pPr>
        <w:pStyle w:val="Heading2"/>
      </w:pPr>
      <w:r>
        <w:t xml:space="preserve">2 Our understanding of the assignment</w:t>
      </w:r>
    </w:p>
    <w:p>
      <w:pPr/>
      <w:r>
        <w:t xml:space="preserve">The Tony Elumelu Foundation Entrepreneurship Programme takes African entrepreneurs, with ideas or businesses not older than five years, from application to seed funding through five phases. The review we are asked to provide sits in the last of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What happens</w:t>
            </w:r>
          </w:p>
        </w:tc>
        <w:tc>
          <w:tcPr>
            <w:tcW w:w="3120" w:type="dxa"/>
            <w:shd w:val="clear" w:color="auto" w:fill="F2F2F2"/>
          </w:tcPr>
          <w:p>
            <w:pPr/>
            <w:r>
              <w:t xml:space="preserve">Where this assignment sits</w:t>
            </w:r>
          </w:p>
        </w:tc>
      </w:tr>
      <w:tr>
        <w:tc>
          <w:tcPr>
            <w:tcW w:w="3120" w:type="dxa"/>
          </w:tcPr>
          <w:p>
            <w:pPr/>
            <w:r>
              <w:t xml:space="preserve">Application</w:t>
            </w:r>
          </w:p>
        </w:tc>
        <w:tc>
          <w:tcPr>
            <w:tcW w:w="3120" w:type="dxa"/>
          </w:tcPr>
          <w:p>
            <w:pPr/>
            <w:r>
              <w:t xml:space="preserve">Entrepreneurs apply on TEFConnect</w:t>
            </w:r>
          </w:p>
        </w:tc>
        <w:tc>
          <w:tcPr>
            <w:tcW w:w="3120" w:type="dxa"/>
          </w:tcPr>
          <w:p>
            <w:pPr/>
            <w:r>
              <w:t xml:space="preserve">Upstream</w:t>
            </w:r>
          </w:p>
        </w:tc>
      </w:tr>
      <w:tr>
        <w:tc>
          <w:tcPr>
            <w:tcW w:w="3120" w:type="dxa"/>
          </w:tcPr>
          <w:p>
            <w:pPr/>
            <w:r>
              <w:t xml:space="preserve">Due diligence</w:t>
            </w:r>
          </w:p>
        </w:tc>
        <w:tc>
          <w:tcPr>
            <w:tcW w:w="3120" w:type="dxa"/>
          </w:tcPr>
          <w:p>
            <w:pPr/>
            <w:r>
              <w:t xml:space="preserve">Application review, world check, physical verification</w:t>
            </w:r>
          </w:p>
        </w:tc>
        <w:tc>
          <w:tcPr>
            <w:tcW w:w="3120" w:type="dxa"/>
          </w:tcPr>
          <w:p>
            <w:pPr/>
            <w:r>
              <w:t xml:space="preserve">Upstream</w:t>
            </w:r>
          </w:p>
        </w:tc>
      </w:tr>
      <w:tr>
        <w:tc>
          <w:tcPr>
            <w:tcW w:w="3120" w:type="dxa"/>
          </w:tcPr>
          <w:p>
            <w:pPr/>
            <w:r>
              <w:t xml:space="preserve">Shortlisting</w:t>
            </w:r>
          </w:p>
        </w:tc>
        <w:tc>
          <w:tcPr>
            <w:tcW w:w="3120" w:type="dxa"/>
          </w:tcPr>
          <w:p>
            <w:pPr/>
            <w:r>
              <w:t xml:space="preserve">Shortlist and selection announced</w:t>
            </w:r>
          </w:p>
        </w:tc>
        <w:tc>
          <w:tcPr>
            <w:tcW w:w="3120" w:type="dxa"/>
          </w:tcPr>
          <w:p>
            <w:pPr/>
            <w:r>
              <w:t xml:space="preserve">Upstream</w:t>
            </w:r>
          </w:p>
        </w:tc>
      </w:tr>
      <w:tr>
        <w:tc>
          <w:tcPr>
            <w:tcW w:w="3120" w:type="dxa"/>
          </w:tcPr>
          <w:p>
            <w:pPr/>
            <w:r>
              <w:t xml:space="preserve">Training</w:t>
            </w:r>
          </w:p>
        </w:tc>
        <w:tc>
          <w:tcPr>
            <w:tcW w:w="3120" w:type="dxa"/>
          </w:tcPr>
          <w:p>
            <w:pPr/>
            <w:r>
              <w:t xml:space="preserve">TEF training, mentors, coaching</w:t>
            </w:r>
          </w:p>
        </w:tc>
        <w:tc>
          <w:tcPr>
            <w:tcW w:w="3120" w:type="dxa"/>
          </w:tcPr>
          <w:p>
            <w:pPr/>
            <w:r>
              <w:t xml:space="preserve">Informs what we review against</w:t>
            </w:r>
          </w:p>
        </w:tc>
      </w:tr>
      <w:tr>
        <w:tc>
          <w:tcPr>
            <w:tcW w:w="3120" w:type="dxa"/>
          </w:tcPr>
          <w:p>
            <w:pPr/>
            <w:r>
              <w:t xml:space="preserve">Investment readiness</w:t>
            </w:r>
          </w:p>
        </w:tc>
        <w:tc>
          <w:tcPr>
            <w:tcW w:w="3120" w:type="dxa"/>
          </w:tcPr>
          <w:p>
            <w:pPr/>
            <w:r>
              <w:t xml:space="preserve">Business plan, financial projections and a pitch video are submitted</w:t>
            </w:r>
          </w:p>
        </w:tc>
        <w:tc>
          <w:tcPr>
            <w:tcW w:w="3120" w:type="dxa"/>
          </w:tcPr>
          <w:p>
            <w:pPr/>
            <w:r>
              <w:rPr>
                <w:b/>
              </w:rPr>
              <w:t xml:space="preserve">Our review: business plan, financials, pitch video</w:t>
            </w:r>
          </w:p>
        </w:tc>
      </w:tr>
    </w:tbl>
    <w:p>
      <w:pPr/>
      <w:r>
        <w:t xml:space="preserve">The scale is the first design constraint. The 2026 programme selected about 3,200 entrepreneurs from more than 265,000 applications, each eligible for USD 5,000 of non-repayable seed capital, and funds them in four cohorts through the year. Review demand therefore arrives in waves, not evenly.</w:t>
      </w:r>
    </w:p>
    <w:p>
      <w:pPr/>
      <w:r>
        <w:t xml:space="preserve">We draw three consequences from this:</w:t>
      </w:r>
    </w:p>
    <w:p>
      <w:pPr>
        <w:pStyle w:val="ListParagraph"/>
        <w:numPr>
          <w:ilvl w:val="0"/>
          <w:numId w:val="3"/>
        </w:numPr>
      </w:pPr>
      <w:r>
        <w:rPr>
          <w:b/>
        </w:rPr>
        <w:t xml:space="preserve">Consistency matters more than brilliance.</w:t>
      </w:r>
      <w:r>
        <w:t xml:space="preserve"> Reviewers will change between cohorts. Entrepreneurs in different countries and sectors must be judged by the same anchored rubric, or the scores cannot be compared.</w:t>
      </w:r>
    </w:p>
    <w:p>
      <w:pPr>
        <w:pStyle w:val="ListParagraph"/>
        <w:numPr>
          <w:ilvl w:val="0"/>
          <w:numId w:val="3"/>
        </w:numPr>
      </w:pPr>
      <w:r>
        <w:rPr>
          <w:b/>
        </w:rPr>
        <w:t xml:space="preserve">Feedback is the product.</w:t>
      </w:r>
      <w:r>
        <w:t xml:space="preserve"> The Foundation asks for feedback and for areas for improvement to be identified. A score without an explanation of what to fix wastes the entrepreneur’s next training week.</w:t>
      </w:r>
    </w:p>
    <w:p>
      <w:pPr>
        <w:pStyle w:val="ListParagraph"/>
        <w:numPr>
          <w:ilvl w:val="0"/>
          <w:numId w:val="3"/>
        </w:numPr>
      </w:pPr>
      <w:r>
        <w:rPr>
          <w:b/>
        </w:rPr>
        <w:t xml:space="preserve">The pitch video is evidence too.</w:t>
      </w:r>
      <w:r>
        <w:t xml:space="preserve"> A two-to-three-minute video shows whether a founder can state the problem, the customer and the numbers, and whether the person presenting matches the applicant. We review it as both content and production.</w:t>
      </w:r>
    </w:p>
    <w:p>
      <w:pPr/>
      <w:r>
        <w:t xml:space="preserve">This proposal is written against the Foundation’s call of October 2026 and the public programme terms. We will confirm volumes, cohort dates, languages and file formats at inception.</w:t>
      </w:r>
    </w:p>
    <w:p>
      <w:pPr>
        <w:pStyle w:val="Heading2"/>
      </w:pPr>
      <w:r>
        <w:t xml:space="preserve">3 Review framework</w:t>
      </w:r>
    </w:p>
    <w:p>
      <w:pPr/>
      <w:r>
        <w:t xml:space="preserve">We score every submission on six dimensions. Five map directly to the Foundation’s stated criteria; the sixth covers the pitch video. Weights are our proposal and are open to the Foundation’s own priorities.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Dimension</w:t>
            </w:r>
          </w:p>
        </w:tc>
        <w:tc>
          <w:tcPr>
            <w:tcW w:w="2340" w:type="dxa"/>
            <w:shd w:val="clear" w:color="auto" w:fill="F2F2F2"/>
          </w:tcPr>
          <w:p>
            <w:pPr/>
            <w:r>
              <w:t xml:space="preserve">Foundation criterion</w:t>
            </w:r>
          </w:p>
        </w:tc>
        <w:tc>
          <w:tcPr>
            <w:tcW w:w="2340" w:type="dxa"/>
            <w:shd w:val="clear" w:color="auto" w:fill="F2F2F2"/>
          </w:tcPr>
          <w:p>
            <w:pPr/>
            <w:r>
              <w:t xml:space="preserve">What we test</w:t>
            </w:r>
          </w:p>
        </w:tc>
        <w:tc>
          <w:tcPr>
            <w:tcW w:w="2340" w:type="dxa"/>
            <w:shd w:val="clear" w:color="auto" w:fill="F2F2F2"/>
          </w:tcPr>
          <w:p>
            <w:pPr/>
            <w:r>
              <w:t xml:space="preserve">Proposed weight</w:t>
            </w:r>
          </w:p>
        </w:tc>
      </w:tr>
      <w:tr>
        <w:tc>
          <w:tcPr>
            <w:tcW w:w="2340" w:type="dxa"/>
          </w:tcPr>
          <w:p>
            <w:pPr/>
            <w:r>
              <w:t xml:space="preserve">Financial viability</w:t>
            </w:r>
          </w:p>
        </w:tc>
        <w:tc>
          <w:tcPr>
            <w:tcW w:w="2340" w:type="dxa"/>
          </w:tcPr>
          <w:p>
            <w:pPr/>
            <w:r>
              <w:t xml:space="preserve">Financial understanding</w:t>
            </w:r>
          </w:p>
        </w:tc>
        <w:tc>
          <w:tcPr>
            <w:tcW w:w="2340" w:type="dxa"/>
          </w:tcPr>
          <w:p>
            <w:pPr/>
            <w:r>
              <w:t xml:space="preserve">Revenue and cost assumptions stated and sourced; arithmetic correct; cash-flow, break-even and use of the USD 5,000 seed capital shown</w:t>
            </w:r>
          </w:p>
        </w:tc>
        <w:tc>
          <w:tcPr>
            <w:tcW w:w="2340" w:type="dxa"/>
          </w:tcPr>
          <w:p>
            <w:pPr/>
            <w:r>
              <w:t xml:space="preserve">25%</w:t>
            </w:r>
          </w:p>
        </w:tc>
      </w:tr>
      <w:tr>
        <w:tc>
          <w:tcPr>
            <w:tcW w:w="2340" w:type="dxa"/>
          </w:tcPr>
          <w:p>
            <w:pPr/>
            <w:r>
              <w:t xml:space="preserve">Demand</w:t>
            </w:r>
          </w:p>
        </w:tc>
        <w:tc>
          <w:tcPr>
            <w:tcW w:w="2340" w:type="dxa"/>
          </w:tcPr>
          <w:p>
            <w:pPr/>
            <w:r>
              <w:t xml:space="preserve">Demand</w:t>
            </w:r>
          </w:p>
        </w:tc>
        <w:tc>
          <w:tcPr>
            <w:tcW w:w="2340" w:type="dxa"/>
          </w:tcPr>
          <w:p>
            <w:pPr/>
            <w:r>
              <w:t xml:space="preserve">Named customer, evidence of willingness to pay (sales, pre-orders, interviews), size of the reachable market</w:t>
            </w:r>
          </w:p>
        </w:tc>
        <w:tc>
          <w:tcPr>
            <w:tcW w:w="2340" w:type="dxa"/>
          </w:tcPr>
          <w:p>
            <w:pPr/>
            <w:r>
              <w:t xml:space="preserve">20%</w:t>
            </w:r>
          </w:p>
        </w:tc>
      </w:tr>
      <w:tr>
        <w:tc>
          <w:tcPr>
            <w:tcW w:w="2340" w:type="dxa"/>
          </w:tcPr>
          <w:p>
            <w:pPr/>
            <w:r>
              <w:t xml:space="preserve">Feasibility</w:t>
            </w:r>
          </w:p>
        </w:tc>
        <w:tc>
          <w:tcPr>
            <w:tcW w:w="2340" w:type="dxa"/>
          </w:tcPr>
          <w:p>
            <w:pPr/>
            <w:r>
              <w:t xml:space="preserve">Feasibility</w:t>
            </w:r>
          </w:p>
        </w:tc>
        <w:tc>
          <w:tcPr>
            <w:tcW w:w="2340" w:type="dxa"/>
          </w:tcPr>
          <w:p>
            <w:pPr/>
            <w:r>
              <w:t xml:space="preserve">Operations, suppliers, licences, timeline and team able to deliver what the plan promises</w:t>
            </w:r>
          </w:p>
        </w:tc>
        <w:tc>
          <w:tcPr>
            <w:tcW w:w="2340" w:type="dxa"/>
          </w:tcPr>
          <w:p>
            <w:pPr/>
            <w:r>
              <w:t xml:space="preserve">20%</w:t>
            </w:r>
          </w:p>
        </w:tc>
      </w:tr>
      <w:tr>
        <w:tc>
          <w:tcPr>
            <w:tcW w:w="2340" w:type="dxa"/>
          </w:tcPr>
          <w:p>
            <w:pPr/>
            <w:r>
              <w:t xml:space="preserve">Scalability</w:t>
            </w:r>
          </w:p>
        </w:tc>
        <w:tc>
          <w:tcPr>
            <w:tcW w:w="2340" w:type="dxa"/>
          </w:tcPr>
          <w:p>
            <w:pPr/>
            <w:r>
              <w:t xml:space="preserve">Scalability</w:t>
            </w:r>
          </w:p>
        </w:tc>
        <w:tc>
          <w:tcPr>
            <w:tcW w:w="2340" w:type="dxa"/>
          </w:tcPr>
          <w:p>
            <w:pPr/>
            <w:r>
              <w:t xml:space="preserve">Path from first customers to ten times as many; what changes in cost and delivery as it grows</w:t>
            </w:r>
          </w:p>
        </w:tc>
        <w:tc>
          <w:tcPr>
            <w:tcW w:w="2340" w:type="dxa"/>
          </w:tcPr>
          <w:p>
            <w:pPr/>
            <w:r>
              <w:t xml:space="preserve">15%</w:t>
            </w:r>
          </w:p>
        </w:tc>
      </w:tr>
      <w:tr>
        <w:tc>
          <w:tcPr>
            <w:tcW w:w="2340" w:type="dxa"/>
          </w:tcPr>
          <w:p>
            <w:pPr/>
            <w:r>
              <w:t xml:space="preserve">Entrepreneur</w:t>
            </w:r>
          </w:p>
        </w:tc>
        <w:tc>
          <w:tcPr>
            <w:tcW w:w="2340" w:type="dxa"/>
          </w:tcPr>
          <w:p>
            <w:pPr/>
            <w:r>
              <w:t xml:space="preserve">Entrepreneurial mindset</w:t>
            </w:r>
          </w:p>
        </w:tc>
        <w:tc>
          <w:tcPr>
            <w:tcW w:w="2340" w:type="dxa"/>
          </w:tcPr>
          <w:p>
            <w:pPr/>
            <w:r>
              <w:t xml:space="preserve">Evidence of action taken, learning from setbacks, ownership of the numbers</w:t>
            </w:r>
          </w:p>
        </w:tc>
        <w:tc>
          <w:tcPr>
            <w:tcW w:w="2340" w:type="dxa"/>
          </w:tcPr>
          <w:p>
            <w:pPr/>
            <w:r>
              <w:t xml:space="preserve">10%</w:t>
            </w:r>
          </w:p>
        </w:tc>
      </w:tr>
      <w:tr>
        <w:tc>
          <w:tcPr>
            <w:tcW w:w="2340" w:type="dxa"/>
          </w:tcPr>
          <w:p>
            <w:pPr/>
            <w:r>
              <w:t xml:space="preserve">Pitch video</w:t>
            </w:r>
          </w:p>
        </w:tc>
        <w:tc>
          <w:tcPr>
            <w:tcW w:w="2340" w:type="dxa"/>
          </w:tcPr>
          <w:p>
            <w:pPr/>
            <w:r>
              <w:t xml:space="preserve">(video review)</w:t>
            </w:r>
          </w:p>
        </w:tc>
        <w:tc>
          <w:tcPr>
            <w:tcW w:w="2340" w:type="dxa"/>
          </w:tcPr>
          <w:p>
            <w:pPr/>
            <w:r>
              <w:t xml:space="preserve">Problem, customer, solution and numbers stated clearly within the time limit; delivery, audio, framing and structure</w:t>
            </w:r>
          </w:p>
        </w:tc>
        <w:tc>
          <w:tcPr>
            <w:tcW w:w="2340" w:type="dxa"/>
          </w:tcPr>
          <w:p>
            <w:pPr/>
            <w:r>
              <w:t xml:space="preserve">10%</w:t>
            </w:r>
          </w:p>
        </w:tc>
      </w:tr>
    </w:tbl>
    <w:p>
      <w:pPr/>
      <w:r>
        <w:t xml:space="preserve">Each dimension is scored 1–5 against written anchors, so that a 2 and a 4 mean the same thing to every reviewer. A score of 1 means the element is missing or contradicted by the plan; 3 means present but unevidenced; 5 means evidenced and internally consistent. A score carries a one-line reason, and any score of 4 or 5 on demand or financial viability must cite the evidence in the plan.</w:t>
      </w:r>
    </w:p>
    <w:p>
      <w:pPr/>
      <w:r>
        <w:rPr>
          <w:b/>
        </w:rPr>
        <w:t xml:space="preserve">Financial model checks.</w:t>
      </w:r>
      <w:r>
        <w:t xml:space="preserve"> Every model passes the same checks: totals and subtotals reconcile; revenue follows from stated volume and price; costs include the founder’s own time and the cost of acquiring customers; month-by-month cash never goes negative without a stated source of funds; and the seed capital is allocated to specific items. We report failures by cell reference so that the entrepreneur can fix them.</w:t>
      </w:r>
    </w:p>
    <w:p>
      <w:pPr/>
      <w:r>
        <w:rPr>
          <w:b/>
        </w:rPr>
        <w:t xml:space="preserve">Pitch video review.</w:t>
      </w:r>
      <w:r>
        <w:t xml:space="preserve"> We check the video against the Foundation’s requirements, including length and that the person presenting matches the applicant. We then give editing-level feedback: whether the first ten seconds state the problem, whether the numbers on screen match the plan, and whether audio, lighting and captions let a reviewer follow without effort.</w:t>
      </w:r>
    </w:p>
    <w:p>
      <w:pPr/>
      <w:r>
        <w:rPr>
          <w:b/>
        </w:rPr>
        <w:t xml:space="preserve">How this compares with industry practice.</w:t>
      </w:r>
      <w:r>
        <w:t xml:space="preserve"> Investor-readiness screens in common use test the same ground. The framework below adopts their common dimensions and adapts them to seed-stage ventures reviewed at volume.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Reference practice</w:t>
            </w:r>
          </w:p>
        </w:tc>
        <w:tc>
          <w:tcPr>
            <w:tcW w:w="3120" w:type="dxa"/>
            <w:shd w:val="clear" w:color="auto" w:fill="F2F2F2"/>
          </w:tcPr>
          <w:p>
            <w:pPr/>
            <w:r>
              <w:t xml:space="preserve">Dimensions it covers</w:t>
            </w:r>
          </w:p>
        </w:tc>
        <w:tc>
          <w:tcPr>
            <w:tcW w:w="3120" w:type="dxa"/>
            <w:shd w:val="clear" w:color="auto" w:fill="F2F2F2"/>
          </w:tcPr>
          <w:p>
            <w:pPr/>
            <w:r>
              <w:t xml:space="preserve">What we adopt or change</w:t>
            </w:r>
          </w:p>
        </w:tc>
      </w:tr>
      <w:tr>
        <w:tc>
          <w:tcPr>
            <w:tcW w:w="3120" w:type="dxa"/>
          </w:tcPr>
          <w:p>
            <w:pPr/>
            <w:r>
              <w:t xml:space="preserve">Applyifi investor assessment</w:t>
            </w:r>
          </w:p>
        </w:tc>
        <w:tc>
          <w:tcPr>
            <w:tcW w:w="3120" w:type="dxa"/>
          </w:tcPr>
          <w:p>
            <w:pPr/>
            <w:r>
              <w:t xml:space="preserve">36-point scorecard with a written report for startups</w:t>
            </w:r>
          </w:p>
        </w:tc>
        <w:tc>
          <w:tcPr>
            <w:tcW w:w="3120" w:type="dxa"/>
          </w:tcPr>
          <w:p>
            <w:pPr/>
            <w:r>
              <w:t xml:space="preserve">Written report per venture; fewer points, so that volume remains reviewable</w:t>
            </w:r>
          </w:p>
        </w:tc>
      </w:tr>
      <w:tr>
        <w:tc>
          <w:tcPr>
            <w:tcW w:w="3120" w:type="dxa"/>
          </w:tcPr>
          <w:p>
            <w:pPr/>
            <w:r>
              <w:t xml:space="preserve">European Investment Readiness Scorecard (EEN2EIC project)</w:t>
            </w:r>
          </w:p>
        </w:tc>
        <w:tc>
          <w:tcPr>
            <w:tcW w:w="3120" w:type="dxa"/>
          </w:tcPr>
          <w:p>
            <w:pPr/>
            <w:r>
              <w:t xml:space="preserve">Team, technology, market, business model, financial planning, sales, scaling</w:t>
            </w:r>
          </w:p>
        </w:tc>
        <w:tc>
          <w:tcPr>
            <w:tcW w:w="3120" w:type="dxa"/>
          </w:tcPr>
          <w:p>
            <w:pPr/>
            <w:r>
              <w:t xml:space="preserve">Same ground, regrouped under the Foundation’s five criteria</w:t>
            </w:r>
          </w:p>
        </w:tc>
      </w:tr>
      <w:tr>
        <w:tc>
          <w:tcPr>
            <w:tcW w:w="3120" w:type="dxa"/>
          </w:tcPr>
          <w:p>
            <w:pPr/>
            <w:r>
              <w:t xml:space="preserve">Investment Readiness Level (Steve Blank)</w:t>
            </w:r>
          </w:p>
        </w:tc>
        <w:tc>
          <w:tcPr>
            <w:tcW w:w="3120" w:type="dxa"/>
          </w:tcPr>
          <w:p>
            <w:pPr/>
            <w:r>
              <w:t xml:space="preserve">Evidence gathered from customers against business-model hypotheses</w:t>
            </w:r>
          </w:p>
        </w:tc>
        <w:tc>
          <w:tcPr>
            <w:tcW w:w="3120" w:type="dxa"/>
          </w:tcPr>
          <w:p>
            <w:pPr/>
            <w:r>
              <w:t xml:space="preserve">Demand scored on evidence from real customers, not on assertion</w:t>
            </w:r>
          </w:p>
        </w:tc>
      </w:tr>
    </w:tbl>
    <w:p>
      <w:pPr/>
      <w:r>
        <w:t xml:space="preserve">Our contribution to the practice is the anchored rubric, the cell-level model checks and the calibration step in the next section, which together make scores comparable across reviewers, countries and cohorts.</w:t>
      </w:r>
    </w:p>
    <w:p>
      <w:pPr/>
      <w:r>
        <w:rPr>
          <w:b/>
        </w:rPr>
        <w:t xml:space="preserve">Using the Foundation’s own scoresheet.</w:t>
      </w:r>
      <w:r>
        <w:t xml:space="preserve"> The Foundation’s application review scores weighted yes/no questions under each criterion. If the Foundation prefers that format for this stage, we will build our rubric into it, so that every score sits on one scale and the Foundation’s team can audit it question by question.</w:t>
      </w:r>
    </w:p>
    <w:p>
      <w:pPr>
        <w:pStyle w:val="Heading2"/>
      </w:pPr>
      <w:r>
        <w:t xml:space="preserve">4 Process and quality assurance</w:t>
      </w:r>
    </w:p>
    <w:p>
      <w:pPr/>
      <w:r>
        <w:t xml:space="preserve">Every submission follows the same six steps. The calibration batch before full volume and the sampled second review after first review are what make scores comparable across reviewers, countries and cohorts.</w:t>
      </w:r>
    </w:p>
    <w:p>
      <w:pPr/>
      <w:r>
        <w:drawing>
          <wp:inline distT="0" distB="0" distL="0" distR="0">
            <wp:extent cx="5486400" cy="2220685"/>
            <wp:docPr id="1" name="image1" descr="review workflow · 6 steps"/>
            <a:graphic xmlns:a="http://schemas.openxmlformats.org/drawingml/2006/main">
              <a:graphicData uri="http://schemas.openxmlformats.org/drawingml/2006/picture">
                <pic:pic xmlns:pic="http://schemas.openxmlformats.org/drawingml/2006/picture">
                  <pic:nvPicPr>
                    <pic:cNvPr id="1" name="image1" descr="review workflow · 6 steps"/>
                    <pic:cNvPicPr/>
                  </pic:nvPicPr>
                  <pic:blipFill>
                    <a:blip r:embed="rId3"/>
                    <a:stretch>
                      <a:fillRect/>
                    </a:stretch>
                  </pic:blipFill>
                  <pic:spPr>
                    <a:xfrm>
                      <a:off x="0" y="0"/>
                      <a:ext cx="5486400" cy="2220685"/>
                    </a:xfrm>
                    <a:prstGeom prst="rect">
                      <a:avLst/>
                    </a:prstGeom>
                  </pic:spPr>
                </pic:pic>
              </a:graphicData>
            </a:graphic>
          </wp:inline>
        </w:drawing>
      </w:r>
    </w:p>
    <w:p>
      <w:pPr/>
      <w:r>
        <w:t xml:space="preserve">review workflow · 6 steps</w:t>
      </w:r>
    </w:p>
    <w:p>
      <w:pPr/>
      <w:r>
        <w:t xml:space="preserve">A gap of more than one point between two reviewers on any dimension goes to the Team Lead, who scores it and records the reason. Reasons are logged and shared with the Foundation, so the rubric can be tightened between cohorts.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Reviewers score differently over time</w:t>
            </w:r>
          </w:p>
        </w:tc>
        <w:tc>
          <w:tcPr>
            <w:tcW w:w="4680" w:type="dxa"/>
          </w:tcPr>
          <w:p>
            <w:pPr/>
            <w:r>
              <w:t xml:space="preserve">Anchored 1–5 rubric; calibration batch scored by every reviewer; sampled second review; reasons logged</w:t>
            </w:r>
          </w:p>
        </w:tc>
      </w:tr>
      <w:tr>
        <w:tc>
          <w:tcPr>
            <w:tcW w:w="4680" w:type="dxa"/>
          </w:tcPr>
          <w:p>
            <w:pPr/>
            <w:r>
              <w:t xml:space="preserve">A cohort arrives larger than planned</w:t>
            </w:r>
          </w:p>
        </w:tc>
        <w:tc>
          <w:tcPr>
            <w:tcW w:w="4680" w:type="dxa"/>
          </w:tcPr>
          <w:p>
            <w:pPr/>
            <w:r>
              <w:t xml:space="preserve">Capacity worked out from the planning rate in Section 7; any additional reviewer scores the calibration batch and passes before scoring live submissions</w:t>
            </w:r>
          </w:p>
        </w:tc>
      </w:tr>
      <w:tr>
        <w:tc>
          <w:tcPr>
            <w:tcW w:w="4680" w:type="dxa"/>
          </w:tcPr>
          <w:p>
            <w:pPr/>
            <w:r>
              <w:t xml:space="preserve">Personal data in IDs, headshots and financials</w:t>
            </w:r>
          </w:p>
        </w:tc>
        <w:tc>
          <w:tcPr>
            <w:tcW w:w="4680" w:type="dxa"/>
          </w:tcPr>
          <w:p>
            <w:pPr/>
            <w:r>
              <w:t xml:space="preserve">Work inside the Foundation’s platform or an encrypted workspace; access by role; nothing copied to personal devices; deletion at close</w:t>
            </w:r>
          </w:p>
        </w:tc>
      </w:tr>
      <w:tr>
        <w:tc>
          <w:tcPr>
            <w:tcW w:w="4680" w:type="dxa"/>
          </w:tcPr>
          <w:p>
            <w:pPr/>
            <w:r>
              <w:t xml:space="preserve">Use of AI tools</w:t>
            </w:r>
          </w:p>
        </w:tc>
        <w:tc>
          <w:tcPr>
            <w:tcW w:w="4680" w:type="dxa"/>
          </w:tcPr>
          <w:p>
            <w:pPr/>
            <w:r>
              <w:t xml:space="preserve">No submission is scored by an AI tool. Tools may check arithmetic and file integrity; a named reviewer makes every judgment</w:t>
            </w:r>
          </w:p>
        </w:tc>
      </w:tr>
      <w:tr>
        <w:tc>
          <w:tcPr>
            <w:tcW w:w="4680" w:type="dxa"/>
          </w:tcPr>
          <w:p>
            <w:pPr/>
            <w:r>
              <w:t xml:space="preserve">Plans in languages beyond English, French and Arabic</w:t>
            </w:r>
          </w:p>
        </w:tc>
        <w:tc>
          <w:tcPr>
            <w:tcW w:w="4680" w:type="dxa"/>
          </w:tcPr>
          <w:p>
            <w:pPr/>
            <w:r>
              <w:t xml:space="preserve">Translation arrangements agreed at inception</w:t>
            </w:r>
          </w:p>
        </w:tc>
      </w:tr>
      <w:tr>
        <w:tc>
          <w:tcPr>
            <w:tcW w:w="4680" w:type="dxa"/>
          </w:tcPr>
          <w:p>
            <w:pPr/>
            <w:r>
              <w:t xml:space="preserve">Templated or copied plans</w:t>
            </w:r>
          </w:p>
        </w:tc>
        <w:tc>
          <w:tcPr>
            <w:tcW w:w="4680" w:type="dxa"/>
          </w:tcPr>
          <w:p>
            <w:pPr/>
            <w:r>
              <w:t xml:space="preserve">Flagged to the Foundation with the evidence, without penalty by default</w:t>
            </w:r>
          </w:p>
        </w:tc>
      </w:tr>
      <w:tr>
        <w:tc>
          <w:tcPr>
            <w:tcW w:w="4680" w:type="dxa"/>
          </w:tcPr>
          <w:p>
            <w:pPr/>
            <w:r>
              <w:t xml:space="preserve">Presenter in the video does not match the applicant</w:t>
            </w:r>
          </w:p>
        </w:tc>
        <w:tc>
          <w:tcPr>
            <w:tcW w:w="4680" w:type="dxa"/>
          </w:tcPr>
          <w:p>
            <w:pPr/>
            <w:r>
              <w:t xml:space="preserve">Flagged to the Foundation for its own verification; we do not decide eligibility</w:t>
            </w:r>
          </w:p>
        </w:tc>
      </w:tr>
    </w:tbl>
    <w:p>
      <w:pPr/>
      <w:r>
        <w:rPr>
          <w:b/>
        </w:rPr>
        <w:t xml:space="preserve">Reporting.</w:t>
      </w:r>
      <w:r>
        <w:t xml:space="preserve"> We will agree a weekly meeting with the Foundation’s team to review progress, numbers and insights, and share a live tracker showing how many submissions are received, reviewed, second-reviewed and delivered. At the end of the exercise we hand over the full methodology, evaluation, scoresheets and final lists.</w:t>
      </w:r>
    </w:p>
    <w:p>
      <w:pPr/>
      <w:r>
        <w:rPr>
          <w:b/>
        </w:rPr>
        <w:t xml:space="preserve">Confidentiality and intellectual property.</w:t>
      </w:r>
      <w:r>
        <w:t xml:space="preserve"> All information the Foundation shares with us remains its property. We use it only for this assignment and disclose nothing to the public or any third party without the Foundation’s written permission.</w:t>
      </w:r>
    </w:p>
    <w:p>
      <w:pPr>
        <w:pStyle w:val="Heading2"/>
      </w:pPr>
      <w:r>
        <w:t xml:space="preserve">5 Team</w:t>
      </w:r>
    </w:p>
    <w:p>
      <w:pPr/>
      <w:r>
        <w:t xml:space="preserve">Seven consultants, each placed where their experience is strongest. The team is women-led, with members across Sierra Leone, Kenya, the United Kingdom and the United States, and no submission is judged by one reader alone.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Consultant</w:t>
            </w:r>
          </w:p>
        </w:tc>
        <w:tc>
          <w:tcPr>
            <w:tcW w:w="3120" w:type="dxa"/>
            <w:shd w:val="clear" w:color="auto" w:fill="F2F2F2"/>
          </w:tcPr>
          <w:p>
            <w:pPr/>
            <w:r>
              <w:t xml:space="preserve">Role</w:t>
            </w:r>
          </w:p>
        </w:tc>
        <w:tc>
          <w:tcPr>
            <w:tcW w:w="3120" w:type="dxa"/>
            <w:shd w:val="clear" w:color="auto" w:fill="F2F2F2"/>
          </w:tcPr>
          <w:p>
            <w:pPr/>
            <w:r>
              <w:t xml:space="preserve">Relevant experience</w:t>
            </w:r>
          </w:p>
        </w:tc>
      </w:tr>
      <w:tr>
        <w:tc>
          <w:tcPr>
            <w:tcW w:w="3120" w:type="dxa"/>
          </w:tcPr>
          <w:p>
            <w:pPr/>
            <w:r>
              <w:t xml:space="preserve">Regina Love Clarkson</w:t>
            </w:r>
          </w:p>
        </w:tc>
        <w:tc>
          <w:tcPr>
            <w:tcW w:w="3120" w:type="dxa"/>
          </w:tcPr>
          <w:p>
            <w:pPr/>
            <w:r>
              <w:t xml:space="preserve">Team Lead; business plan and financials review; pitch video review</w:t>
            </w:r>
          </w:p>
        </w:tc>
        <w:tc>
          <w:tcPr>
            <w:tcW w:w="3120" w:type="dxa"/>
          </w:tcPr>
          <w:p>
            <w:pPr/>
            <w:r>
              <w:t xml:space="preserve">Founder and Head of Impact Investments, Smart Impact Consult. Fund and Transaction Advisor to the Ministry of Communications, Technology and Innovation, Sierra Leone, for the Sierra Leone Innovation and Investment Fund. African Cohort Fellow, Included VC, serving on three investment committees reviewing more than 150 ventures and chairing the February 2026 committee. Assessed 64+ impact investment propositions from fourteen African markets seeking USD 344m. Co-built Signals Africa, which converts African media data into structured investment signals. Has video editing experience. BSc, Business Information Technology.</w:t>
            </w:r>
          </w:p>
        </w:tc>
      </w:tr>
      <w:tr>
        <w:tc>
          <w:tcPr>
            <w:tcW w:w="3120" w:type="dxa"/>
          </w:tcPr>
          <w:p>
            <w:pPr/>
            <w:r>
              <w:t xml:space="preserve">Caroline McCoy</w:t>
            </w:r>
          </w:p>
        </w:tc>
        <w:tc>
          <w:tcPr>
            <w:tcW w:w="3120" w:type="dxa"/>
          </w:tcPr>
          <w:p>
            <w:pPr/>
            <w:r>
              <w:t xml:space="preserve">Senior reviewer; scoring framework and calibration</w:t>
            </w:r>
          </w:p>
        </w:tc>
        <w:tc>
          <w:tcPr>
            <w:tcW w:w="3120" w:type="dxa"/>
          </w:tcPr>
          <w:p>
            <w:pPr/>
            <w:r>
              <w:t xml:space="preserve">Approximately two decades across institutional capital allocation, grantmaking systems and integrated capital strategy, working between Chicago and Nairobi. As Vice President Programs at Woods Fund Chicago, directed a USD 6m annual portfolio across 80+ organisations and led the redesign of portfolio systems to standardise allocation data across heterogeneous reporting entities. Founder, Red Soil Strategies.</w:t>
            </w:r>
          </w:p>
        </w:tc>
      </w:tr>
      <w:tr>
        <w:tc>
          <w:tcPr>
            <w:tcW w:w="3120" w:type="dxa"/>
          </w:tcPr>
          <w:p>
            <w:pPr/>
            <w:r>
              <w:t xml:space="preserve">Caroline N. Ndegwa</w:t>
            </w:r>
          </w:p>
        </w:tc>
        <w:tc>
          <w:tcPr>
            <w:tcW w:w="3120" w:type="dxa"/>
          </w:tcPr>
          <w:p>
            <w:pPr/>
            <w:r>
              <w:t xml:space="preserve">Senior reviewer; financial models and ESG</w:t>
            </w:r>
          </w:p>
        </w:tc>
        <w:tc>
          <w:tcPr>
            <w:tcW w:w="3120" w:type="dxa"/>
          </w:tcPr>
          <w:p>
            <w:pPr/>
            <w:r>
              <w:t xml:space="preserve">Former ESG and Sustainability Consultant at Ernst &amp; Young, Nairobi. Her diligence findings supported four completed early-stage investments and informed eight acquisitions. Designed seven ESAP/ESMS frameworks, led eleven sustainability reports and built portfolio dashboards in Power BI, Excel and SQL. MSc, Circular Economy and Sustainability.</w:t>
            </w:r>
          </w:p>
        </w:tc>
      </w:tr>
      <w:tr>
        <w:tc>
          <w:tcPr>
            <w:tcW w:w="3120" w:type="dxa"/>
          </w:tcPr>
          <w:p>
            <w:pPr/>
            <w:r>
              <w:t xml:space="preserve">Dr. Perihan Abdelghaly</w:t>
            </w:r>
          </w:p>
        </w:tc>
        <w:tc>
          <w:tcPr>
            <w:tcW w:w="3120" w:type="dxa"/>
          </w:tcPr>
          <w:p>
            <w:pPr/>
            <w:r>
              <w:t xml:space="preserve">Arabic-language reviews; second review on financial viability</w:t>
            </w:r>
          </w:p>
        </w:tc>
        <w:tc>
          <w:tcPr>
            <w:tcW w:w="3120" w:type="dxa"/>
          </w:tcPr>
          <w:p>
            <w:pPr/>
            <w:r>
              <w:t xml:space="preserve">Eighteen years in ESG and sustainable finance across the Middle East and the United Kingdom. Launched and managed MOSTADAM, the first sustainable finance platform in the MENA region; advised 30+ banks and DFIs. PhD, Business Management, Middlesex University. Native Arabic speaker.</w:t>
            </w:r>
          </w:p>
        </w:tc>
      </w:tr>
      <w:tr>
        <w:tc>
          <w:tcPr>
            <w:tcW w:w="3120" w:type="dxa"/>
          </w:tcPr>
          <w:p>
            <w:pPr/>
            <w:r>
              <w:t xml:space="preserve">Boisy V.A. Williams</w:t>
            </w:r>
          </w:p>
        </w:tc>
        <w:tc>
          <w:tcPr>
            <w:tcW w:w="3120" w:type="dxa"/>
          </w:tcPr>
          <w:p>
            <w:pPr/>
            <w:r>
              <w:t xml:space="preserve">French-language reviews; feedback quality and delivery assurance</w:t>
            </w:r>
          </w:p>
        </w:tc>
        <w:tc>
          <w:tcPr>
            <w:tcW w:w="3120" w:type="dxa"/>
          </w:tcPr>
          <w:p>
            <w:pPr/>
            <w:r>
              <w:t xml:space="preserve">Twenty-six years of multi-country programme leadership with the Norwegian Refugee Council, Danish Refugee Council and CARE International, with direct experience of donor reporting to UNHCR, UNICEF, USAID, NORAD, ECHO and WFP. Master of Studies (Social Enterprise &amp; Community Development), University of Cambridge; MBA, Sheffield Hallam. Fluent English, French and Krio.</w:t>
            </w:r>
          </w:p>
        </w:tc>
      </w:tr>
      <w:tr>
        <w:tc>
          <w:tcPr>
            <w:tcW w:w="3120" w:type="dxa"/>
          </w:tcPr>
          <w:p>
            <w:pPr/>
            <w:r>
              <w:t xml:space="preserve">Damilare Jegede</w:t>
            </w:r>
          </w:p>
        </w:tc>
        <w:tc>
          <w:tcPr>
            <w:tcW w:w="3120" w:type="dxa"/>
          </w:tcPr>
          <w:p>
            <w:pPr/>
            <w:r>
              <w:t xml:space="preserve">Pitch video production feedback; feedback and report design</w:t>
            </w:r>
          </w:p>
        </w:tc>
        <w:tc>
          <w:tcPr>
            <w:tcW w:w="3120" w:type="dxa"/>
          </w:tcPr>
          <w:p>
            <w:pPr/>
            <w:r>
              <w:t xml:space="preserve">Lead Impact Design Consultant, Smart Impact Consult. Leads brand identity, visual design and creative direction across all client-facing deliverables, including a full website redesign for AfriGas Sierra Leone.</w:t>
            </w:r>
          </w:p>
        </w:tc>
      </w:tr>
      <w:tr>
        <w:tc>
          <w:tcPr>
            <w:tcW w:w="3120" w:type="dxa"/>
          </w:tcPr>
          <w:p>
            <w:pPr/>
            <w:r>
              <w:t xml:space="preserve">Anastasia Muthoni</w:t>
            </w:r>
          </w:p>
        </w:tc>
        <w:tc>
          <w:tcPr>
            <w:tcW w:w="3120" w:type="dxa"/>
          </w:tcPr>
          <w:p>
            <w:pPr/>
            <w:r>
              <w:t xml:space="preserve">Operations and quality control: intake tracker, turnaround, evidence register, dashboards</w:t>
            </w:r>
          </w:p>
        </w:tc>
        <w:tc>
          <w:tcPr>
            <w:tcW w:w="3120" w:type="dxa"/>
          </w:tcPr>
          <w:p>
            <w:pPr/>
            <w:r>
              <w:t xml:space="preserve">Investment Operations Lead, Smart Impact Consult. BSc, MBA. Creates dashboards for SIC clients and projects; research and writing for SIC reports and articles.</w:t>
            </w:r>
          </w:p>
        </w:tc>
      </w:tr>
    </w:tbl>
    <w:p>
      <w:pPr/>
      <w:r>
        <w:t xml:space="preserve">Languages covered in-house are English, French and Arabic. For other languages we would agree translation arrangements with the Foundation at inception.</w:t>
      </w:r>
    </w:p>
    <w:p>
      <w:pPr>
        <w:pStyle w:val="Heading2"/>
      </w:pPr>
      <w:r>
        <w:t xml:space="preserve">6 Relevant experience</w:t>
      </w:r>
    </w:p>
    <w:p>
      <w:pPr/>
      <w:r>
        <w:t xml:space="preserve">The assignment asks for three skills: judging early-stage ventures, reading their financials, and explaining the result clearly. Our record covers each.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we did</w:t>
            </w:r>
          </w:p>
        </w:tc>
        <w:tc>
          <w:tcPr>
            <w:tcW w:w="3120" w:type="dxa"/>
            <w:shd w:val="clear" w:color="auto" w:fill="F2F2F2"/>
          </w:tcPr>
          <w:p>
            <w:pPr/>
            <w:r>
              <w:t xml:space="preserve">Relevance to this review</w:t>
            </w:r>
          </w:p>
        </w:tc>
      </w:tr>
      <w:tr>
        <w:tc>
          <w:tcPr>
            <w:tcW w:w="3120" w:type="dxa"/>
          </w:tcPr>
          <w:p>
            <w:pPr/>
            <w:r>
              <w:t xml:space="preserve">Capital Ignition Workshop Series</w:t>
            </w:r>
          </w:p>
        </w:tc>
        <w:tc>
          <w:tcPr>
            <w:tcW w:w="3120" w:type="dxa"/>
          </w:tcPr>
          <w:p>
            <w:pPr/>
            <w:r>
              <w:t xml:space="preserve">Engaged 115 founders and assessed 64+ investment propositions from fourteen African markets seeking USD 344m, against a consistent framework</w:t>
            </w:r>
          </w:p>
        </w:tc>
        <w:tc>
          <w:tcPr>
            <w:tcW w:w="3120" w:type="dxa"/>
          </w:tcPr>
          <w:p>
            <w:pPr/>
            <w:r>
              <w:t xml:space="preserve">The same task at smaller scale: one rubric applied to many ventures across many countries</w:t>
            </w:r>
          </w:p>
        </w:tc>
      </w:tr>
      <w:tr>
        <w:tc>
          <w:tcPr>
            <w:tcW w:w="3120" w:type="dxa"/>
          </w:tcPr>
          <w:p>
            <w:pPr/>
            <w:r>
              <w:t xml:space="preserve">Included VC African Cohort Fellowship</w:t>
            </w:r>
          </w:p>
        </w:tc>
        <w:tc>
          <w:tcPr>
            <w:tcW w:w="3120" w:type="dxa"/>
          </w:tcPr>
          <w:p>
            <w:pPr/>
            <w:r>
              <w:t xml:space="preserve">Served on three investment committees reviewing more than 150 ventures; chaired the February 2026 committee</w:t>
            </w:r>
          </w:p>
        </w:tc>
        <w:tc>
          <w:tcPr>
            <w:tcW w:w="3120" w:type="dxa"/>
          </w:tcPr>
          <w:p>
            <w:pPr/>
            <w:r>
              <w:t xml:space="preserve">The investor’s view of what a credible plan and a credible founder look like</w:t>
            </w:r>
          </w:p>
        </w:tc>
      </w:tr>
      <w:tr>
        <w:tc>
          <w:tcPr>
            <w:tcW w:w="3120" w:type="dxa"/>
          </w:tcPr>
          <w:p>
            <w:pPr/>
            <w:r>
              <w:t xml:space="preserve">Protein Kenya</w:t>
            </w:r>
          </w:p>
        </w:tc>
        <w:tc>
          <w:tcPr>
            <w:tcW w:w="3120" w:type="dxa"/>
          </w:tcPr>
          <w:p>
            <w:pPr/>
            <w:r>
              <w:t xml:space="preserve">Built the fundraising strategy and led the Q1 2026 seed-round outreach: 700+ leads and 2+ investors secured in under 60 days</w:t>
            </w:r>
          </w:p>
        </w:tc>
        <w:tc>
          <w:tcPr>
            <w:tcW w:w="3120" w:type="dxa"/>
          </w:tcPr>
          <w:p>
            <w:pPr/>
            <w:r>
              <w:t xml:space="preserve">The founder’s side: what investors ask for, and what makes a pitch land</w:t>
            </w:r>
          </w:p>
        </w:tc>
      </w:tr>
      <w:tr>
        <w:tc>
          <w:tcPr>
            <w:tcW w:w="3120" w:type="dxa"/>
          </w:tcPr>
          <w:p>
            <w:pPr/>
            <w:r>
              <w:t xml:space="preserve">Fishbowl Challenge and Skool Grind SL</w:t>
            </w:r>
          </w:p>
        </w:tc>
        <w:tc>
          <w:tcPr>
            <w:tcW w:w="3120" w:type="dxa"/>
          </w:tcPr>
          <w:p>
            <w:pPr/>
            <w:r>
              <w:t xml:space="preserve">Produced the first five-year social impact report for Fishbowl Challenge and a digital-first annual impact report for Skool Grind SL</w:t>
            </w:r>
          </w:p>
        </w:tc>
        <w:tc>
          <w:tcPr>
            <w:tcW w:w="3120" w:type="dxa"/>
          </w:tcPr>
          <w:p>
            <w:pPr/>
            <w:r>
              <w:t xml:space="preserve">Turning ventures’ own numbers into clear written reports for non-specialist readers</w:t>
            </w:r>
          </w:p>
        </w:tc>
      </w:tr>
      <w:tr>
        <w:tc>
          <w:tcPr>
            <w:tcW w:w="3120" w:type="dxa"/>
          </w:tcPr>
          <w:p>
            <w:pPr/>
            <w:r>
              <w:t xml:space="preserve">Published research</w:t>
            </w:r>
          </w:p>
        </w:tc>
        <w:tc>
          <w:tcPr>
            <w:tcW w:w="3120" w:type="dxa"/>
          </w:tcPr>
          <w:p>
            <w:pPr/>
            <w:r>
              <w:t xml:space="preserve">Research papers on Africa’s impact investment landscape, including </w:t>
            </w:r>
            <w:r>
              <w:rPr>
                <w:i/>
              </w:rPr>
              <w:t xml:space="preserve">The Missing Middle in Africa’s Impact Investing Ecosystem</w:t>
            </w:r>
            <w:r>
              <w:t xml:space="preserve"> and </w:t>
            </w:r>
            <w:r>
              <w:rPr>
                <w:i/>
              </w:rPr>
              <w:t xml:space="preserve">The State of ESG Reporting for Emerging Fund Managers in Africa</w:t>
            </w:r>
            <w:r>
              <w:t xml:space="preserve"> (September 2026)</w:t>
            </w:r>
          </w:p>
        </w:tc>
        <w:tc>
          <w:tcPr>
            <w:tcW w:w="3120" w:type="dxa"/>
          </w:tcPr>
          <w:p>
            <w:pPr/>
            <w:r>
              <w:t xml:space="preserve">Direct knowledge of the finance gap facing the businesses the Foundation backs</w:t>
            </w:r>
          </w:p>
        </w:tc>
      </w:tr>
      <w:tr>
        <w:tc>
          <w:tcPr>
            <w:tcW w:w="3120" w:type="dxa"/>
          </w:tcPr>
          <w:p>
            <w:pPr/>
            <w:r>
              <w:t xml:space="preserve">Portfolio data systems</w:t>
            </w:r>
          </w:p>
        </w:tc>
        <w:tc>
          <w:tcPr>
            <w:tcW w:w="3120" w:type="dxa"/>
          </w:tcPr>
          <w:p>
            <w:pPr/>
            <w:r>
              <w:t xml:space="preserve">Redesigned portfolio systems at Woods Fund Chicago to standardise data across 80+ organisations; built portfolio dashboards in Power BI, Excel and SQL</w:t>
            </w:r>
          </w:p>
        </w:tc>
        <w:tc>
          <w:tcPr>
            <w:tcW w:w="3120" w:type="dxa"/>
          </w:tcPr>
          <w:p>
            <w:pPr/>
            <w:r>
              <w:t xml:space="preserve">Comparable scoring and tracking across a large, varied cohort</w:t>
            </w:r>
          </w:p>
        </w:tc>
      </w:tr>
    </w:tbl>
    <w:p>
      <w:pPr/>
      <w:r>
        <w:rPr>
          <w:b/>
        </w:rPr>
        <w:t xml:space="preserve">Worked example: evidence discipline.</w:t>
      </w:r>
      <w:r>
        <w:t xml:space="preserve"> In preparing a recent multi-country research proposal, we reviewed twenty-four primary sources across ten markets and tested sixteen headline figures against five attributes: definition, measure, sample, currency and period. Ten figures were cleared for use, one was cleared with an explicit caveat and five were excluded. A figure that cannot be verified is reported as unverified, not rounded into a narrative. We apply the same standard to this review: a claim in a business plan that cannot be traced to a source or a customer is marked as unevidenced, and scored accordingly.</w:t>
      </w:r>
    </w:p>
    <w:p>
      <w:pPr>
        <w:pStyle w:val="Heading2"/>
      </w:pPr>
      <w:r>
        <w:t xml:space="preserve">7 Commercials and availability</w:t>
      </w:r>
    </w:p>
    <w:p>
      <w:pPr/>
      <w:r>
        <w:t xml:space="preserve">We propose a fixed price per fully reviewed submission (business plan, financials and pitch video), built up from named consultant days. The Foundation then knows what each review costs and what each cohort costs before it commits.</w:t>
      </w:r>
    </w:p>
    <w:p>
      <w:pPr/>
      <w:r>
        <w:rPr>
          <w:b/>
        </w:rPr>
        <w:t xml:space="preserve">Planning assumptions.</w:t>
      </w:r>
      <w:r>
        <w:t xml:space="preserve"> We assume six first reviews per reviewer-day, a second review on 15% of submissions, and 10% of effort for management and quality control. For every 600 submissions this gives 100 reviewer-days of first review, 15 of second review and about 12 of management and quality control: about 127 days. We will test the six-per-day rate in the calibration batch and report the actual rate before full volume begins.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Consultant</w:t>
            </w:r>
          </w:p>
        </w:tc>
        <w:tc>
          <w:tcPr>
            <w:tcW w:w="3120" w:type="dxa"/>
            <w:shd w:val="clear" w:color="auto" w:fill="F2F2F2"/>
          </w:tcPr>
          <w:p>
            <w:pPr/>
            <w:r>
              <w:t xml:space="preserve">Role</w:t>
            </w:r>
          </w:p>
        </w:tc>
        <w:tc>
          <w:tcPr>
            <w:tcW w:w="3120" w:type="dxa"/>
            <w:shd w:val="clear" w:color="auto" w:fill="F2F2F2"/>
          </w:tcPr>
          <w:p>
            <w:pPr/>
            <w:r>
              <w:t xml:space="preserve">Day rate (USD)</w:t>
            </w:r>
          </w:p>
        </w:tc>
      </w:tr>
      <w:tr>
        <w:tc>
          <w:tcPr>
            <w:tcW w:w="3120" w:type="dxa"/>
          </w:tcPr>
          <w:p>
            <w:pPr/>
            <w:r>
              <w:t xml:space="preserve">Regina Love Clarkson</w:t>
            </w:r>
          </w:p>
        </w:tc>
        <w:tc>
          <w:tcPr>
            <w:tcW w:w="3120" w:type="dxa"/>
          </w:tcPr>
          <w:p>
            <w:pPr/>
            <w:r>
              <w:t xml:space="preserve">Team Lead; final sign-off</w:t>
            </w:r>
          </w:p>
        </w:tc>
        <w:tc>
          <w:tcPr>
            <w:tcW w:w="3120" w:type="dxa"/>
          </w:tcPr>
          <w:p>
            <w:pPr/>
            <w:r>
              <w:t xml:space="preserve">190</w:t>
            </w:r>
          </w:p>
        </w:tc>
      </w:tr>
      <w:tr>
        <w:tc>
          <w:tcPr>
            <w:tcW w:w="3120" w:type="dxa"/>
          </w:tcPr>
          <w:p>
            <w:pPr/>
            <w:r>
              <w:t xml:space="preserve">Caroline McCoy</w:t>
            </w:r>
          </w:p>
        </w:tc>
        <w:tc>
          <w:tcPr>
            <w:tcW w:w="3120" w:type="dxa"/>
          </w:tcPr>
          <w:p>
            <w:pPr/>
            <w:r>
              <w:t xml:space="preserve">Senior reviewer; calibration</w:t>
            </w:r>
          </w:p>
        </w:tc>
        <w:tc>
          <w:tcPr>
            <w:tcW w:w="3120" w:type="dxa"/>
          </w:tcPr>
          <w:p>
            <w:pPr/>
            <w:r>
              <w:t xml:space="preserve">198</w:t>
            </w:r>
          </w:p>
        </w:tc>
      </w:tr>
      <w:tr>
        <w:tc>
          <w:tcPr>
            <w:tcW w:w="3120" w:type="dxa"/>
          </w:tcPr>
          <w:p>
            <w:pPr/>
            <w:r>
              <w:t xml:space="preserve">Caroline N. Ndegwa</w:t>
            </w:r>
          </w:p>
        </w:tc>
        <w:tc>
          <w:tcPr>
            <w:tcW w:w="3120" w:type="dxa"/>
          </w:tcPr>
          <w:p>
            <w:pPr/>
            <w:r>
              <w:t xml:space="preserve">Senior reviewer; financial models</w:t>
            </w:r>
          </w:p>
        </w:tc>
        <w:tc>
          <w:tcPr>
            <w:tcW w:w="3120" w:type="dxa"/>
          </w:tcPr>
          <w:p>
            <w:pPr/>
            <w:r>
              <w:t xml:space="preserve">140</w:t>
            </w:r>
          </w:p>
        </w:tc>
      </w:tr>
      <w:tr>
        <w:tc>
          <w:tcPr>
            <w:tcW w:w="3120" w:type="dxa"/>
          </w:tcPr>
          <w:p>
            <w:pPr/>
            <w:r>
              <w:t xml:space="preserve">Dr. Perihan Abdelghaly</w:t>
            </w:r>
          </w:p>
        </w:tc>
        <w:tc>
          <w:tcPr>
            <w:tcW w:w="3120" w:type="dxa"/>
          </w:tcPr>
          <w:p>
            <w:pPr/>
            <w:r>
              <w:t xml:space="preserve">Arabic-language reviews; second review</w:t>
            </w:r>
          </w:p>
        </w:tc>
        <w:tc>
          <w:tcPr>
            <w:tcW w:w="3120" w:type="dxa"/>
          </w:tcPr>
          <w:p>
            <w:pPr/>
            <w:r>
              <w:t xml:space="preserve">215</w:t>
            </w:r>
          </w:p>
        </w:tc>
      </w:tr>
      <w:tr>
        <w:tc>
          <w:tcPr>
            <w:tcW w:w="3120" w:type="dxa"/>
          </w:tcPr>
          <w:p>
            <w:pPr/>
            <w:r>
              <w:t xml:space="preserve">Boisy V.A. Williams</w:t>
            </w:r>
          </w:p>
        </w:tc>
        <w:tc>
          <w:tcPr>
            <w:tcW w:w="3120" w:type="dxa"/>
          </w:tcPr>
          <w:p>
            <w:pPr/>
            <w:r>
              <w:t xml:space="preserve">French-language reviews; delivery assurance</w:t>
            </w:r>
          </w:p>
        </w:tc>
        <w:tc>
          <w:tcPr>
            <w:tcW w:w="3120" w:type="dxa"/>
          </w:tcPr>
          <w:p>
            <w:pPr/>
            <w:r>
              <w:t xml:space="preserve">230</w:t>
            </w:r>
          </w:p>
        </w:tc>
      </w:tr>
      <w:tr>
        <w:tc>
          <w:tcPr>
            <w:tcW w:w="3120" w:type="dxa"/>
          </w:tcPr>
          <w:p>
            <w:pPr/>
            <w:r>
              <w:t xml:space="preserve">Damilare Jegede</w:t>
            </w:r>
          </w:p>
        </w:tc>
        <w:tc>
          <w:tcPr>
            <w:tcW w:w="3120" w:type="dxa"/>
          </w:tcPr>
          <w:p>
            <w:pPr/>
            <w:r>
              <w:t xml:space="preserve">Pitch video feedback; report design</w:t>
            </w:r>
          </w:p>
        </w:tc>
        <w:tc>
          <w:tcPr>
            <w:tcW w:w="3120" w:type="dxa"/>
          </w:tcPr>
          <w:p>
            <w:pPr/>
            <w:r>
              <w:t xml:space="preserve">120</w:t>
            </w:r>
          </w:p>
        </w:tc>
      </w:tr>
      <w:tr>
        <w:tc>
          <w:tcPr>
            <w:tcW w:w="3120" w:type="dxa"/>
          </w:tcPr>
          <w:p>
            <w:pPr/>
            <w:r>
              <w:t xml:space="preserve">Anastasia Muthoni</w:t>
            </w:r>
          </w:p>
        </w:tc>
        <w:tc>
          <w:tcPr>
            <w:tcW w:w="3120" w:type="dxa"/>
          </w:tcPr>
          <w:p>
            <w:pPr/>
            <w:r>
              <w:t xml:space="preserve">Operations and quality control</w:t>
            </w:r>
          </w:p>
        </w:tc>
        <w:tc>
          <w:tcPr>
            <w:tcW w:w="3120" w:type="dxa"/>
          </w:tcPr>
          <w:p>
            <w:pPr/>
            <w:r>
              <w:t xml:space="preserve">110</w:t>
            </w:r>
          </w:p>
        </w:tc>
      </w:tr>
    </w:tbl>
    <w:p>
      <w:pPr/>
      <w:r>
        <w:rPr>
          <w:b/>
        </w:rPr>
        <w:t xml:space="preserve">Fee.</w:t>
      </w:r>
      <w:r>
        <w:t xml:space="preserve"> USD 40 per fully reviewed submission, covering first review, sampled second review, feedback note and quality control. Cohort reports and calibration are priced separately at USD 2,300 per cohort. One consultant day equals eight productive hours. Rates are held firm for the term of the engagement.</w:t>
      </w:r>
    </w:p>
    <w:p>
      <w:pPr/>
      <w:r>
        <w:rPr>
          <w:b/>
        </w:rPr>
        <w:t xml:space="preserve">Payment against deliverables, not elapsed time.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Milestone</w:t>
            </w:r>
          </w:p>
        </w:tc>
        <w:tc>
          <w:tcPr>
            <w:tcW w:w="4680" w:type="dxa"/>
            <w:shd w:val="clear" w:color="auto" w:fill="F2F2F2"/>
          </w:tcPr>
          <w:p>
            <w:pPr/>
            <w:r>
              <w:t xml:space="preserve">Share</w:t>
            </w:r>
          </w:p>
        </w:tc>
      </w:tr>
      <w:tr>
        <w:tc>
          <w:tcPr>
            <w:tcW w:w="4680" w:type="dxa"/>
          </w:tcPr>
          <w:p>
            <w:pPr/>
            <w:r>
              <w:t xml:space="preserve">Calibration batch accepted</w:t>
            </w:r>
          </w:p>
        </w:tc>
        <w:tc>
          <w:tcPr>
            <w:tcW w:w="4680" w:type="dxa"/>
          </w:tcPr>
          <w:p>
            <w:pPr/>
            <w:r>
              <w:t xml:space="preserve">15%</w:t>
            </w:r>
          </w:p>
        </w:tc>
      </w:tr>
      <w:tr>
        <w:tc>
          <w:tcPr>
            <w:tcW w:w="4680" w:type="dxa"/>
          </w:tcPr>
          <w:p>
            <w:pPr/>
            <w:r>
              <w:t xml:space="preserve">Each batch of reviews delivered and accepted</w:t>
            </w:r>
          </w:p>
        </w:tc>
        <w:tc>
          <w:tcPr>
            <w:tcW w:w="4680" w:type="dxa"/>
          </w:tcPr>
          <w:p>
            <w:pPr/>
            <w:r>
              <w:t xml:space="preserve">70%, in proportion to submissions reviewed</w:t>
            </w:r>
          </w:p>
        </w:tc>
      </w:tr>
      <w:tr>
        <w:tc>
          <w:tcPr>
            <w:tcW w:w="4680" w:type="dxa"/>
          </w:tcPr>
          <w:p>
            <w:pPr/>
            <w:r>
              <w:t xml:space="preserve">Cohort report and handover accepted</w:t>
            </w:r>
          </w:p>
        </w:tc>
        <w:tc>
          <w:tcPr>
            <w:tcW w:w="4680" w:type="dxa"/>
          </w:tcPr>
          <w:p>
            <w:pPr/>
            <w:r>
              <w:t xml:space="preserve">15%</w:t>
            </w:r>
          </w:p>
        </w:tc>
      </w:tr>
    </w:tbl>
    <w:p>
      <w:pPr/>
      <w:r>
        <w:t xml:space="preserve">This proposal is valid for ninety days from submission. Fees are [exclusive / inclusive] of applicable taxes.</w:t>
      </w:r>
    </w:p>
    <w:p>
      <w:pPr/>
      <w:r>
        <w:rPr>
          <w:b/>
        </w:rPr>
        <w:t xml:space="preserve">Availability.</w:t>
      </w:r>
      <w:r>
        <w:t xml:space="preserve"> We can mobilise within [  ] working days of award and will agree each cohort’s dates with the Foundation at inception. Our team spans time zones, so work on a cohort can run across more than one working day.</w:t>
      </w:r>
    </w:p>
    <w:p>
      <w:pPr/>
      <w:r>
        <w:t xml:space="preserve">Submitted on behalf of Smart Impact Consult.</w:t>
      </w:r>
    </w:p>
    <w:p>
      <w:pPr/>
      <w:r>
        <w:t xml:space="preserve">Name: Regina Love Clarkson</w:t>
      </w:r>
    </w:p>
    <w:p>
      <w:pPr/>
      <w:r>
        <w:t xml:space="preserve">Position: Team Lead</w:t>
      </w:r>
    </w:p>
    <w:p>
      <w:pPr/>
      <w:r>
        <w:t xml:space="preserve">Date: [  ]</w:t>
      </w:r>
    </w:p>
    <w:p>
      <w:pPr>
        <w:pStyle w:val="Heading2"/>
      </w:pPr>
      <w:r>
        <w:t xml:space="preserve">Sources</w:t>
      </w:r>
    </w:p>
    <w:p>
      <w:pPr>
        <w:pStyle w:val="ListParagraph"/>
        <w:numPr>
          <w:ilvl w:val="0"/>
          <w:numId w:val="4"/>
        </w:numPr>
      </w:pPr>
      <w:hyperlink r:id="rId4" w:history="1">
        <w:r>
          <w:rPr>
            <w:rStyle w:val="Hyperlink"/>
          </w:rPr>
          <w:t xml:space="preserve">TEF Entrepreneurship Programme</w:t>
        </w:r>
      </w:hyperlink>
      <w:r>
        <w:t xml:space="preserve">: programme phases, eligibility and review criteria</w:t>
      </w:r>
    </w:p>
    <w:p>
      <w:pPr>
        <w:pStyle w:val="ListParagraph"/>
        <w:numPr>
          <w:ilvl w:val="0"/>
          <w:numId w:val="4"/>
        </w:numPr>
      </w:pPr>
      <w:hyperlink r:id="rId5" w:history="1">
        <w:r>
          <w:rPr>
            <w:rStyle w:val="Hyperlink"/>
          </w:rPr>
          <w:t xml:space="preserve">Tony Elumelu Foundation unveils 3,200 African entrepreneurs for the 2026 cohort</w:t>
        </w:r>
      </w:hyperlink>
      <w:r>
        <w:t xml:space="preserve">: 2026 cohort size and funding</w:t>
      </w:r>
    </w:p>
    <w:p>
      <w:pPr>
        <w:pStyle w:val="ListParagraph"/>
        <w:numPr>
          <w:ilvl w:val="0"/>
          <w:numId w:val="4"/>
        </w:numPr>
      </w:pPr>
      <w:hyperlink r:id="rId6" w:history="1">
        <w:r>
          <w:rPr>
            <w:rStyle w:val="Hyperlink"/>
          </w:rPr>
          <w:t xml:space="preserve">Investment Readiness Scorecard, European EEN2EIC project</w:t>
        </w:r>
      </w:hyperlink>
    </w:p>
    <w:p>
      <w:pPr>
        <w:pStyle w:val="ListParagraph"/>
        <w:numPr>
          <w:ilvl w:val="0"/>
          <w:numId w:val="4"/>
        </w:numPr>
      </w:pPr>
      <w:hyperlink r:id="rId7" w:history="1">
        <w:r>
          <w:rPr>
            <w:rStyle w:val="Hyperlink"/>
          </w:rPr>
          <w:t xml:space="preserve">The Investment Readiness Level, Steve Blank</w:t>
        </w:r>
      </w:hyperlink>
    </w:p>
    <w:p>
      <w:pPr>
        <w:pStyle w:val="ListParagraph"/>
        <w:numPr>
          <w:ilvl w:val="0"/>
          <w:numId w:val="4"/>
        </w:numPr>
      </w:pPr>
      <w:hyperlink r:id="rId8" w:history="1">
        <w:r>
          <w:rPr>
            <w:rStyle w:val="Hyperlink"/>
          </w:rPr>
          <w:t xml:space="preserve">Applyifi investor assessment report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tonyelumelufoundation.org/tef-entrepreneurship-programme" TargetMode="External"/><Relationship Id="rId5" Type="http://schemas.openxmlformats.org/officeDocument/2006/relationships/hyperlink" Target="https://www.financialafrik.com/en/2026/03/21/tony-elumelu-foundation-unveils-3200-african-entrepreneurs-for-the-2026-cohort/" TargetMode="External"/><Relationship Id="rId6" Type="http://schemas.openxmlformats.org/officeDocument/2006/relationships/hyperlink" Target="https://www.bayfor.org/en/news/latest-news/news-detail/5466-well-prepared-for-investor-meetings-free-investment-readiness-assessment.html" TargetMode="External"/><Relationship Id="rId7" Type="http://schemas.openxmlformats.org/officeDocument/2006/relationships/hyperlink" Target="https://steveblank.com/2013/11/25/its-time-to-play-moneyball-the-investment-readiness-level/" TargetMode="External"/><Relationship Id="rId8" Type="http://schemas.openxmlformats.org/officeDocument/2006/relationships/hyperlink" Target="https://www.therodinhoods.com/post/applyifi-online-investor-pitch-deck-and-assessment-report-for-startup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Business Plan, Financials &amp; Pitch Video Review Services  Tony Elumelu F</dc:title>
  <dc:description>Claude Docs node/69401d37-9994@16 docx-w6</dc:description>
  <cp:revision>16</cp:revision>
</cp:coreProperties>
</file>