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73A" w:rsidRPr="00C563D9" w:rsidRDefault="00C563D9" w:rsidP="00C563D9">
      <w:r w:rsidRPr="00C563D9">
        <w:drawing>
          <wp:inline distT="0" distB="0" distL="0" distR="0">
            <wp:extent cx="5943600" cy="363283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proofErr w:type="gramStart"/>
      <w:r>
        <w:rPr>
          <w:b/>
        </w:rPr>
        <w:t>Figure 2.</w:t>
      </w:r>
      <w:proofErr w:type="gramEnd"/>
      <w:r>
        <w:rPr>
          <w:b/>
        </w:rPr>
        <w:t xml:space="preserve"> </w:t>
      </w:r>
      <w:r>
        <w:t>Frequency distribution of shell height of wave-exposed (Cable Bay) and sheltered (</w:t>
      </w:r>
      <w:proofErr w:type="spellStart"/>
      <w:r>
        <w:t>Menai</w:t>
      </w:r>
      <w:proofErr w:type="spellEnd"/>
      <w:r>
        <w:t xml:space="preserve"> Bridge) </w:t>
      </w:r>
      <w:proofErr w:type="spellStart"/>
      <w:r>
        <w:t>dogwhelks</w:t>
      </w:r>
      <w:proofErr w:type="spellEnd"/>
      <w:r>
        <w:t xml:space="preserve"> (n = 15 per sample).</w:t>
      </w:r>
      <w:r>
        <w:tab/>
      </w:r>
    </w:p>
    <w:sectPr w:rsidR="008A473A" w:rsidRPr="00C563D9" w:rsidSect="008A4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63D9"/>
    <w:rsid w:val="00195AC7"/>
    <w:rsid w:val="001D5905"/>
    <w:rsid w:val="0084444E"/>
    <w:rsid w:val="008A473A"/>
    <w:rsid w:val="00C563D9"/>
    <w:rsid w:val="00CF140B"/>
    <w:rsid w:val="00D94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44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3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3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500" baseline="0"/>
              <a:t>Dogwhelk Frequency Distribution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Sheet1!$I$1</c:f>
              <c:strCache>
                <c:ptCount val="1"/>
                <c:pt idx="0">
                  <c:v>Cable Bay</c:v>
                </c:pt>
              </c:strCache>
            </c:strRef>
          </c:tx>
          <c:cat>
            <c:strRef>
              <c:f>Sheet1!$H$2:$H$16</c:f>
              <c:strCache>
                <c:ptCount val="15"/>
                <c:pt idx="0">
                  <c:v>&lt;0.99</c:v>
                </c:pt>
                <c:pt idx="1">
                  <c:v>1.00-1.19</c:v>
                </c:pt>
                <c:pt idx="2">
                  <c:v>1.20-1.39</c:v>
                </c:pt>
                <c:pt idx="3">
                  <c:v>1.40-1.59</c:v>
                </c:pt>
                <c:pt idx="4">
                  <c:v>1.60-1.79</c:v>
                </c:pt>
                <c:pt idx="5">
                  <c:v>1.80-1.99</c:v>
                </c:pt>
                <c:pt idx="6">
                  <c:v>2.00-2.19</c:v>
                </c:pt>
                <c:pt idx="7">
                  <c:v>2.20-2.39</c:v>
                </c:pt>
                <c:pt idx="8">
                  <c:v>2.40-2.59</c:v>
                </c:pt>
                <c:pt idx="9">
                  <c:v>2.60-2.79</c:v>
                </c:pt>
                <c:pt idx="10">
                  <c:v>2.80-2.99</c:v>
                </c:pt>
                <c:pt idx="11">
                  <c:v>3.00-3.19</c:v>
                </c:pt>
                <c:pt idx="12">
                  <c:v>3.20-3.39</c:v>
                </c:pt>
                <c:pt idx="13">
                  <c:v>3.40-3.59</c:v>
                </c:pt>
                <c:pt idx="14">
                  <c:v>3.60-3.79</c:v>
                </c:pt>
              </c:strCache>
            </c:strRef>
          </c:cat>
          <c:val>
            <c:numRef>
              <c:f>Sheet1!$I$2:$I$16</c:f>
              <c:numCache>
                <c:formatCode>General</c:formatCode>
                <c:ptCount val="15"/>
                <c:pt idx="0">
                  <c:v>1</c:v>
                </c:pt>
                <c:pt idx="1">
                  <c:v>4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  <c:pt idx="5">
                  <c:v>16</c:v>
                </c:pt>
                <c:pt idx="6">
                  <c:v>14</c:v>
                </c:pt>
                <c:pt idx="7">
                  <c:v>20</c:v>
                </c:pt>
                <c:pt idx="8">
                  <c:v>12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Sheet1!$J$1</c:f>
              <c:strCache>
                <c:ptCount val="1"/>
                <c:pt idx="0">
                  <c:v>Menai Bridge</c:v>
                </c:pt>
              </c:strCache>
            </c:strRef>
          </c:tx>
          <c:cat>
            <c:strRef>
              <c:f>Sheet1!$H$2:$H$16</c:f>
              <c:strCache>
                <c:ptCount val="15"/>
                <c:pt idx="0">
                  <c:v>&lt;0.99</c:v>
                </c:pt>
                <c:pt idx="1">
                  <c:v>1.00-1.19</c:v>
                </c:pt>
                <c:pt idx="2">
                  <c:v>1.20-1.39</c:v>
                </c:pt>
                <c:pt idx="3">
                  <c:v>1.40-1.59</c:v>
                </c:pt>
                <c:pt idx="4">
                  <c:v>1.60-1.79</c:v>
                </c:pt>
                <c:pt idx="5">
                  <c:v>1.80-1.99</c:v>
                </c:pt>
                <c:pt idx="6">
                  <c:v>2.00-2.19</c:v>
                </c:pt>
                <c:pt idx="7">
                  <c:v>2.20-2.39</c:v>
                </c:pt>
                <c:pt idx="8">
                  <c:v>2.40-2.59</c:v>
                </c:pt>
                <c:pt idx="9">
                  <c:v>2.60-2.79</c:v>
                </c:pt>
                <c:pt idx="10">
                  <c:v>2.80-2.99</c:v>
                </c:pt>
                <c:pt idx="11">
                  <c:v>3.00-3.19</c:v>
                </c:pt>
                <c:pt idx="12">
                  <c:v>3.20-3.39</c:v>
                </c:pt>
                <c:pt idx="13">
                  <c:v>3.40-3.59</c:v>
                </c:pt>
                <c:pt idx="14">
                  <c:v>3.60-3.79</c:v>
                </c:pt>
              </c:strCache>
            </c:strRef>
          </c:cat>
          <c:val>
            <c:numRef>
              <c:f>Sheet1!$J$2:$J$16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2</c:v>
                </c:pt>
                <c:pt idx="7">
                  <c:v>5</c:v>
                </c:pt>
                <c:pt idx="8">
                  <c:v>3</c:v>
                </c:pt>
                <c:pt idx="9">
                  <c:v>8</c:v>
                </c:pt>
                <c:pt idx="10">
                  <c:v>23</c:v>
                </c:pt>
                <c:pt idx="11">
                  <c:v>23</c:v>
                </c:pt>
                <c:pt idx="12">
                  <c:v>23</c:v>
                </c:pt>
                <c:pt idx="13">
                  <c:v>9</c:v>
                </c:pt>
                <c:pt idx="14">
                  <c:v>2</c:v>
                </c:pt>
              </c:numCache>
            </c:numRef>
          </c:val>
        </c:ser>
        <c:axId val="106631168"/>
        <c:axId val="106633088"/>
      </c:barChart>
      <c:catAx>
        <c:axId val="1066311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300" baseline="0"/>
                  <a:t>Shell height (cm)</a:t>
                </a:r>
              </a:p>
            </c:rich>
          </c:tx>
        </c:title>
        <c:tickLblPos val="nextTo"/>
        <c:crossAx val="106633088"/>
        <c:crosses val="autoZero"/>
        <c:auto val="1"/>
        <c:lblAlgn val="ctr"/>
        <c:lblOffset val="100"/>
      </c:catAx>
      <c:valAx>
        <c:axId val="10663308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300" baseline="0"/>
                  <a:t>Percent of dogwhelks</a:t>
                </a:r>
              </a:p>
            </c:rich>
          </c:tx>
        </c:title>
        <c:numFmt formatCode="General" sourceLinked="1"/>
        <c:tickLblPos val="nextTo"/>
        <c:crossAx val="106631168"/>
        <c:crosses val="autoZero"/>
        <c:crossBetween val="between"/>
      </c:valAx>
    </c:plotArea>
    <c:legend>
      <c:legendPos val="l"/>
      <c:layout>
        <c:manualLayout>
          <c:xMode val="edge"/>
          <c:yMode val="edge"/>
          <c:x val="0.15486422370280642"/>
          <c:y val="0.14539590223816271"/>
          <c:w val="0.24820378221953024"/>
          <c:h val="9.5785247609649224E-2"/>
        </c:manualLayout>
      </c:layout>
      <c:overlay val="1"/>
    </c:legend>
    <c:plotVisOnly val="1"/>
  </c:chart>
  <c:spPr>
    <a:ln w="0">
      <a:noFill/>
    </a:ln>
  </c:spPr>
  <c:txPr>
    <a:bodyPr/>
    <a:lstStyle/>
    <a:p>
      <a:pPr>
        <a:defRPr sz="1200" baseline="0">
          <a:latin typeface="Cambria" pitchFamily="18" charset="0"/>
        </a:defRPr>
      </a:pPr>
      <a:endParaRPr lang="en-US"/>
    </a:p>
  </c:txPr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0.07196</cdr:x>
      <cdr:y>0.85487</cdr:y>
    </cdr:from>
    <cdr:to>
      <cdr:x>0.17736</cdr:x>
      <cdr:y>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624274" y="6146199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0.07864</cdr:x>
      <cdr:y>0.82757</cdr:y>
    </cdr:from>
    <cdr:to>
      <cdr:x>0.18404</cdr:x>
      <cdr:y>1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682196" y="5277364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Wassall</dc:creator>
  <cp:lastModifiedBy>Aaron Wassall</cp:lastModifiedBy>
  <cp:revision>2</cp:revision>
  <dcterms:created xsi:type="dcterms:W3CDTF">2013-02-05T02:20:00Z</dcterms:created>
  <dcterms:modified xsi:type="dcterms:W3CDTF">2013-02-05T02:26:00Z</dcterms:modified>
</cp:coreProperties>
</file>