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 xml:space="preserve">Withholding tax on </w:t>
      </w:r>
      <w:r>
        <w:rPr/>
        <w:t>REIT</w:t>
        <w:br/>
      </w:r>
      <w:r>
        <w:rPr/>
        <w:t xml:space="preserve"> liquidation distributions</w:t>
      </w:r>
    </w:p>
    <w:p>
      <w:pPr>
        <w:pStyle w:val="BodyText"/>
        <w:bidi w:val="0"/>
        <w:spacing w:lineRule="auto" w:line="276" w:before="0" w:after="140"/>
        <w:jc w:val="left"/>
        <w:rPr/>
      </w:pPr>
      <w:r>
        <w:rPr/>
      </w:r>
    </w:p>
    <w:p>
      <w:pPr>
        <w:pStyle w:val="Heading1"/>
        <w:numPr>
          <w:ilvl w:val="0"/>
          <w:numId w:val="1"/>
        </w:numPr>
        <w:bidi w:val="0"/>
        <w:ind w:hanging="0" w:left="0"/>
        <w:jc w:val="left"/>
        <w:rPr/>
      </w:pPr>
      <w:r>
        <w:rPr/>
        <w:t>While the common stock is still listed</w:t>
      </w:r>
    </w:p>
    <w:p>
      <w:pPr>
        <w:pStyle w:val="BodyText"/>
        <w:bidi w:val="0"/>
        <w:spacing w:lineRule="auto" w:line="276" w:before="0" w:after="140"/>
        <w:jc w:val="left"/>
        <w:rPr/>
      </w:pPr>
      <w:r>
        <w:rPr/>
        <w:t xml:space="preserve">For a typical overseas holder, both proxies say the </w:t>
      </w:r>
      <w:r>
        <w:rPr>
          <w:b/>
          <w:bCs/>
        </w:rPr>
        <w:t>cash liquidating distributions are generally not subject to U.S. withholding.</w:t>
      </w:r>
      <w:r>
        <w:rPr/>
        <w:t xml:space="preserve"> That is the case when the holder owns 10% or less of the class, the shares are still regularly traded on a U.S. exchange, and the REIT is a domestically controlled qualified investment entity. Both companies say they expect to be, and to remain, domestically controlled. Neither gives a guarantee.</w:t>
      </w:r>
    </w:p>
    <w:p>
      <w:pPr>
        <w:pStyle w:val="BodyText"/>
        <w:bidi w:val="0"/>
        <w:spacing w:lineRule="auto" w:line="276" w:before="0" w:after="140"/>
        <w:jc w:val="left"/>
        <w:rPr/>
      </w:pPr>
      <w:r>
        <w:rPr/>
        <w:t>Ordinary 30% dividend withholding, often reduced to 15% by a treaty, is not the regime these proxies apply. They treat the payments as liquidating distributions, not as ordinary REIT dividends.</w:t>
      </w:r>
    </w:p>
    <w:p>
      <w:pPr>
        <w:pStyle w:val="Heading1"/>
        <w:numPr>
          <w:ilvl w:val="0"/>
          <w:numId w:val="1"/>
        </w:numPr>
        <w:bidi w:val="0"/>
        <w:ind w:hanging="0" w:left="0"/>
        <w:jc w:val="left"/>
        <w:rPr/>
      </w:pPr>
      <w:r>
        <w:rPr/>
        <w:br/>
        <w:t>On the profit or on the payment</w:t>
      </w:r>
    </w:p>
    <w:p>
      <w:pPr>
        <w:pStyle w:val="BodyText"/>
        <w:bidi w:val="0"/>
        <w:spacing w:lineRule="auto" w:line="276" w:before="0" w:after="140"/>
        <w:jc w:val="left"/>
        <w:rPr/>
      </w:pPr>
      <w:r>
        <w:rPr/>
        <w:t>The stock-level withholding is on the distribution, not on the holder’s personal profit. Cost basis does not reduce the amount taken out of the check. If the tax on the holder’s actual gain is lower, the filings say the withheld amount is creditable and can be refunded.</w:t>
      </w:r>
    </w:p>
    <w:p>
      <w:pPr>
        <w:pStyle w:val="BodyText"/>
        <w:bidi w:val="0"/>
        <w:spacing w:lineRule="auto" w:line="276" w:before="0" w:after="140"/>
        <w:jc w:val="left"/>
        <w:rPr/>
      </w:pPr>
      <w:r>
        <w:rPr/>
        <w:t>The 21% is 21% of the largest amount that could have been designated a U.S. real property capital-gain dividend. That is the company’s gain on U.S. real property included in the distribution, not the holder’s gain over the price paid for the shares. If the whole payment can be designated that way, the 21% is on the whole payment.</w:t>
      </w:r>
    </w:p>
    <w:p>
      <w:pPr>
        <w:pStyle w:val="BodyText"/>
        <w:bidi w:val="0"/>
        <w:spacing w:lineRule="auto" w:line="276" w:before="0" w:after="140"/>
        <w:jc w:val="left"/>
        <w:rPr/>
      </w:pPr>
      <w:r>
        <w:rPr/>
        <w:t>The 15% in ARI’s proxy, which applies when the shares themselves are a U.S. real property interest, is 15% of the liquidating distribution (the fair market value of what is paid), not 15% of the holder’s gain.</w:t>
      </w:r>
    </w:p>
    <w:p>
      <w:pPr>
        <w:pStyle w:val="Heading1"/>
        <w:numPr>
          <w:ilvl w:val="0"/>
          <w:numId w:val="1"/>
        </w:numPr>
        <w:bidi w:val="0"/>
        <w:ind w:hanging="0" w:left="0"/>
        <w:jc w:val="left"/>
        <w:rPr/>
      </w:pPr>
      <w:r>
        <w:rPr/>
        <w:t>After the stock is replaced by a liquidating vehicle</w:t>
      </w:r>
    </w:p>
    <w:p>
      <w:pPr>
        <w:pStyle w:val="BodyText"/>
        <w:bidi w:val="0"/>
        <w:spacing w:lineRule="auto" w:line="276" w:before="0" w:after="140"/>
        <w:jc w:val="left"/>
        <w:rPr/>
      </w:pPr>
      <w:r>
        <w:rPr/>
        <w:t>That is when the filings expect withholding for ordinary overseas holders.</w:t>
      </w:r>
    </w:p>
    <w:p>
      <w:pPr>
        <w:pStyle w:val="BodyText"/>
        <w:bidi w:val="0"/>
        <w:spacing w:lineRule="auto" w:line="276" w:before="0" w:after="140"/>
        <w:jc w:val="left"/>
        <w:rPr/>
      </w:pPr>
      <w:r>
        <w:rPr/>
        <w:t>ARI expects the liquidating trust to be taxed as a partnership. The trust is expected to withhold up to 37% on distributions to non-U.S. holders only to the extent they are U.S. effectively connected net income. A distribution to a non-U.S. corporation above its basis in the trust interest is generally subject to 15% withholding on that excess. A buyer of the interest withholds 10% of the amount realized, or 15% on a U.S. real property interest.</w:t>
      </w:r>
    </w:p>
    <w:p>
      <w:pPr>
        <w:pStyle w:val="BodyText"/>
        <w:bidi w:val="0"/>
        <w:spacing w:lineRule="auto" w:line="276" w:before="0" w:after="140"/>
        <w:jc w:val="left"/>
        <w:rPr/>
      </w:pPr>
      <w:r>
        <w:rPr/>
        <w:t>AIV’s partnership-style liquidating entity withholds 10% only on the amount above the holder’s basis. A buyer withholds 10% of the amount realized, or 15% under FIRPTA. AIV’s grantor-trust path says a non-U.S. holder can have effectively connected income and, if a corporation, branch profits tax. It does not name a 37% rate.</w:t>
      </w:r>
    </w:p>
    <w:p>
      <w:pPr>
        <w:pStyle w:val="Heading1"/>
        <w:numPr>
          <w:ilvl w:val="0"/>
          <w:numId w:val="1"/>
        </w:numPr>
        <w:bidi w:val="0"/>
        <w:ind w:hanging="0" w:left="0"/>
        <w:jc w:val="left"/>
        <w:rPr/>
      </w:pPr>
      <w:r>
        <w:rPr/>
      </w:r>
    </w:p>
    <w:p>
      <w:pPr>
        <w:pStyle w:val="Heading1"/>
        <w:numPr>
          <w:ilvl w:val="0"/>
          <w:numId w:val="1"/>
        </w:numPr>
        <w:bidi w:val="0"/>
        <w:ind w:hanging="0" w:left="0"/>
        <w:jc w:val="left"/>
        <w:rPr/>
      </w:pPr>
      <w:r>
        <w:rPr/>
        <w:t>Rates and what they apply to</w:t>
      </w:r>
    </w:p>
    <w:tbl>
      <w:tblPr>
        <w:tblW w:w="5000" w:type="pct"/>
        <w:jc w:val="left"/>
        <w:tblInd w:w="5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TableHeading"/>
              <w:suppressLineNumbers/>
              <w:bidi w:val="0"/>
              <w:jc w:val="center"/>
              <w:rPr/>
            </w:pPr>
            <w:r>
              <w:rPr/>
              <w:t>Rate</w:t>
            </w:r>
          </w:p>
        </w:tc>
        <w:tc>
          <w:tcPr>
            <w:tcW w:w="3324" w:type="dxa"/>
            <w:tcBorders>
              <w:top w:val="single" w:sz="4" w:space="0" w:color="000000"/>
              <w:left w:val="single" w:sz="4" w:space="0" w:color="000000"/>
              <w:bottom w:val="single" w:sz="4" w:space="0" w:color="000000"/>
            </w:tcBorders>
          </w:tcPr>
          <w:p>
            <w:pPr>
              <w:pStyle w:val="TableHeading"/>
              <w:suppressLineNumbers/>
              <w:bidi w:val="0"/>
              <w:jc w:val="center"/>
              <w:rPr/>
            </w:pPr>
            <w:r>
              <w:rPr/>
              <w:t>When it applies</w:t>
            </w:r>
          </w:p>
        </w:tc>
        <w:tc>
          <w:tcPr>
            <w:tcW w:w="3324" w:type="dxa"/>
            <w:tcBorders>
              <w:top w:val="single" w:sz="4" w:space="0" w:color="000000"/>
              <w:left w:val="single" w:sz="4" w:space="0" w:color="000000"/>
              <w:bottom w:val="single" w:sz="4" w:space="0" w:color="000000"/>
              <w:right w:val="single" w:sz="4" w:space="0" w:color="000000"/>
            </w:tcBorders>
          </w:tcPr>
          <w:p>
            <w:pPr>
              <w:pStyle w:val="TableHeading"/>
              <w:suppressLineNumbers/>
              <w:bidi w:val="0"/>
              <w:jc w:val="center"/>
              <w:rPr/>
            </w:pPr>
            <w:r>
              <w:rPr/>
              <w:t>Withheld on</w:t>
            </w:r>
          </w:p>
        </w:tc>
      </w:tr>
      <w:tr>
        <w:trPr/>
        <w:tc>
          <w:tcPr>
            <w:tcW w:w="3324" w:type="dxa"/>
            <w:tcBorders>
              <w:left w:val="single" w:sz="4" w:space="0" w:color="000000"/>
              <w:bottom w:val="single" w:sz="4" w:space="0" w:color="000000"/>
            </w:tcBorders>
          </w:tcPr>
          <w:p>
            <w:pPr>
              <w:pStyle w:val="TableContents"/>
              <w:widowControl w:val="false"/>
              <w:suppressLineNumbers/>
              <w:bidi w:val="0"/>
              <w:jc w:val="left"/>
              <w:rPr/>
            </w:pPr>
            <w:r>
              <w:rPr/>
              <w:t>None</w:t>
            </w:r>
          </w:p>
        </w:tc>
        <w:tc>
          <w:tcPr>
            <w:tcW w:w="3324" w:type="dxa"/>
            <w:tcBorders>
              <w:left w:val="single" w:sz="4" w:space="0" w:color="000000"/>
              <w:bottom w:val="single" w:sz="4" w:space="0" w:color="000000"/>
            </w:tcBorders>
          </w:tcPr>
          <w:p>
            <w:pPr>
              <w:pStyle w:val="TableContents"/>
              <w:widowControl w:val="false"/>
              <w:suppressLineNumbers/>
              <w:bidi w:val="0"/>
              <w:jc w:val="left"/>
              <w:rPr/>
            </w:pPr>
            <w:r>
              <w:rPr/>
              <w:t>Holder owns 10% or less, stock still regularly traded, REIT domestically controlled</w:t>
            </w:r>
          </w:p>
        </w:tc>
        <w:tc>
          <w:tcPr>
            <w:tcW w:w="3324"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No U.S. withholding on the cash liquidating distribution</w:t>
            </w:r>
          </w:p>
        </w:tc>
      </w:tr>
      <w:tr>
        <w:trPr/>
        <w:tc>
          <w:tcPr>
            <w:tcW w:w="3324" w:type="dxa"/>
            <w:tcBorders>
              <w:left w:val="single" w:sz="4" w:space="0" w:color="000000"/>
              <w:bottom w:val="single" w:sz="4" w:space="0" w:color="000000"/>
            </w:tcBorders>
          </w:tcPr>
          <w:p>
            <w:pPr>
              <w:pStyle w:val="TableContents"/>
              <w:widowControl w:val="false"/>
              <w:suppressLineNumbers/>
              <w:bidi w:val="0"/>
              <w:jc w:val="left"/>
              <w:rPr/>
            </w:pPr>
            <w:r>
              <w:rPr/>
              <w:t>15%</w:t>
            </w:r>
          </w:p>
        </w:tc>
        <w:tc>
          <w:tcPr>
            <w:tcW w:w="3324" w:type="dxa"/>
            <w:tcBorders>
              <w:left w:val="single" w:sz="4" w:space="0" w:color="000000"/>
              <w:bottom w:val="single" w:sz="4" w:space="0" w:color="000000"/>
            </w:tcBorders>
          </w:tcPr>
          <w:p>
            <w:pPr>
              <w:pStyle w:val="TableContents"/>
              <w:widowControl w:val="false"/>
              <w:suppressLineNumbers/>
              <w:bidi w:val="0"/>
              <w:jc w:val="left"/>
              <w:rPr/>
            </w:pPr>
            <w:r>
              <w:rPr/>
              <w:t>ARI only, in that section: shares are themselves a U.S. real property interest</w:t>
            </w:r>
          </w:p>
        </w:tc>
        <w:tc>
          <w:tcPr>
            <w:tcW w:w="3324"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The liquidating distribution (fair market value of what is paid), not the holder’s gain</w:t>
            </w:r>
          </w:p>
        </w:tc>
      </w:tr>
      <w:tr>
        <w:trPr/>
        <w:tc>
          <w:tcPr>
            <w:tcW w:w="3324" w:type="dxa"/>
            <w:tcBorders>
              <w:left w:val="single" w:sz="4" w:space="0" w:color="000000"/>
              <w:bottom w:val="single" w:sz="4" w:space="0" w:color="000000"/>
            </w:tcBorders>
          </w:tcPr>
          <w:p>
            <w:pPr>
              <w:pStyle w:val="TableContents"/>
              <w:widowControl w:val="false"/>
              <w:suppressLineNumbers/>
              <w:bidi w:val="0"/>
              <w:jc w:val="left"/>
              <w:rPr/>
            </w:pPr>
            <w:r>
              <w:rPr/>
              <w:t>30% FATCA</w:t>
            </w:r>
          </w:p>
        </w:tc>
        <w:tc>
          <w:tcPr>
            <w:tcW w:w="3324" w:type="dxa"/>
            <w:tcBorders>
              <w:left w:val="single" w:sz="4" w:space="0" w:color="000000"/>
              <w:bottom w:val="single" w:sz="4" w:space="0" w:color="000000"/>
            </w:tcBorders>
          </w:tcPr>
          <w:p>
            <w:pPr>
              <w:pStyle w:val="TableContents"/>
              <w:widowControl w:val="false"/>
              <w:suppressLineNumbers/>
              <w:bidi w:val="0"/>
              <w:jc w:val="left"/>
              <w:rPr/>
            </w:pPr>
            <w:r>
              <w:rPr/>
              <w:t>AIV: shares held through a foreign institution that does not report</w:t>
            </w:r>
          </w:p>
        </w:tc>
        <w:tc>
          <w:tcPr>
            <w:tcW w:w="3324"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The distribution</w:t>
            </w:r>
          </w:p>
        </w:tc>
      </w:tr>
      <w:tr>
        <w:trPr/>
        <w:tc>
          <w:tcPr>
            <w:tcW w:w="3324" w:type="dxa"/>
            <w:tcBorders>
              <w:left w:val="single" w:sz="4" w:space="0" w:color="000000"/>
              <w:bottom w:val="single" w:sz="4" w:space="0" w:color="000000"/>
            </w:tcBorders>
          </w:tcPr>
          <w:p>
            <w:pPr>
              <w:pStyle w:val="TableContents"/>
              <w:widowControl w:val="false"/>
              <w:suppressLineNumbers/>
              <w:bidi w:val="0"/>
              <w:jc w:val="left"/>
              <w:rPr/>
            </w:pPr>
            <w:r>
              <w:rPr/>
              <w:t>Up to 37%</w:t>
            </w:r>
          </w:p>
        </w:tc>
        <w:tc>
          <w:tcPr>
            <w:tcW w:w="3324" w:type="dxa"/>
            <w:tcBorders>
              <w:left w:val="single" w:sz="4" w:space="0" w:color="000000"/>
              <w:bottom w:val="single" w:sz="4" w:space="0" w:color="000000"/>
            </w:tcBorders>
          </w:tcPr>
          <w:p>
            <w:pPr>
              <w:pStyle w:val="TableContents"/>
              <w:widowControl w:val="false"/>
              <w:suppressLineNumbers/>
              <w:bidi w:val="0"/>
              <w:jc w:val="left"/>
              <w:rPr/>
            </w:pPr>
            <w:r>
              <w:rPr/>
              <w:t>ARI liquidating trust, non-U.S. holder</w:t>
            </w:r>
          </w:p>
        </w:tc>
        <w:tc>
          <w:tcPr>
            <w:tcW w:w="3324"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Only the U.S. effectively connected net income in the distribution</w:t>
            </w:r>
          </w:p>
        </w:tc>
      </w:tr>
      <w:tr>
        <w:trPr/>
        <w:tc>
          <w:tcPr>
            <w:tcW w:w="3324" w:type="dxa"/>
            <w:tcBorders>
              <w:left w:val="single" w:sz="4" w:space="0" w:color="000000"/>
              <w:bottom w:val="single" w:sz="4" w:space="0" w:color="000000"/>
            </w:tcBorders>
          </w:tcPr>
          <w:p>
            <w:pPr>
              <w:pStyle w:val="TableContents"/>
              <w:widowControl w:val="false"/>
              <w:suppressLineNumbers/>
              <w:bidi w:val="0"/>
              <w:jc w:val="left"/>
              <w:rPr/>
            </w:pPr>
            <w:r>
              <w:rPr/>
              <w:t>15%</w:t>
            </w:r>
          </w:p>
        </w:tc>
        <w:tc>
          <w:tcPr>
            <w:tcW w:w="3324" w:type="dxa"/>
            <w:tcBorders>
              <w:left w:val="single" w:sz="4" w:space="0" w:color="000000"/>
              <w:bottom w:val="single" w:sz="4" w:space="0" w:color="000000"/>
            </w:tcBorders>
          </w:tcPr>
          <w:p>
            <w:pPr>
              <w:pStyle w:val="TableContents"/>
              <w:widowControl w:val="false"/>
              <w:suppressLineNumbers/>
              <w:bidi w:val="0"/>
              <w:jc w:val="left"/>
              <w:rPr/>
            </w:pPr>
            <w:r>
              <w:rPr/>
              <w:t>ARI trust distribution to a non-U.S. corporation</w:t>
            </w:r>
          </w:p>
        </w:tc>
        <w:tc>
          <w:tcPr>
            <w:tcW w:w="3324"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Only the amount above the holder’s basis in the trust interest</w:t>
            </w:r>
          </w:p>
        </w:tc>
      </w:tr>
      <w:tr>
        <w:trPr/>
        <w:tc>
          <w:tcPr>
            <w:tcW w:w="3324" w:type="dxa"/>
            <w:tcBorders>
              <w:left w:val="single" w:sz="4" w:space="0" w:color="000000"/>
              <w:bottom w:val="single" w:sz="4" w:space="0" w:color="000000"/>
            </w:tcBorders>
          </w:tcPr>
          <w:p>
            <w:pPr>
              <w:pStyle w:val="TableContents"/>
              <w:widowControl w:val="false"/>
              <w:suppressLineNumbers/>
              <w:bidi w:val="0"/>
              <w:jc w:val="left"/>
              <w:rPr/>
            </w:pPr>
            <w:r>
              <w:rPr/>
              <w:t>10%</w:t>
            </w:r>
          </w:p>
        </w:tc>
        <w:tc>
          <w:tcPr>
            <w:tcW w:w="3324" w:type="dxa"/>
            <w:tcBorders>
              <w:left w:val="single" w:sz="4" w:space="0" w:color="000000"/>
              <w:bottom w:val="single" w:sz="4" w:space="0" w:color="000000"/>
            </w:tcBorders>
          </w:tcPr>
          <w:p>
            <w:pPr>
              <w:pStyle w:val="TableContents"/>
              <w:widowControl w:val="false"/>
              <w:suppressLineNumbers/>
              <w:bidi w:val="0"/>
              <w:jc w:val="left"/>
              <w:rPr/>
            </w:pPr>
            <w:r>
              <w:rPr/>
              <w:t>AIV partnership-style liquidating entity</w:t>
            </w:r>
          </w:p>
        </w:tc>
        <w:tc>
          <w:tcPr>
            <w:tcW w:w="3324"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Only the amount above the holder’s basis</w:t>
            </w:r>
          </w:p>
        </w:tc>
      </w:tr>
      <w:tr>
        <w:trPr/>
        <w:tc>
          <w:tcPr>
            <w:tcW w:w="3324" w:type="dxa"/>
            <w:tcBorders>
              <w:left w:val="single" w:sz="4" w:space="0" w:color="000000"/>
              <w:bottom w:val="single" w:sz="4" w:space="0" w:color="000000"/>
            </w:tcBorders>
          </w:tcPr>
          <w:p>
            <w:pPr>
              <w:pStyle w:val="TableContents"/>
              <w:widowControl w:val="false"/>
              <w:suppressLineNumbers/>
              <w:bidi w:val="0"/>
              <w:jc w:val="left"/>
              <w:rPr/>
            </w:pPr>
            <w:r>
              <w:rPr/>
              <w:t>10% or 15%</w:t>
            </w:r>
          </w:p>
        </w:tc>
        <w:tc>
          <w:tcPr>
            <w:tcW w:w="3324" w:type="dxa"/>
            <w:tcBorders>
              <w:left w:val="single" w:sz="4" w:space="0" w:color="000000"/>
              <w:bottom w:val="single" w:sz="4" w:space="0" w:color="000000"/>
            </w:tcBorders>
          </w:tcPr>
          <w:p>
            <w:pPr>
              <w:pStyle w:val="TableContents"/>
              <w:widowControl w:val="false"/>
              <w:suppressLineNumbers/>
              <w:bidi w:val="0"/>
              <w:jc w:val="left"/>
              <w:rPr/>
            </w:pPr>
            <w:r>
              <w:rPr/>
              <w:t>Sale of a trust or liquidating-entity interest</w:t>
            </w:r>
          </w:p>
        </w:tc>
        <w:tc>
          <w:tcPr>
            <w:tcW w:w="3324"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10% of the amount realized, or 15% if it is a U.S. real property interest</w:t>
            </w:r>
          </w:p>
        </w:tc>
      </w:tr>
    </w:tbl>
    <w:p>
      <w:pPr>
        <w:pStyle w:val="BodyText"/>
        <w:bidi w:val="0"/>
        <w:spacing w:before="0" w:after="140"/>
        <w:jc w:val="left"/>
        <w:rPr/>
      </w:pPr>
      <w:r>
        <w:rPr/>
      </w:r>
    </w:p>
    <w:p>
      <w:pPr>
        <w:pStyle w:val="BodyText"/>
        <w:bidi w:val="0"/>
        <w:spacing w:before="0" w:after="140"/>
        <w:jc w:val="left"/>
        <w:rPr/>
      </w:pPr>
      <w:r>
        <w:rPr/>
      </w:r>
      <w:r>
        <w:br w:type="page"/>
      </w:r>
    </w:p>
    <w:p>
      <w:pPr>
        <w:pStyle w:val="BodyText"/>
        <w:bidi w:val="0"/>
        <w:spacing w:before="0" w:after="140"/>
        <w:jc w:val="left"/>
        <w:rPr>
          <w:b/>
          <w:bCs/>
          <w:u w:val="single"/>
        </w:rPr>
      </w:pPr>
      <w:r>
        <w:rPr>
          <w:b/>
          <w:bCs/>
          <w:u w:val="single"/>
        </w:rPr>
        <w:t>ELME PROXY September 24, 2025 proxy:</w:t>
      </w:r>
    </w:p>
    <w:p>
      <w:pPr>
        <w:pStyle w:val="BodyText"/>
        <w:bidi w:val="0"/>
        <w:spacing w:before="0" w:after="140"/>
        <w:jc w:val="left"/>
        <w:rPr/>
      </w:pPr>
      <w:r>
        <w:rPr>
          <w:shd w:fill="FFFF00" w:val="clear"/>
        </w:rPr>
        <w:t>A non-U.S. holder of 10% or less, while the shares were regularly traded on the NYSE, is generally not subject to FIRPTA withholding on these liquidating distributions. Both cash payments above were made while ELME was still NYSE-listed</w:t>
      </w:r>
      <w:r>
        <w:rPr/>
        <w:t>.</w:t>
      </w:r>
    </w:p>
    <w:p>
      <w:pPr>
        <w:pStyle w:val="BodyText"/>
        <w:bidi w:val="0"/>
        <w:spacing w:before="0" w:after="140"/>
        <w:jc w:val="left"/>
        <w:rPr/>
      </w:pPr>
      <w:r>
        <w:rPr/>
        <w:t>A non-U.S. holder who owned more than 10% at any time in the year before the distribution is subject to 21% withholding, and only on the portion of the distribution that is gain from the sale of U.S. real property. Elme has not published that portion, so that 21% cannot be turned into a per-share dollar amount from the filings. The amount withheld is a credit against U.S. tax, not an extra tax on top.</w:t>
      </w:r>
    </w:p>
    <w:p>
      <w:pPr>
        <w:pStyle w:val="BodyText"/>
        <w:bidi w:val="0"/>
        <w:spacing w:before="0" w:after="140"/>
        <w:jc w:val="left"/>
        <w:rPr/>
      </w:pPr>
      <w:r>
        <w:rPr/>
        <w:t>Backup withholding of 24% applies only if the holder did not give a valid Form W-9 or W-8.</w:t>
      </w:r>
    </w:p>
    <w:p>
      <w:pPr>
        <w:pStyle w:val="BodyText"/>
        <w:bidi w:val="0"/>
        <w:spacing w:before="0" w:after="140"/>
        <w:jc w:val="left"/>
        <w:rPr/>
      </w:pPr>
      <w:r>
        <w:rPr/>
        <w:t>For a U.S. holder with a W-9 on file, the proxy does not impose withholding on these distributions. Amounts are a return of basis until basis is recovered, then capital gain.</w:t>
      </w:r>
    </w:p>
    <w:p>
      <w:pPr>
        <w:pStyle w:val="BodyText"/>
        <w:bidi w:val="0"/>
        <w:spacing w:before="0" w:after="140"/>
        <w:jc w:val="left"/>
        <w:rPr/>
      </w:pPr>
      <w:r>
        <w:rPr/>
      </w:r>
    </w:p>
    <w:p>
      <w:pPr>
        <w:pStyle w:val="BodyText"/>
        <w:bidi w:val="0"/>
        <w:spacing w:before="0" w:after="140"/>
        <w:jc w:val="left"/>
        <w:rPr/>
      </w:pPr>
      <w:r>
        <w:rPr/>
        <w:t xml:space="preserve">A </w:t>
      </w:r>
      <w:r>
        <w:rPr>
          <w:b/>
          <w:bCs/>
        </w:rPr>
        <w:t xml:space="preserve">US real estate liquidating trust </w:t>
      </w:r>
      <w:r>
        <w:rPr/>
        <w:t>must withhold US tax when it pays a foreign investor out of gain from selling US real estate. That withholding is on the realized gain, not on a dividend. These trusts do not pay dividends.</w:t>
      </w:r>
    </w:p>
    <w:p>
      <w:pPr>
        <w:pStyle w:val="BodyText"/>
        <w:bidi w:val="0"/>
        <w:spacing w:before="0" w:after="140"/>
        <w:jc w:val="left"/>
        <w:rPr/>
      </w:pPr>
      <w:r>
        <w:rPr/>
      </w:r>
    </w:p>
    <w:p>
      <w:pPr>
        <w:pStyle w:val="BodyText"/>
        <w:bidi w:val="0"/>
        <w:spacing w:before="0" w:after="140"/>
        <w:jc w:val="left"/>
        <w:rPr/>
      </w:pPr>
      <w:r>
        <w:rPr/>
        <w:t>A liquidating trust is a trust set up to sell particular assets and pay out the proceeds. Under [Treas. Reg. § 301.7701-4(d)](https://www.law.cornell.edu/cfr/text/26/301.7701-4), that is its tax status only while it is actually winding up. If it starts running the properties as an ongoing business, it stops being a liquidating trust.</w:t>
      </w:r>
    </w:p>
    <w:p>
      <w:pPr>
        <w:pStyle w:val="BodyText"/>
        <w:bidi w:val="0"/>
        <w:spacing w:before="0" w:after="140"/>
        <w:jc w:val="left"/>
        <w:rPr/>
      </w:pPr>
      <w:r>
        <w:rPr/>
      </w:r>
    </w:p>
    <w:p>
      <w:pPr>
        <w:pStyle w:val="BodyText"/>
        <w:bidi w:val="0"/>
        <w:spacing w:before="0" w:after="140"/>
        <w:jc w:val="left"/>
        <w:rPr/>
      </w:pPr>
      <w:r>
        <w:rPr/>
        <w:t>## What is withheld</w:t>
      </w:r>
    </w:p>
    <w:p>
      <w:pPr>
        <w:pStyle w:val="BodyText"/>
        <w:bidi w:val="0"/>
        <w:spacing w:before="0" w:after="140"/>
        <w:jc w:val="left"/>
        <w:rPr/>
      </w:pPr>
      <w:r>
        <w:rPr/>
        <w:t>The rule is the Foreign Investment in Real Property Tax Act (FIRPTA), in [IRC § 1445(e)(1)](https://uscode.house.gov/view.xhtml?req=granuleid:USC-prelim-title26-section1445) and [Treas. Reg. § 1.1445-5(c)](https://www.law.cornell.edu/cfr/text/26/1.1445-5). The trustee withholds even when the foreign investor is treated as the owner of the trust.</w:t>
      </w:r>
    </w:p>
    <w:p>
      <w:pPr>
        <w:pStyle w:val="BodyText"/>
        <w:bidi w:val="0"/>
        <w:spacing w:before="0" w:after="140"/>
        <w:jc w:val="left"/>
        <w:rPr>
          <w:b/>
          <w:bCs/>
        </w:rPr>
      </w:pPr>
      <w:r>
        <w:rPr>
          <w:b/>
          <w:bCs/>
        </w:rPr>
        <w:t>The rate is **21% of the realized gain** allocable to the foreign person (the top corporate rate in IRC § 11(b)). Before 2018 the rate was 35%.</w:t>
      </w:r>
    </w:p>
    <w:p>
      <w:pPr>
        <w:pStyle w:val="BodyText"/>
        <w:bidi w:val="0"/>
        <w:spacing w:before="0" w:after="140"/>
        <w:jc w:val="left"/>
        <w:rPr/>
      </w:pPr>
      <w:r>
        <w:rPr/>
      </w:r>
    </w:p>
    <w:p>
      <w:pPr>
        <w:pStyle w:val="BodyText"/>
        <w:bidi w:val="0"/>
        <w:spacing w:before="0" w:after="140"/>
        <w:jc w:val="left"/>
        <w:rPr/>
      </w:pPr>
      <w:r>
        <w:rPr/>
        <w:t>How that gain is measured depends on the trust:</w:t>
      </w:r>
    </w:p>
    <w:p>
      <w:pPr>
        <w:pStyle w:val="BodyText"/>
        <w:bidi w:val="0"/>
        <w:spacing w:before="0" w:after="140"/>
        <w:jc w:val="left"/>
        <w:rPr/>
      </w:pPr>
      <w:r>
        <w:rPr/>
      </w:r>
    </w:p>
    <w:p>
      <w:pPr>
        <w:pStyle w:val="BodyText"/>
        <w:bidi w:val="0"/>
        <w:spacing w:before="0" w:after="140"/>
        <w:jc w:val="left"/>
        <w:rPr/>
      </w:pPr>
      <w:r>
        <w:rPr/>
        <w:t>- **Grantor trust**, which is the usual treatment of a liquidating trust. The trustee withholds 21% of the gain on each sale of a US real property interest, to the extent that gain belongs to a foreign owner. [Treas. Reg. § 1.1445-5(c)(1)(iv)](https://www.law.cornell.edu/cfr/text/26/1.1445-5).</w:t>
      </w:r>
    </w:p>
    <w:p>
      <w:pPr>
        <w:pStyle w:val="BodyText"/>
        <w:bidi w:val="0"/>
        <w:spacing w:before="0" w:after="140"/>
        <w:jc w:val="left"/>
        <w:rPr/>
      </w:pPr>
      <w:r>
        <w:rPr/>
        <w:t>- **Ordinary trust.** The trustee keeps a US real property interest account for the year: gains from sales of US real property, minus losses from those sales. A payment to a beneficiary is treated as coming out of that gain account first. Withholding is 21% of the payment only up to the balance in that account. Cash paid after the account is down to zero — the investor’s share of basis, or other amounts — is outside this withholding. Any gain still in the account at year-end is wiped and does not carry into the next year. The IRS describes this [here](https://www.irs.gov/individuals/international-taxpayers/definitions-of-terms-and-procedures-unique-to-firpta).</w:t>
      </w:r>
    </w:p>
    <w:p>
      <w:pPr>
        <w:pStyle w:val="BodyText"/>
        <w:bidi w:val="0"/>
        <w:spacing w:before="0" w:after="140"/>
        <w:jc w:val="left"/>
        <w:rPr/>
      </w:pPr>
      <w:r>
        <w:rPr/>
      </w:r>
    </w:p>
    <w:p>
      <w:pPr>
        <w:pStyle w:val="BodyText"/>
        <w:bidi w:val="0"/>
        <w:spacing w:before="0" w:after="140"/>
        <w:jc w:val="left"/>
        <w:rPr/>
      </w:pPr>
      <w:r>
        <w:rPr/>
        <w:t>Example from the regulation’s method. The trust sells US land with a $30 gain and later pays the foreign investor $100. Withholding is 21% of $30, or $6.30. The other $70 is the investor’s capital coming back and is outside this tax.</w:t>
      </w:r>
    </w:p>
    <w:p>
      <w:pPr>
        <w:pStyle w:val="BodyText"/>
        <w:bidi w:val="0"/>
        <w:spacing w:before="0" w:after="140"/>
        <w:jc w:val="left"/>
        <w:rPr/>
      </w:pPr>
      <w:r>
        <w:rPr/>
      </w:r>
    </w:p>
    <w:p>
      <w:pPr>
        <w:pStyle w:val="BodyText"/>
        <w:bidi w:val="0"/>
        <w:spacing w:before="0" w:after="140"/>
        <w:jc w:val="left"/>
        <w:rPr/>
      </w:pPr>
      <w:r>
        <w:rPr/>
        <w:t>That gain is taxed to the foreign investor as income connected with a US trade or business ([IRC § 897(a)](https://uscode.house.gov/view.xhtml?req=granuleid:USC-prelim-title26-section897)). The 21% is a prepayment. The investor generally files a US return and claims it as a credit. The final tax can be higher for an individual, whose rates go up to 37%, or lower, in which case the difference is refunded. The trustee can also ask the IRS, on Form 8288-B, to withhold less when the investor’s actual tax will be below 21%.</w:t>
      </w:r>
    </w:p>
    <w:p>
      <w:pPr>
        <w:pStyle w:val="BodyText"/>
        <w:bidi w:val="0"/>
        <w:spacing w:before="0" w:after="140"/>
        <w:jc w:val="left"/>
        <w:rPr/>
      </w:pPr>
      <w:r>
        <w:rPr/>
      </w:r>
    </w:p>
    <w:p>
      <w:pPr>
        <w:pStyle w:val="BodyText"/>
        <w:bidi w:val="0"/>
        <w:spacing w:before="0" w:after="140"/>
        <w:jc w:val="left"/>
        <w:rPr/>
      </w:pPr>
      <w:r>
        <w:rPr/>
        <w:t>A separate 30% withholding tax (often reduced by treaty) can apply if the trust pays the foreign investor other US-source passive income, such as interest or dividends the trust itself collected. That is [IRC § 1441](https://uscode.house.gov/view.xhtml?req=granuleid:USC-prelim-title26-section1441). It is a different tax from the FIRPTA tax on sale gain. US rental profit is often taxed as business income instead, so it does not fall under the 30% rule.</w:t>
      </w:r>
    </w:p>
    <w:p>
      <w:pPr>
        <w:pStyle w:val="BodyText"/>
        <w:bidi w:val="0"/>
        <w:spacing w:before="0" w:after="140"/>
        <w:jc w:val="left"/>
        <w:rPr/>
      </w:pPr>
      <w:r>
        <w:rPr/>
      </w:r>
    </w:p>
    <w:p>
      <w:pPr>
        <w:pStyle w:val="BodyText"/>
        <w:bidi w:val="0"/>
        <w:spacing w:before="0" w:after="140"/>
        <w:jc w:val="left"/>
        <w:rPr/>
      </w:pPr>
      <w:r>
        <w:rPr/>
        <w:t>Withholding is not required for a beneficiary who certifies that they are not a foreign person, or for a qualified foreign pension fund, which is outside FIRPTA under IRC § 897(l).</w:t>
      </w:r>
    </w:p>
    <w:p>
      <w:pPr>
        <w:pStyle w:val="BodyText"/>
        <w:bidi w:val="0"/>
        <w:spacing w:before="0" w:after="140"/>
        <w:jc w:val="left"/>
        <w:rPr/>
      </w:pPr>
      <w:r>
        <w:rPr/>
      </w:r>
    </w:p>
    <w:p>
      <w:pPr>
        <w:pStyle w:val="BodyText"/>
        <w:bidi w:val="0"/>
        <w:spacing w:before="0" w:after="140"/>
        <w:jc w:val="left"/>
        <w:rPr/>
      </w:pPr>
      <w:r>
        <w:rPr/>
        <w:t>## If the vehicle is a REIT instead</w:t>
      </w:r>
    </w:p>
    <w:p>
      <w:pPr>
        <w:pStyle w:val="BodyText"/>
        <w:bidi w:val="0"/>
        <w:spacing w:before="0" w:after="140"/>
        <w:jc w:val="left"/>
        <w:rPr/>
      </w:pPr>
      <w:r>
        <w:rPr/>
      </w:r>
    </w:p>
    <w:p>
      <w:pPr>
        <w:pStyle w:val="BodyText"/>
        <w:bidi w:val="0"/>
        <w:spacing w:before="0" w:after="140"/>
        <w:jc w:val="left"/>
        <w:rPr/>
      </w:pPr>
      <w:r>
        <w:rPr/>
        <w:t>A real estate investment trust is a different entity, and one payment to a foreign shareholder can contain two different amounts:</w:t>
      </w:r>
    </w:p>
    <w:p>
      <w:pPr>
        <w:pStyle w:val="BodyText"/>
        <w:bidi w:val="0"/>
        <w:spacing w:before="0" w:after="140"/>
        <w:jc w:val="left"/>
        <w:rPr/>
      </w:pPr>
      <w:r>
        <w:rPr/>
      </w:r>
    </w:p>
    <w:p>
      <w:pPr>
        <w:pStyle w:val="BodyText"/>
        <w:bidi w:val="0"/>
        <w:spacing w:before="0" w:after="140"/>
        <w:jc w:val="left"/>
        <w:rPr/>
      </w:pPr>
      <w:r>
        <w:rPr/>
        <w:t>| Slice of the payment | What it represents | Withholding |</w:t>
      </w:r>
    </w:p>
    <w:p>
      <w:pPr>
        <w:pStyle w:val="BodyText"/>
        <w:bidi w:val="0"/>
        <w:spacing w:before="0" w:after="140"/>
        <w:jc w:val="left"/>
        <w:rPr/>
      </w:pPr>
      <w:r>
        <w:rPr/>
        <w:t>| --- | --- | --- |</w:t>
      </w:r>
    </w:p>
    <w:p>
      <w:pPr>
        <w:pStyle w:val="BodyText"/>
        <w:bidi w:val="0"/>
        <w:spacing w:before="0" w:after="140"/>
        <w:jc w:val="left"/>
        <w:rPr/>
      </w:pPr>
      <w:r>
        <w:rPr/>
        <w:t>| Ordinary dividend | Distributed rental and operating profit | Generally 30% of the dividend under IRC § 1441, often reduced by treaty. Computed on the dividend. |</w:t>
      </w:r>
    </w:p>
    <w:p>
      <w:pPr>
        <w:pStyle w:val="BodyText"/>
        <w:bidi w:val="0"/>
        <w:spacing w:before="0" w:after="140"/>
        <w:jc w:val="left"/>
        <w:rPr/>
      </w:pPr>
      <w:r>
        <w:rPr/>
        <w:t>| Amount tied to sales of US real property | Gain the REIT realized on those sales | Recharacterized by [IRC § 897(h)(1)](https://uscode.house.gov/view.xhtml?req=granuleid:USC-prelim-title26-section897) as the shareholder’s own gain from selling US real property. The REIT withholds **21% of that gain amount** under IRC § 1445(e)(6). Treaty dividend rates do not reduce it. |</w:t>
      </w:r>
    </w:p>
    <w:p>
      <w:pPr>
        <w:pStyle w:val="BodyText"/>
        <w:bidi w:val="0"/>
        <w:spacing w:before="0" w:after="140"/>
        <w:jc w:val="left"/>
        <w:rPr/>
      </w:pPr>
      <w:r>
        <w:rPr/>
      </w:r>
    </w:p>
    <w:p>
      <w:pPr>
        <w:pStyle w:val="BodyText"/>
        <w:bidi w:val="0"/>
        <w:spacing w:before="0" w:after="140"/>
        <w:jc w:val="left"/>
        <w:rPr/>
      </w:pPr>
      <w:r>
        <w:rPr/>
        <w:t>So for a REIT, ordinary profit that is paid out is taxed as a dividend. Profit from selling the real estate is taxed as realized gain, and only that slice of the distribution is subject to the 21% FIRPTA withholding.</w:t>
      </w:r>
    </w:p>
    <w:p>
      <w:pPr>
        <w:pStyle w:val="BodyText"/>
        <w:bidi w:val="0"/>
        <w:spacing w:before="0" w:after="140"/>
        <w:jc w:val="left"/>
        <w:rPr/>
      </w:pPr>
      <w:r>
        <w:rPr/>
      </w:r>
    </w:p>
    <w:p>
      <w:pPr>
        <w:pStyle w:val="BodyText"/>
        <w:bidi w:val="0"/>
        <w:spacing w:before="0" w:after="140"/>
        <w:jc w:val="left"/>
        <w:rPr/>
      </w:pPr>
      <w:r>
        <w:rPr/>
        <w:t>A holder of **10% or less** of a class of publicly traded REIT stock, throughout the year before the distribution, is outside that look-through. [IRC § 897(k)](https://uscode.house.gov/view.xhtml?req=granuleid:USC-prelim-title26-section897) raises the statutory 5% threshold to 10% for REIT distributions. Ordinary dividends to that holder are still subject to the 30% or treaty withholding.</w:t>
      </w:r>
    </w:p>
    <w:p>
      <w:pPr>
        <w:pStyle w:val="BodyText"/>
        <w:bidi w:val="0"/>
        <w:spacing w:before="0" w:after="140"/>
        <w:jc w:val="left"/>
        <w:rPr/>
      </w:pPr>
      <w:r>
        <w:rPr/>
      </w:r>
    </w:p>
    <w:p>
      <w:pPr>
        <w:pStyle w:val="BodyText"/>
        <w:bidi w:val="0"/>
        <w:spacing w:before="0" w:after="140"/>
        <w:jc w:val="left"/>
        <w:rPr/>
      </w:pPr>
      <w:r>
        <w:rPr/>
        <w:t>The IRS position in [Notice 2007-55](https://www.irs.gov/pub/irs-drop/n-07-55.pdf) is that the look-through also covers a liquidating distribution, not only a regular dividend. Any remainder of that liquidating payment is treated as payment for the shares. If the REIT is not domestically controlled, the shares themselves are US real property, and that remainder can be FIRPTA gain as well, with 15% withholding on the amount realized under IRC § 1445(e)(3). A domestically controlled REIT’s shares are not US real property ([IRC § 897(h)(2)](https://uscode.house.gov/view.xhtml?req=granuleid:USC-prelim-title26-section897)), but the look-through on the REIT’s own realized real-estate gain still applies.</w:t>
      </w:r>
    </w:p>
    <w:p>
      <w:pPr>
        <w:pStyle w:val="BodyText"/>
        <w:bidi w:val="0"/>
        <w:spacing w:before="0" w:after="140"/>
        <w:jc w:val="left"/>
        <w:rPr/>
      </w:pPr>
      <w:r>
        <w:rPr/>
      </w:r>
    </w:p>
    <w:p>
      <w:pPr>
        <w:pStyle w:val="BodyText"/>
        <w:bidi w:val="0"/>
        <w:spacing w:before="0" w:after="140"/>
        <w:jc w:val="left"/>
        <w:rPr/>
      </w:pPr>
      <w:r>
        <w:rPr/>
        <w:t>This is the general federal rule. The trust instrument, whether a particular investor is a corporation, individual, or pension fund, and the applicable treaty can change the amount.</w:t>
      </w:r>
      <w:r>
        <w:br w:type="page"/>
      </w:r>
    </w:p>
    <w:p>
      <w:pPr>
        <w:pStyle w:val="BodyText"/>
        <w:bidi w:val="0"/>
        <w:spacing w:before="0" w:after="140"/>
        <w:jc w:val="left"/>
        <w:rPr/>
      </w:pPr>
      <w:r>
        <w:rPr/>
      </w:r>
    </w:p>
    <w:p>
      <w:pPr>
        <w:pStyle w:val="BodyText"/>
        <w:bidi w:val="0"/>
        <w:spacing w:before="0" w:after="140"/>
        <w:jc w:val="left"/>
        <w:rPr>
          <w:b/>
          <w:bCs/>
        </w:rPr>
      </w:pPr>
      <w:r>
        <w:rPr>
          <w:b/>
          <w:bCs/>
        </w:rPr>
        <w:t>Apollo Commercial Real Estate Finance, Inc. (NYSE: ARI) investor relations:</w:t>
      </w:r>
    </w:p>
    <w:p>
      <w:pPr>
        <w:pStyle w:val="BodyText"/>
        <w:bidi w:val="0"/>
        <w:spacing w:before="0" w:after="140"/>
        <w:jc w:val="left"/>
        <w:rPr/>
      </w:pPr>
      <w:r>
        <w:rPr/>
      </w:r>
    </w:p>
    <w:p>
      <w:pPr>
        <w:pStyle w:val="BodyText"/>
        <w:bidi w:val="0"/>
        <w:spacing w:before="0" w:after="140"/>
        <w:jc w:val="left"/>
        <w:rPr/>
      </w:pPr>
      <w:r>
        <w:rPr/>
        <w:t>Telephone: (212) 822-0767</w:t>
      </w:r>
    </w:p>
    <w:p>
      <w:pPr>
        <w:pStyle w:val="BodyText"/>
        <w:bidi w:val="0"/>
        <w:spacing w:before="0" w:after="140"/>
        <w:jc w:val="left"/>
        <w:rPr/>
      </w:pPr>
      <w:r>
        <w:rPr/>
        <w:t>Hilary Ginsberg, Investor Relations</w:t>
      </w:r>
    </w:p>
    <w:p>
      <w:pPr>
        <w:pStyle w:val="BodyText"/>
        <w:bidi w:val="0"/>
        <w:spacing w:before="0" w:after="140"/>
        <w:jc w:val="left"/>
        <w:rPr/>
      </w:pPr>
      <w:r>
        <w:rPr/>
        <w:t>Email: hmginsberg@apollo.com</w:t>
      </w:r>
    </w:p>
    <w:p>
      <w:pPr>
        <w:pStyle w:val="BodyText"/>
        <w:bidi w:val="0"/>
        <w:spacing w:before="0" w:after="140"/>
        <w:jc w:val="left"/>
        <w:rPr/>
      </w:pPr>
      <w:r>
        <w:rPr/>
        <w:t>9 West 57th Street, New York, NY 10019</w:t>
      </w:r>
    </w:p>
    <w:p>
      <w:pPr>
        <w:pStyle w:val="BodyText"/>
        <w:bidi w:val="0"/>
        <w:spacing w:before="0" w:after="140"/>
        <w:jc w:val="left"/>
        <w:rPr/>
      </w:pPr>
      <w:r>
        <w:rPr/>
      </w:r>
    </w:p>
    <w:p>
      <w:pPr>
        <w:pStyle w:val="BodyText"/>
        <w:bidi w:val="0"/>
        <w:spacing w:before="0" w:after="140"/>
        <w:jc w:val="left"/>
        <w:rPr/>
      </w:pPr>
      <w:r>
        <w:rPr/>
        <w:t>That number is the one listed on the company’s site and on recent earnings releases. A general investor-relations line is also published as (212) 515-3200.</w:t>
      </w:r>
    </w:p>
    <w:p>
      <w:pPr>
        <w:pStyle w:val="BodyText"/>
        <w:bidi w:val="0"/>
        <w:spacing w:before="0" w:after="140"/>
        <w:jc w:val="left"/>
        <w:rPr/>
      </w:pPr>
      <w:r>
        <w:rPr/>
      </w:r>
    </w:p>
    <w:p>
      <w:pPr>
        <w:pStyle w:val="BodyText"/>
        <w:bidi w:val="0"/>
        <w:spacing w:before="0" w:after="140"/>
        <w:jc w:val="left"/>
        <w:rPr/>
      </w:pPr>
      <w:r>
        <w:rPr/>
        <w:t>For share ownership, dividends, or the dividend reinvestment plan, the transfer agent is EQ Shareowner Services at 800-468-9716 (or 1-651-450-4064 from outside the United States).</w:t>
      </w:r>
    </w:p>
    <w:p>
      <w:pPr>
        <w:pStyle w:val="BodyText"/>
        <w:bidi w:val="0"/>
        <w:spacing w:before="0" w:after="140"/>
        <w:jc w:val="left"/>
        <w:rPr/>
      </w:pPr>
      <w:r>
        <w:rPr/>
      </w:r>
    </w:p>
    <w:p>
      <w:pPr>
        <w:pStyle w:val="BodyText"/>
        <w:bidi w:val="0"/>
        <w:spacing w:before="0" w:after="140"/>
        <w:jc w:val="left"/>
        <w:rPr>
          <w:b/>
          <w:bCs/>
        </w:rPr>
      </w:pPr>
      <w:r>
        <w:rPr>
          <w:b/>
          <w:bCs/>
        </w:rPr>
        <w:t>Apartment Investment and Management Company (Aimco, NYSE: AIV) investor relations:</w:t>
      </w:r>
    </w:p>
    <w:p>
      <w:pPr>
        <w:pStyle w:val="BodyText"/>
        <w:bidi w:val="0"/>
        <w:spacing w:before="0" w:after="140"/>
        <w:jc w:val="left"/>
        <w:rPr/>
      </w:pPr>
      <w:r>
        <w:rPr/>
      </w:r>
    </w:p>
    <w:p>
      <w:pPr>
        <w:pStyle w:val="BodyText"/>
        <w:bidi w:val="0"/>
        <w:spacing w:before="0" w:after="140"/>
        <w:jc w:val="left"/>
        <w:rPr/>
      </w:pPr>
      <w:r>
        <w:rPr/>
        <w:t>Telephone: (833) 373-1300 (toll-free) or (303) 793-4661</w:t>
      </w:r>
    </w:p>
    <w:p>
      <w:pPr>
        <w:pStyle w:val="BodyText"/>
        <w:bidi w:val="0"/>
        <w:spacing w:before="0" w:after="140"/>
        <w:jc w:val="left"/>
        <w:rPr/>
      </w:pPr>
      <w:r>
        <w:rPr/>
        <w:t>Matt Foster, VP, Investor Relations and Capital Markets</w:t>
      </w:r>
    </w:p>
    <w:p>
      <w:pPr>
        <w:pStyle w:val="BodyText"/>
        <w:bidi w:val="0"/>
        <w:spacing w:before="0" w:after="140"/>
        <w:jc w:val="left"/>
        <w:rPr/>
      </w:pPr>
      <w:r>
        <w:rPr/>
        <w:t>Email: Investor@aimco.com</w:t>
      </w:r>
    </w:p>
    <w:p>
      <w:pPr>
        <w:pStyle w:val="BodyText"/>
        <w:bidi w:val="0"/>
        <w:spacing w:before="0" w:after="140"/>
        <w:jc w:val="left"/>
        <w:rPr/>
      </w:pPr>
      <w:r>
        <w:rPr/>
        <w:t>4582 S. Ulster Street, Suite 1450, Denver, CO 80237</w:t>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b/>
          <w:bCs/>
        </w:rPr>
        <w:t>FREVS is First Real Estate Investment Trust of New Jersey, Inc.</w:t>
      </w:r>
      <w:r>
        <w:rPr/>
        <w:t xml:space="preserve"> Stockholders approved a plan of voluntary liquidation on September 29, 2026. The plan allows remaining assets to be moved into a liquidating trust; the company is still the registrant, and the published contact is unchanged.</w:t>
      </w:r>
    </w:p>
    <w:p>
      <w:pPr>
        <w:pStyle w:val="BodyText"/>
        <w:bidi w:val="0"/>
        <w:spacing w:before="0" w:after="140"/>
        <w:jc w:val="left"/>
        <w:rPr/>
      </w:pPr>
      <w:r>
        <w:rPr/>
      </w:r>
    </w:p>
    <w:p>
      <w:pPr>
        <w:pStyle w:val="BodyText"/>
        <w:bidi w:val="0"/>
        <w:spacing w:before="0" w:after="140"/>
        <w:jc w:val="left"/>
        <w:rPr/>
      </w:pPr>
      <w:r>
        <w:rPr/>
        <w:t>Investor relations (use this for stockholder questions)</w:t>
      </w:r>
    </w:p>
    <w:p>
      <w:pPr>
        <w:pStyle w:val="BodyText"/>
        <w:bidi w:val="0"/>
        <w:spacing w:before="0" w:after="140"/>
        <w:jc w:val="left"/>
        <w:rPr/>
      </w:pPr>
      <w:r>
        <w:rPr/>
      </w:r>
    </w:p>
    <w:p>
      <w:pPr>
        <w:pStyle w:val="BodyText"/>
        <w:bidi w:val="0"/>
        <w:spacing w:before="0" w:after="140"/>
        <w:jc w:val="left"/>
        <w:rPr/>
      </w:pPr>
      <w:r>
        <w:rPr/>
        <w:t>(201) 488-6400</w:t>
      </w:r>
    </w:p>
    <w:p>
      <w:pPr>
        <w:pStyle w:val="BodyText"/>
        <w:bidi w:val="0"/>
        <w:spacing w:before="0" w:after="140"/>
        <w:jc w:val="left"/>
        <w:rPr/>
      </w:pPr>
      <w:r>
        <w:rPr/>
        <w:t>Fax: (201) 487-1798</w:t>
      </w:r>
    </w:p>
    <w:p>
      <w:pPr>
        <w:pStyle w:val="BodyText"/>
        <w:bidi w:val="0"/>
        <w:spacing w:before="0" w:after="140"/>
        <w:jc w:val="left"/>
        <w:rPr/>
      </w:pPr>
      <w:r>
        <w:rPr/>
        <w:t>Irene D’Andrea, Investor Relations</w:t>
      </w:r>
    </w:p>
    <w:p>
      <w:pPr>
        <w:pStyle w:val="BodyText"/>
        <w:bidi w:val="0"/>
        <w:spacing w:before="0" w:after="140"/>
        <w:jc w:val="left"/>
        <w:rPr/>
      </w:pPr>
      <w:r>
        <w:rPr/>
        <w:t>505 Main Street, Suite 400, Hackensack, NJ 07601</w:t>
      </w:r>
    </w:p>
    <w:p>
      <w:pPr>
        <w:pStyle w:val="BodyText"/>
        <w:bidi w:val="0"/>
        <w:spacing w:before="0" w:after="140"/>
        <w:jc w:val="left"/>
        <w:rPr/>
      </w:pPr>
      <w:r>
        <w:rPr/>
        <w:t>freitnj.com/contact-us</w:t>
      </w:r>
    </w:p>
    <w:p>
      <w:pPr>
        <w:pStyle w:val="BodyText"/>
        <w:bidi w:val="0"/>
        <w:spacing w:before="0" w:after="140"/>
        <w:jc w:val="left"/>
        <w:rPr/>
      </w:pPr>
      <w:r>
        <w:rPr/>
        <w:t>That phone number is the one on the latest SEC filings (including the September 30, 2026 8-K on the liquidation vote and the $3.20 initial liquidating distribution) and on the company site.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LibreOffice/25.8.5.2$Linux_X86_64 LibreOffice_project/580$Build-2</Application>
  <AppVersion>15.0000</AppVersion>
  <Pages>7</Pages>
  <Words>1819</Words>
  <Characters>9769</Characters>
  <CharactersWithSpaces>11508</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2026-10-26T14:48:17Z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