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Mayflower Hotel</w:t>
      </w:r>
    </w:p>
    <w:p>
      <w:pPr>
        <w:pStyle w:val="BodyText"/>
        <w:bidi w:val="0"/>
        <w:jc w:val="left"/>
        <w:rPr/>
      </w:pPr>
      <w:r>
        <w:rPr/>
        <w:t>1127 Connecticut Avenue NW, Washington, DC 20036.</w:t>
      </w:r>
    </w:p>
    <w:p>
      <w:pPr>
        <w:pStyle w:val="BodyText"/>
        <w:bidi w:val="0"/>
        <w:jc w:val="left"/>
        <w:rPr/>
      </w:pPr>
      <w:r>
        <w:rPr/>
        <w:t>Site: https://www.themayflowerhotel.com/</w:t>
      </w:r>
    </w:p>
    <w:p>
      <w:pPr>
        <w:pStyle w:val="BodyText"/>
        <w:bidi w:val="0"/>
        <w:jc w:val="left"/>
        <w:rPr/>
      </w:pPr>
      <w:r>
        <w:rPr/>
        <w:t>Photos: https://www.google.com/search?tbm=isch&amp;q=Mayflower+Hotel+1127+Connecticut+Avenue+Washington+DC</w:t>
      </w:r>
    </w:p>
    <w:p>
      <w:pPr>
        <w:pStyle w:val="BodyText"/>
        <w:bidi w:val="0"/>
        <w:jc w:val="left"/>
        <w:rPr/>
      </w:pPr>
      <w:r>
        <w:rPr/>
        <w:t>Book value is the December 31, 2025 net book. The June 30, 2026 loan is none. The D.C. hotel mortgage was repaid in that quarter. Equity is the net book, $137.4 million.</w:t>
      </w:r>
    </w:p>
    <w:p>
      <w:pPr>
        <w:pStyle w:val="Heading2"/>
        <w:bidi w:val="0"/>
        <w:ind w:hanging="0" w:left="0"/>
        <w:jc w:val="left"/>
        <w:rPr/>
      </w:pPr>
      <w:r>
        <w:rPr/>
        <w:t>Reported results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86"/>
        <w:gridCol w:w="4986"/>
      </w:tblGrid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Item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Amount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Net book, December 31, 2025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$137.4 million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Loan, June 30, 2026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None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Equity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$137.4 million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Q1 2026 revenue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$14.2 million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Q2 2026 revenue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$23.6 million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First-half 2026 revenue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$37.8 million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Q1 2026 operating earnings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$1.7 million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Q2 2026 operating earnings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$8.1 million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First-half 2026 operating earnings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$9.8 million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>Valuation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86"/>
        <w:gridCol w:w="4986"/>
      </w:tblGrid>
      <w:tr>
        <w:trPr/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Scenario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Valuation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Book value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$137.4 million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9.5% discount, HY2026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$206.3 million</w:t>
            </w:r>
          </w:p>
        </w:tc>
      </w:tr>
      <w:tr>
        <w:trPr/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10.5% discount, HY2026</w:t>
            </w:r>
          </w:p>
        </w:tc>
        <w:tc>
          <w:tcPr>
            <w:tcW w:w="49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$186.7 million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Earnings in this chapter are room, food, and other hotel revenue minus operating expense, before depreciation. The company points to the seasonality of hotel operations. The second-quarter result before depreciation was $6.4 million above the first quarter.</w:t>
      </w:r>
    </w:p>
    <w:p>
      <w:pPr>
        <w:pStyle w:val="BodyText"/>
        <w:bidi w:val="0"/>
        <w:jc w:val="left"/>
        <w:rPr/>
      </w:pPr>
      <w:r>
        <w:rPr/>
        <w:t>Operating earnings are before depreciation and before interest. The 10-Q does not assign depreciation to a single property. First-quarter figures are the half minus the second quarter, using the amounts in Note 5.</w:t>
      </w:r>
    </w:p>
    <w:p>
      <w:pPr>
        <w:pStyle w:val="BodyText"/>
        <w:bidi w:val="0"/>
        <w:spacing w:before="0" w:after="140"/>
        <w:jc w:val="left"/>
        <w:rPr/>
      </w:pPr>
      <w:r>
        <w:rPr/>
        <w:t>Source: Note 5 and the MD&amp;A comparison of the June 30, 2026 Form 10-Q. Net book is Schedule III of the 2025 Form 10-K.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LibreOffice/25.8.5.2$Linux_X86_64 LibreOffice_project/580$Build-2</Application>
  <AppVersion>15.0000</AppVersion>
  <Pages>2</Pages>
  <Words>208</Words>
  <Characters>1238</Characters>
  <CharactersWithSpaces>1408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2026-10-25T16:28:51Z</dcterms:modified>
  <cp:revision>1</cp:revision>
  <dc:subject/>
  <dc:title/>
</cp:coreProperties>
</file>