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The Brook</w:t>
      </w:r>
    </w:p>
    <w:p>
      <w:pPr>
        <w:pStyle w:val="BodyText"/>
        <w:bidi w:val="0"/>
        <w:jc w:val="left"/>
        <w:rPr/>
      </w:pPr>
      <w:r>
        <w:rPr/>
        <w:t>589 Fulton Street, Brooklyn, NY 11201. The leasing office lists 567 Fulton Street, on the same block.</w:t>
      </w:r>
    </w:p>
    <w:p>
      <w:pPr>
        <w:pStyle w:val="BodyText"/>
        <w:bidi w:val="0"/>
        <w:jc w:val="left"/>
        <w:rPr/>
      </w:pPr>
      <w:r>
        <w:rPr/>
        <w:t>Designed by Beyer Blinder Belle. A cellar, plus two floors of recreational and sports amenities. Developed by Witkoff and Apollo.</w:t>
      </w:r>
    </w:p>
    <w:p>
      <w:pPr>
        <w:pStyle w:val="BodyText"/>
        <w:bidi w:val="0"/>
        <w:jc w:val="left"/>
        <w:rPr/>
      </w:pPr>
      <w:r>
        <w:rPr/>
        <w:t>Site: https://brookbk.com/</w:t>
      </w:r>
    </w:p>
    <w:p>
      <w:pPr>
        <w:pStyle w:val="BodyText"/>
        <w:bidi w:val="0"/>
        <w:jc w:val="left"/>
        <w:rPr/>
      </w:pPr>
      <w:r>
        <w:rPr/>
        <w:t>Photos: https://www.google.com/search?tbm=isch&amp;q=The+Brook+589+Fulton+Street+Brooklyn</w:t>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leHeading"/>
              <w:suppressLineNumbers/>
              <w:bidi w:val="0"/>
              <w:jc w:val="center"/>
              <w:rPr/>
            </w:pPr>
            <w:r>
              <w:rPr/>
              <w:t>Item</w:t>
            </w:r>
          </w:p>
        </w:tc>
        <w:tc>
          <w:tcPr>
            <w:tcW w:w="4986"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t>Detail</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Apartments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591</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Affordable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30%</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Floors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51</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Height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601 feet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Building area</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557,973 sq ft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Average apartment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827 sq ft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Retail</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68,693 sq ft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Construction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Part open since late 2025. The rest still under construction at June 30, 2026</w:t>
            </w:r>
          </w:p>
        </w:tc>
      </w:tr>
    </w:tbl>
    <w:p>
      <w:pPr>
        <w:pStyle w:val="BodyText"/>
        <w:bidi w:val="0"/>
        <w:jc w:val="left"/>
        <w:rPr/>
      </w:pPr>
      <w:r>
        <w:rPr/>
      </w:r>
    </w:p>
    <w:p>
      <w:pPr>
        <w:pStyle w:val="BodyText"/>
        <w:bidi w:val="0"/>
        <w:jc w:val="left"/>
        <w:rPr/>
      </w:pPr>
      <w:r>
        <w:rPr/>
        <w:t>Height, 51 floors, building area, average apartment size, retail area, architect, and the amenity floors are from a year-end countdown of New York construction projects. Witkoff’s own page says 52 stories. The February 11, 2026 earnings call gives 591 apartments and about 20,000 square feet of ground-floor retail. The owner’s filing counts 178 affordable apartments. The 2025 10-K says components reached substantial completion in the third and fourth quarters of 2025 and were opened for occupancy. The June 30, 2026 10-Q says the remainder was still under construction. $21.7 million of the construction loan was still available for that work. Capitalized construction and financing costs were $20.1 million in the first half of 2026, against $53.0 million a year earlier.</w:t>
      </w:r>
    </w:p>
    <w:p>
      <w:pPr>
        <w:pStyle w:val="Heading2"/>
        <w:bidi w:val="0"/>
        <w:ind w:hanging="0" w:left="0"/>
        <w:jc w:val="left"/>
        <w:rPr/>
      </w:pPr>
      <w:r>
        <w:rPr/>
        <w:t>Affordable housing</w:t>
      </w:r>
    </w:p>
    <w:p>
      <w:pPr>
        <w:pStyle w:val="BodyText"/>
        <w:bidi w:val="0"/>
        <w:jc w:val="left"/>
        <w:rPr/>
      </w:pPr>
      <w:r>
        <w:rPr/>
        <w:t>Of the 591 apartments, 178 are income-restricted. The owner put 8 of them in Voluntary Inclusionary Housing, at 80% of area median income, and 170 in the 421-a tax program, at 130% of area median income. Area median income is the federal income figure for the New York region. A household must earn no more than that share of it. Rent is capped so housing cost is about 30% of the income limit, after a utility allowance. The owner filed allowances of $124 for a studio, $142 for a one-bedroom, and $177 for a two-bedroom. Tenants come from the city’s Housing Connect lottery. In the June 2025 lottery, 20% of the apartments gave preference to residents of Brooklyn Community District 2.</w:t>
      </w:r>
    </w:p>
    <w:p>
      <w:pPr>
        <w:pStyle w:val="BodyText"/>
        <w:bidi w:val="0"/>
        <w:jc w:val="left"/>
        <w:rPr/>
      </w:pPr>
      <w:r>
        <w:rPr/>
        <w:t>The cap is the cost to the developer. The owner cannot charge market rent on those 178 apartments, and cannot choose the tenants. In that lottery, affordable rents ran from $1,793 for a studio to $4,250 for a two-bedroom. Market listings in the same building started at $3,870 for a studio. The 421-a apartments stay income-restricted and rent-stabilized for 35 years after completion. A tenant still living there at the end can stay rent-stabilized. The eight inclusionary apartments are the zoning set-aside, and that restriction stays with the building. The city agreement binds a later buyer.</w:t>
      </w:r>
    </w:p>
    <w:p>
      <w:pPr>
        <w:pStyle w:val="BodyText"/>
        <w:bidi w:val="0"/>
        <w:jc w:val="left"/>
        <w:rPr/>
      </w:pPr>
      <w:r>
        <w:rPr/>
        <w:t>The developer is paid in permissions. The eight deeper apartments are what the zoning takes in exchange for floor area above the base limit. The 170 apartments are what the tax program takes. Under 421-a Option C, the option that fits a building with 30% of its apartments at or below 130% of area median income, the tax on the new building is waived for 25 years and then reduced by the affordable share for 10 years. The tax on the land stays. While the exemption is in force, the lower rent is partly offset by a smaller property-tax bill. When the exemption steps down, the rent caps remain and the tax bill rises.</w:t>
      </w:r>
    </w:p>
    <w:p>
      <w:pPr>
        <w:pStyle w:val="Heading2"/>
        <w:bidi w:val="0"/>
        <w:ind w:hanging="0" w:left="0"/>
        <w:jc w:val="left"/>
        <w:rPr/>
      </w:pPr>
      <w:r>
        <w:rPr/>
        <w:t>Book value, loan, and reported earnings</w:t>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leHeading"/>
              <w:suppressLineNumbers/>
              <w:bidi w:val="0"/>
              <w:jc w:val="center"/>
              <w:rPr/>
            </w:pPr>
            <w:r>
              <w:rPr/>
              <w:t>Item</w:t>
            </w:r>
          </w:p>
        </w:tc>
        <w:tc>
          <w:tcPr>
            <w:tcW w:w="4986"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t>Amount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Net book, December 31, 2025</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$631.0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Loan, June 30, 2026</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$371.4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Equity in the asset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$259.6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Q1 2026 revenue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$3.8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Q2 2026 revenue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$6.5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First-half 2026 revenue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$10.3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Q1 2026 operating earnings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$2.0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Q2 2026 operating earnings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$4.6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First-half 2026 operating earnings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$6.6 million</w:t>
            </w:r>
          </w:p>
        </w:tc>
      </w:tr>
    </w:tbl>
    <w:p>
      <w:pPr>
        <w:pStyle w:val="BodyText"/>
        <w:bidi w:val="0"/>
        <w:jc w:val="left"/>
        <w:rPr/>
      </w:pPr>
      <w:r>
        <w:rPr/>
      </w:r>
    </w:p>
    <w:p>
      <w:pPr>
        <w:pStyle w:val="Heading2"/>
        <w:bidi w:val="0"/>
        <w:ind w:hanging="0" w:left="0"/>
        <w:jc w:val="left"/>
        <w:rPr/>
      </w:pPr>
      <w:r>
        <w:rPr/>
        <w:t>Brooklyn loan</w:t>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leHeading"/>
              <w:suppressLineNumbers/>
              <w:bidi w:val="0"/>
              <w:jc w:val="center"/>
              <w:rPr/>
            </w:pPr>
            <w:r>
              <w:rPr/>
              <w:t>Item</w:t>
            </w:r>
          </w:p>
        </w:tc>
        <w:tc>
          <w:tcPr>
            <w:tcW w:w="4986"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t>Terms</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Loan balance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$371.5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Maximum commitment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$388.4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Remaining for construction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$21.7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Coupon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SOFR + 2.55</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Current SOFR</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3.90%</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Covenants</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Unencumbered liquidity above $50 million and net worth above $600 million</w:t>
            </w:r>
          </w:p>
        </w:tc>
      </w:tr>
    </w:tbl>
    <w:p>
      <w:pPr>
        <w:pStyle w:val="BodyText"/>
        <w:bidi w:val="0"/>
        <w:jc w:val="left"/>
        <w:rPr/>
      </w:pPr>
      <w:r>
        <w:rPr/>
      </w:r>
    </w:p>
    <w:p>
      <w:pPr>
        <w:pStyle w:val="BodyText"/>
        <w:bidi w:val="0"/>
        <w:jc w:val="left"/>
        <w:rPr/>
      </w:pPr>
      <w:r>
        <w:rPr/>
        <w:t>SOFR is the Secured Overnight Financing Rate, the cost of borrowing cash overnight against U.S. Treasury securities. Current SOFR is the New York Fed print for October 22, 2026.</w:t>
      </w:r>
    </w:p>
    <w:p>
      <w:pPr>
        <w:pStyle w:val="Heading2"/>
        <w:bidi w:val="0"/>
        <w:ind w:hanging="0" w:left="0"/>
        <w:jc w:val="left"/>
        <w:rPr/>
      </w:pPr>
      <w:r>
        <w:rPr/>
        <w:t>Stabilized earnings and value</w:t>
      </w:r>
    </w:p>
    <w:tbl>
      <w:tblPr>
        <w:tblW w:w="5000" w:type="pct"/>
        <w:jc w:val="left"/>
        <w:tblInd w:w="55" w:type="dxa"/>
        <w:tblLayout w:type="fixed"/>
        <w:tblCellMar>
          <w:top w:w="55" w:type="dxa"/>
          <w:left w:w="55" w:type="dxa"/>
          <w:bottom w:w="55" w:type="dxa"/>
          <w:right w:w="55" w:type="dxa"/>
        </w:tblCellMar>
      </w:tblPr>
      <w:tblGrid>
        <w:gridCol w:w="4986"/>
        <w:gridCol w:w="4986"/>
      </w:tblGrid>
      <w:tr>
        <w:trPr/>
        <w:tc>
          <w:tcPr>
            <w:tcW w:w="4986" w:type="dxa"/>
            <w:tcBorders>
              <w:top w:val="single" w:sz="4" w:space="0" w:color="000000"/>
              <w:left w:val="single" w:sz="4" w:space="0" w:color="000000"/>
              <w:bottom w:val="single" w:sz="4" w:space="0" w:color="000000"/>
            </w:tcBorders>
          </w:tcPr>
          <w:p>
            <w:pPr>
              <w:pStyle w:val="TableHeading"/>
              <w:suppressLineNumbers/>
              <w:bidi w:val="0"/>
              <w:jc w:val="center"/>
              <w:rPr/>
            </w:pPr>
            <w:r>
              <w:rPr/>
              <w:t>Item</w:t>
            </w:r>
          </w:p>
        </w:tc>
        <w:tc>
          <w:tcPr>
            <w:tcW w:w="4986" w:type="dxa"/>
            <w:tcBorders>
              <w:top w:val="single" w:sz="4" w:space="0" w:color="000000"/>
              <w:left w:val="single" w:sz="4" w:space="0" w:color="000000"/>
              <w:bottom w:val="single" w:sz="4" w:space="0" w:color="000000"/>
              <w:right w:val="single" w:sz="4" w:space="0" w:color="000000"/>
            </w:tcBorders>
          </w:tcPr>
          <w:p>
            <w:pPr>
              <w:pStyle w:val="TableHeading"/>
              <w:suppressLineNumbers/>
              <w:bidi w:val="0"/>
              <w:jc w:val="center"/>
              <w:rPr/>
            </w:pPr>
            <w:r>
              <w:rPr/>
              <w:t>Amount</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Gross rent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$38.6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Vacancy</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$1.7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Net rent</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$36.9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Operating expense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$9.1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Earnings before depreciation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$27.8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Depreciation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$10.3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Earnings after depreciation</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$17.6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Value at 5.25%</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$529.9 million</w:t>
            </w:r>
          </w:p>
        </w:tc>
      </w:tr>
      <w:tr>
        <w:trPr/>
        <w:tc>
          <w:tcPr>
            <w:tcW w:w="4986" w:type="dxa"/>
            <w:tcBorders>
              <w:left w:val="single" w:sz="4" w:space="0" w:color="000000"/>
              <w:bottom w:val="single" w:sz="4" w:space="0" w:color="000000"/>
            </w:tcBorders>
          </w:tcPr>
          <w:p>
            <w:pPr>
              <w:pStyle w:val="TableContents"/>
              <w:widowControl w:val="false"/>
              <w:suppressLineNumbers/>
              <w:bidi w:val="0"/>
              <w:jc w:val="left"/>
              <w:rPr/>
            </w:pPr>
            <w:r>
              <w:rPr/>
              <w:t>Book value</w:t>
            </w:r>
          </w:p>
        </w:tc>
        <w:tc>
          <w:tcPr>
            <w:tcW w:w="4986" w:type="dxa"/>
            <w:tcBorders>
              <w:left w:val="single" w:sz="4" w:space="0" w:color="000000"/>
              <w:bottom w:val="single" w:sz="4" w:space="0" w:color="000000"/>
              <w:right w:val="single" w:sz="4" w:space="0" w:color="000000"/>
            </w:tcBorders>
          </w:tcPr>
          <w:p>
            <w:pPr>
              <w:pStyle w:val="TableContents"/>
              <w:widowControl w:val="false"/>
              <w:suppressLineNumbers/>
              <w:bidi w:val="0"/>
              <w:jc w:val="left"/>
              <w:rPr/>
            </w:pPr>
            <w:r>
              <w:rPr/>
              <w:t>$631.0 million</w:t>
            </w:r>
          </w:p>
        </w:tc>
      </w:tr>
    </w:tbl>
    <w:p>
      <w:pPr>
        <w:pStyle w:val="BodyText"/>
        <w:bidi w:val="0"/>
        <w:jc w:val="left"/>
        <w:rPr/>
      </w:pPr>
      <w:r>
        <w:rPr/>
      </w:r>
    </w:p>
    <w:p>
      <w:pPr>
        <w:pStyle w:val="BodyText"/>
        <w:bidi w:val="0"/>
        <w:spacing w:before="0" w:after="140"/>
        <w:jc w:val="left"/>
        <w:rPr/>
      </w:pPr>
      <w:r>
        <w:rPr/>
        <w:t>Affordable rents are the June 2025 lottery rents. Market rents are the midpoint of StreetEasy’s asking range for this building: studios $3,870–$4,505, one-bedrooms $5,265–$6,540, two-bedrooms $8,995–$10,500. The bedroom count of the 413 market apartments is not published, so it follows the lottery mix. Vacancy is 2% on the restricted apartments and 5% on the market apartments. This table leaves retail out. The company has said about 20,000 square feet is leased to Din Tai Fung, with occupancy expected in 2027, and the lease rent was not disclosed. The valuation workbook prices that space at $85 per square foot. Expense starts from the second-quarter 2026 operating expense of $1.9 million, when rent was $6.5 million, about two-thirds of this stabilized rent. Sixty percent of that expense is held fixed and the rest is scaled up. Depreciation is the December 31, 2025 building cost of $410.5 million over 40 years. Furniture is not split by property, and later construction cost is not in this charge. The 5.25% rate is a cap rate, wider than the 4.25%–5.00% band for prime Brooklyn free-market rentals, because 30% of the apartments are rent-capped. Value is earnings before depreciation divided by that rate. It is before the Brooklyn loan. Second-quarter rent of $6.5 million is the building as it was leasing up, not this stabilized year. Book value is the December 31, 2025 net book.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3</Pages>
  <Words>936</Words>
  <Characters>4883</Characters>
  <CharactersWithSpaces>5728</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2026-10-25T16:25:20Z</dcterms:modified>
  <cp:revision>1</cp:revision>
  <dc:subject/>
  <dc:title/>
</cp:coreProperties>
</file>