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66A" w:rsidRDefault="00E745ED" w:rsidP="00FA3BE0">
      <w:pPr>
        <w:pStyle w:val="Title"/>
      </w:pPr>
      <w:r>
        <w:t>Accuracy and precision of zero-</w:t>
      </w:r>
      <w:r w:rsidRPr="00CF1DA6">
        <w:rPr>
          <w:rFonts w:cs="Arial"/>
        </w:rPr>
        <w:t>heat</w:t>
      </w:r>
      <w:r>
        <w:t>-flux temperature monitoring: A systematic review and meta-analysis</w:t>
      </w:r>
    </w:p>
    <w:p w:rsidR="0032066A" w:rsidRDefault="00E745ED">
      <w:pPr>
        <w:pStyle w:val="Heading2"/>
      </w:pPr>
      <w:bookmarkStart w:id="0" w:name="author-information"/>
      <w:r>
        <w:t xml:space="preserve">Author </w:t>
      </w:r>
      <w:r w:rsidRPr="00CF1DA6">
        <w:rPr>
          <w:rFonts w:asciiTheme="majorHAnsi" w:hAnsiTheme="majorHAnsi" w:cstheme="majorHAnsi"/>
        </w:rPr>
        <w:t>information</w:t>
      </w:r>
      <w:bookmarkEnd w:id="0"/>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1" w:name="corresponding-author"/>
      <w:r>
        <w:lastRenderedPageBreak/>
        <w:t>Corresponding author</w:t>
      </w:r>
      <w:bookmarkEnd w:id="1"/>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670BFE">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2" w:name="declarations"/>
      <w:r>
        <w:t>Declarations</w:t>
      </w:r>
      <w:bookmarkEnd w:id="2"/>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3" w:name="abstract"/>
      <w:r>
        <w:t>Abstract</w:t>
      </w:r>
      <w:bookmarkEnd w:id="3"/>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t>Results</w:t>
      </w:r>
    </w:p>
    <w:p w:rsidR="0032066A" w:rsidRDefault="00E745ED">
      <w:pPr>
        <w:pStyle w:val="BodyText"/>
      </w:pPr>
      <w:r>
        <w:lastRenderedPageBreak/>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4" w:name="introduction"/>
      <w:r>
        <w:t>Introduction</w:t>
      </w:r>
      <w:bookmarkEnd w:id="4"/>
    </w:p>
    <w:p w:rsidR="0032066A" w:rsidRDefault="00E745ED">
      <w:pPr>
        <w:pStyle w:val="FirstParagraph"/>
      </w:pPr>
      <w:r>
        <w:t>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w:t>
      </w:r>
      <w:r>
        <w:lastRenderedPageBreak/>
        <w:t>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sidR="0032066A" w:rsidRDefault="00E745ED">
      <w:pPr>
        <w:pStyle w:val="Heading2"/>
      </w:pPr>
      <w:bookmarkStart w:id="5" w:name="methods"/>
      <w:r>
        <w:lastRenderedPageBreak/>
        <w:t>Methods</w:t>
      </w:r>
      <w:bookmarkEnd w:id="5"/>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6" w:name="inclusion-criteria"/>
      <w:r>
        <w:t>Inclusion criteria</w:t>
      </w:r>
      <w:bookmarkEnd w:id="6"/>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7" w:name="data-sources-and-searches"/>
      <w:r>
        <w:t>Data sources and searches</w:t>
      </w:r>
      <w:bookmarkEnd w:id="7"/>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accuracy studies.</w:t>
      </w:r>
      <w:r>
        <w:rPr>
          <w:vertAlign w:val="superscript"/>
        </w:rPr>
        <w:t>8</w:t>
      </w:r>
      <w:r>
        <w:t xml:space="preserve"> We also conducted forward citation </w:t>
      </w:r>
      <w:r>
        <w:lastRenderedPageBreak/>
        <w:t xml:space="preserve">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8" w:name="data-extraction-and-quality-assessment"/>
      <w:r>
        <w:t>Data extraction and quality assessment</w:t>
      </w:r>
      <w:bookmarkEnd w:id="8"/>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w:t>
      </w:r>
      <w:r>
        <w:lastRenderedPageBreak/>
        <w:t>publication bias by conducting a comprehensive search of 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9" w:name="data-synthesis-and-analysis"/>
      <w:r>
        <w:t>Data synthesis and analysis</w:t>
      </w:r>
      <w:bookmarkEnd w:id="9"/>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w:t>
      </w:r>
      <w:r>
        <w:lastRenderedPageBreak/>
        <w:t xml:space="preserve">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w:t>
      </w:r>
      <w:r>
        <w:lastRenderedPageBreak/>
        <w:t>a separate ‘comparison’ 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0" w:name="results"/>
      <w:r>
        <w:lastRenderedPageBreak/>
        <w:t>Results</w:t>
      </w:r>
      <w:bookmarkEnd w:id="10"/>
    </w:p>
    <w:p w:rsidR="0032066A" w:rsidRDefault="00E745ED">
      <w:pPr>
        <w:pStyle w:val="Heading3"/>
      </w:pPr>
      <w:bookmarkStart w:id="11" w:name="study-selection-and-description"/>
      <w:r>
        <w:t>Study selection and description</w:t>
      </w:r>
      <w:bookmarkEnd w:id="11"/>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2" w:name="primary-comparison-zero-heat-flux-thermo"/>
      <w:r>
        <w:t>Primary comparison: zero-heat-flux thermometer versus core thermometers</w:t>
      </w:r>
      <w:bookmarkEnd w:id="12"/>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w:t>
      </w:r>
      <w:r>
        <w:lastRenderedPageBreak/>
        <w:t>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3" w:name="secondary-comparisons-zero-heat-flux-the"/>
      <w:r>
        <w:lastRenderedPageBreak/>
        <w:t>Secondary comparisons: zero-heat-flux thermometer versus peripheral thermometers</w:t>
      </w:r>
      <w:bookmarkEnd w:id="13"/>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4" w:name="discussion"/>
      <w:r>
        <w:t>Discussion</w:t>
      </w:r>
      <w:bookmarkEnd w:id="14"/>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w:t>
      </w:r>
      <w:r>
        <w:lastRenderedPageBreak/>
        <w:t>this magnitude would be important for the given 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t>
      </w:r>
      <w:r>
        <w:lastRenderedPageBreak/>
        <w:t>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5" w:name="limitations"/>
      <w:r>
        <w:lastRenderedPageBreak/>
        <w:t>Limitations</w:t>
      </w:r>
      <w:bookmarkEnd w:id="15"/>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6" w:name="conclusion"/>
      <w:r>
        <w:t>Conclusion</w:t>
      </w:r>
      <w:bookmarkEnd w:id="16"/>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7" w:name="references"/>
      <w:r>
        <w:lastRenderedPageBreak/>
        <w:t>References</w:t>
      </w:r>
      <w:bookmarkEnd w:id="17"/>
    </w:p>
    <w:p w:rsidR="0032066A" w:rsidRPr="008B7695" w:rsidRDefault="00E745ED" w:rsidP="008B7695">
      <w:pPr>
        <w:pStyle w:val="Bibliography"/>
      </w:pPr>
      <w:bookmarkStart w:id="18" w:name="ref-frank1997perioperative"/>
      <w:bookmarkStart w:id="19"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0" w:name="ref-kurz1996perioperative"/>
      <w:bookmarkEnd w:id="18"/>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1" w:name="ref-michelson1994reversible"/>
      <w:bookmarkEnd w:id="20"/>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2" w:name="ref-rohrer1992effect"/>
      <w:bookmarkEnd w:id="21"/>
      <w:r w:rsidRPr="008B7695">
        <w:t>4. Rohrer MJ, Natale AM: Effect of hypothermia on the coagulation cascade. Critical Care Medicine 1992; 20:1402–5</w:t>
      </w:r>
    </w:p>
    <w:p w:rsidR="0032066A" w:rsidRPr="008B7695" w:rsidRDefault="00E745ED" w:rsidP="008B7695">
      <w:pPr>
        <w:pStyle w:val="Bibliography"/>
      </w:pPr>
      <w:bookmarkStart w:id="23" w:name="ref-hadian2006evidence"/>
      <w:bookmarkEnd w:id="22"/>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4" w:name="ref-eshraghi2014"/>
      <w:bookmarkEnd w:id="23"/>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5" w:name="ref-mann2012should"/>
      <w:bookmarkEnd w:id="24"/>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6" w:name="ref-preston2015improving"/>
      <w:bookmarkEnd w:id="25"/>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7" w:name="ref-myles2007using"/>
      <w:bookmarkEnd w:id="26"/>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8" w:name="ref-whiting2011quadas"/>
      <w:bookmarkEnd w:id="27"/>
      <w:r w:rsidRPr="008B7695">
        <w:lastRenderedPageBreak/>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29" w:name="ref-glasziou2001systematic"/>
      <w:bookmarkEnd w:id="28"/>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0" w:name="ref-begg2005systematic"/>
      <w:bookmarkEnd w:id="29"/>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1" w:name="ref-deeks2005performance"/>
      <w:bookmarkEnd w:id="30"/>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2" w:name="ref-schunemann2008grading"/>
      <w:bookmarkEnd w:id="31"/>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3" w:name="ref-tipton2017framework"/>
      <w:bookmarkEnd w:id="32"/>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4" w:name="ref-hedges2010robust"/>
      <w:bookmarkEnd w:id="33"/>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5" w:name="ref-tanner2016handling"/>
      <w:bookmarkEnd w:id="34"/>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6" w:name="ref-tipton2015small"/>
      <w:bookmarkEnd w:id="35"/>
      <w:r w:rsidRPr="008B7695">
        <w:t>18. Tipton E: Small sample adjustments for robust variance estimation with meta-regression. Psychological Methods 2015; 20:375</w:t>
      </w:r>
    </w:p>
    <w:p w:rsidR="0032066A" w:rsidRPr="008B7695" w:rsidRDefault="00E745ED" w:rsidP="008B7695">
      <w:pPr>
        <w:pStyle w:val="Bibliography"/>
      </w:pPr>
      <w:bookmarkStart w:id="37" w:name="ref-dersimonian1986meta"/>
      <w:bookmarkEnd w:id="36"/>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8" w:name="ref-team2017r"/>
      <w:bookmarkEnd w:id="37"/>
      <w:r w:rsidRPr="008B7695">
        <w:lastRenderedPageBreak/>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39" w:name="ref-niven2015accuracy"/>
      <w:bookmarkEnd w:id="38"/>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0" w:name="ref-evron2017evaluation"/>
      <w:bookmarkEnd w:id="39"/>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1" w:name="ref-sastre2019evaluation"/>
      <w:bookmarkEnd w:id="40"/>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2" w:name="figure-legend"/>
      <w:bookmarkEnd w:id="19"/>
      <w:bookmarkEnd w:id="41"/>
      <w:r>
        <w:t>Figure legend</w:t>
      </w:r>
      <w:bookmarkEnd w:id="42"/>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7D4BC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0BFE" w:rsidRDefault="00670BFE">
      <w:pPr>
        <w:spacing w:after="0" w:line="240" w:lineRule="auto"/>
      </w:pPr>
      <w:r>
        <w:separator/>
      </w:r>
    </w:p>
  </w:endnote>
  <w:endnote w:type="continuationSeparator" w:id="0">
    <w:p w:rsidR="00670BFE" w:rsidRDefault="0067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0BFE" w:rsidRDefault="00670BFE">
      <w:r>
        <w:separator/>
      </w:r>
    </w:p>
  </w:footnote>
  <w:footnote w:type="continuationSeparator" w:id="0">
    <w:p w:rsidR="00670BFE" w:rsidRDefault="00670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6E2"/>
    <w:rsid w:val="000F12CF"/>
    <w:rsid w:val="002F46C8"/>
    <w:rsid w:val="0032066A"/>
    <w:rsid w:val="00436C64"/>
    <w:rsid w:val="00436D82"/>
    <w:rsid w:val="004C5304"/>
    <w:rsid w:val="004E29B3"/>
    <w:rsid w:val="004E784C"/>
    <w:rsid w:val="00506C15"/>
    <w:rsid w:val="00533C88"/>
    <w:rsid w:val="0053687A"/>
    <w:rsid w:val="00587439"/>
    <w:rsid w:val="00590D07"/>
    <w:rsid w:val="00596395"/>
    <w:rsid w:val="005C7B31"/>
    <w:rsid w:val="0065537D"/>
    <w:rsid w:val="00670BFE"/>
    <w:rsid w:val="006F1B2C"/>
    <w:rsid w:val="00784D58"/>
    <w:rsid w:val="007D4BC7"/>
    <w:rsid w:val="00873335"/>
    <w:rsid w:val="008B7695"/>
    <w:rsid w:val="008D415B"/>
    <w:rsid w:val="008D6863"/>
    <w:rsid w:val="00904231"/>
    <w:rsid w:val="009652A6"/>
    <w:rsid w:val="00987F50"/>
    <w:rsid w:val="00A35936"/>
    <w:rsid w:val="00AF68E7"/>
    <w:rsid w:val="00B12475"/>
    <w:rsid w:val="00B33309"/>
    <w:rsid w:val="00B37F1E"/>
    <w:rsid w:val="00B86B75"/>
    <w:rsid w:val="00BC48D5"/>
    <w:rsid w:val="00BD089D"/>
    <w:rsid w:val="00C00A7A"/>
    <w:rsid w:val="00C36279"/>
    <w:rsid w:val="00C757FC"/>
    <w:rsid w:val="00C76DEB"/>
    <w:rsid w:val="00CA37BA"/>
    <w:rsid w:val="00CB7B65"/>
    <w:rsid w:val="00CF1DA6"/>
    <w:rsid w:val="00D411E2"/>
    <w:rsid w:val="00D63213"/>
    <w:rsid w:val="00DA224C"/>
    <w:rsid w:val="00DF015C"/>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956-E5B8-F642-AB18-91903D4E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23</cp:revision>
  <dcterms:created xsi:type="dcterms:W3CDTF">2019-12-05T13:27:00Z</dcterms:created>
  <dcterms:modified xsi:type="dcterms:W3CDTF">2020-06-16T16:21:00Z</dcterms:modified>
</cp:coreProperties>
</file>