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procedural</w:t>
      </w:r>
      <w:r>
        <w:t xml:space="preserve"> </w:t>
      </w:r>
      <w:r>
        <w:t xml:space="preserve">sedation:</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 Filici MHSc(HA),HBSc, RRT, CCAA, FCSRT</w:t>
      </w:r>
      <w:r>
        <w:rPr>
          <w:vertAlign w:val="superscript"/>
        </w:rPr>
        <w:t xml:space="preserve">4</w:t>
      </w:r>
      <w:r>
        <w:t xml:space="preserve">,</w:t>
      </w:r>
      <w:r>
        <w:t xml:space="preserve"> </w:t>
      </w:r>
      <w:r>
        <w:t xml:space="preserve">Phoebe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Acknowedgements:</w:t>
      </w:r>
      <w:r>
        <w:t xml:space="preserve"> </w:t>
      </w:r>
      <w:r>
        <w:t xml:space="preserve">This study was funded by a Connaught New Researcher Award (University of Toronto). MP is supported by an Early Investigator Merit Award from the Department of Anesthesia, University of Toronto and Toronto General Hospital.</w:t>
      </w:r>
    </w:p>
    <w:p>
      <w:pPr>
        <w:pStyle w:val="BodyText"/>
      </w:pPr>
      <w:r>
        <w:rPr>
          <w:b/>
        </w:rPr>
        <w:t xml:space="preserve">Conflicts of interest:</w:t>
      </w:r>
      <w:r>
        <w:t xml:space="preserve"> </w:t>
      </w:r>
      <w:r>
        <w:t xml:space="preserve">The authors declare no competing interests.</w:t>
      </w:r>
    </w:p>
    <w:p>
      <w:pPr>
        <w:pStyle w:val="BodyText"/>
      </w:pPr>
      <w:r>
        <w:rPr>
          <w:b/>
        </w:rPr>
        <w:t xml:space="preserve">Keywords:</w:t>
      </w:r>
      <w:r>
        <w:t xml:space="preserve"> </w:t>
      </w:r>
      <w:r>
        <w:t xml:space="preserve">Anesthesia, oxygen supplementation, deep sedation, conscious sedation, cardiology.</w:t>
      </w:r>
    </w:p>
    <w:p>
      <w:r>
        <w:br w:type="page"/>
      </w:r>
    </w:p>
    <w:p>
      <w:pPr>
        <w:pStyle w:val="Heading3"/>
      </w:pPr>
      <w:bookmarkStart w:id="21" w:name="abstract"/>
      <w:r>
        <w:t xml:space="preserve">Abstract</w:t>
      </w:r>
      <w:bookmarkEnd w:id="21"/>
    </w:p>
    <w:p>
      <w:pPr>
        <w:pStyle w:val="FirstParagraph"/>
      </w:pPr>
      <w:r>
        <w:rPr>
          <w:b/>
        </w:rPr>
        <w:t xml:space="preserve">Objective</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for the HFNO group compared with the facemask group was 1.2 (95% CI = 0.37 to 3.75). The difference in satisfaction with sedation scores betwen groups was 0.0 (95% CI = -0.33 to 0.23).</w:t>
      </w:r>
    </w:p>
    <w:p>
      <w:pPr>
        <w:pStyle w:val="BodyText"/>
      </w:pPr>
      <w:r>
        <w:rPr>
          <w:b/>
        </w:rPr>
        <w:t xml:space="preserve">Conclusions</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p>
      <w:pPr>
        <w:pStyle w:val="BodyText"/>
      </w:pPr>
      <w:r>
        <w:rPr>
          <w:b/>
        </w:rPr>
        <w:t xml:space="preserve">Section head:</w:t>
      </w:r>
      <w:r>
        <w:t xml:space="preserve"> </w:t>
      </w:r>
      <w:r>
        <w:t xml:space="preserve">Healthcare delivery, economics and global health</w:t>
      </w:r>
    </w:p>
    <w:p>
      <w:pPr>
        <w:pStyle w:val="BodyText"/>
      </w:pPr>
      <w:r>
        <w:rPr>
          <w:b/>
        </w:rPr>
        <w:t xml:space="preserve">What is already known about this subject?</w:t>
      </w:r>
    </w:p>
    <w:p>
      <w:pPr>
        <w:pStyle w:val="Compact"/>
        <w:numPr>
          <w:numId w:val="1001"/>
          <w:ilvl w:val="0"/>
        </w:numPr>
      </w:pPr>
      <w:r>
        <w:t xml:space="preserve">A prior physiological modeling study identified a mechanism by which HFNO promotes carbon dioxide clearance.</w:t>
      </w:r>
    </w:p>
    <w:p>
      <w:pPr>
        <w:pStyle w:val="FirstParagraph"/>
      </w:pPr>
      <w:r>
        <w:rPr>
          <w:b/>
        </w:rPr>
        <w:t xml:space="preserve">What does this study add?</w:t>
      </w:r>
    </w:p>
    <w:p>
      <w:pPr>
        <w:pStyle w:val="Compact"/>
        <w:numPr>
          <w:numId w:val="1002"/>
          <w:ilvl w:val="0"/>
        </w:numPr>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w:t>
      </w:r>
    </w:p>
    <w:p>
      <w:pPr>
        <w:pStyle w:val="FirstParagraph"/>
      </w:pPr>
      <w:r>
        <w:rPr>
          <w:b/>
        </w:rPr>
        <w:t xml:space="preserve">How might this impact on clinical practice?</w:t>
      </w:r>
    </w:p>
    <w:p>
      <w:pPr>
        <w:pStyle w:val="Compact"/>
        <w:numPr>
          <w:numId w:val="1003"/>
          <w:ilvl w:val="0"/>
        </w:numPr>
      </w:pPr>
      <w:r>
        <w:t xml:space="preserve">Using HFNO during CIED procedures performed with procedural sedation is not likely to prevent potential adverse sedation events that may be precipitated by hypercarbia.</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the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4"/>
          <w:ilvl w:val="0"/>
        </w:numPr>
      </w:pPr>
      <w:r>
        <w:t xml:space="preserve">Facemask oxygen; or</w:t>
      </w:r>
    </w:p>
    <w:p>
      <w:pPr>
        <w:pStyle w:val="Compact"/>
        <w:numPr>
          <w:numId w:val="1004"/>
          <w:ilvl w:val="0"/>
        </w:numPr>
      </w:pPr>
      <w:r>
        <w:t xml:space="preserve">High flow nasal oxygen.</w:t>
      </w:r>
    </w:p>
    <w:p>
      <w:pPr>
        <w:pStyle w:val="FirstParagraph"/>
      </w:pPr>
      <w:r>
        <w:t xml:space="preserve">Informed consent was obtained. The study protocol conforms to the 1975 Declaration of Helsinki and received approval by the hospital research ethics board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5"/>
          <w:ilvl w:val="0"/>
        </w:numPr>
      </w:pPr>
      <w:r>
        <w:t xml:space="preserve">&lt;16 years.</w:t>
      </w:r>
    </w:p>
    <w:p>
      <w:pPr>
        <w:pStyle w:val="Compact"/>
        <w:numPr>
          <w:numId w:val="1005"/>
          <w:ilvl w:val="0"/>
        </w:numPr>
      </w:pPr>
      <w:r>
        <w:t xml:space="preserve">Underlying condition requiring chronic oxygen supplementation.</w:t>
      </w:r>
    </w:p>
    <w:p>
      <w:pPr>
        <w:pStyle w:val="Compact"/>
        <w:numPr>
          <w:numId w:val="1005"/>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5"/>
          <w:ilvl w:val="0"/>
        </w:numPr>
      </w:pPr>
      <w:r>
        <w:t xml:space="preserve">Pre-existing untreated pneumothorax.</w:t>
      </w:r>
    </w:p>
    <w:p>
      <w:pPr>
        <w:pStyle w:val="Compact"/>
        <w:numPr>
          <w:numId w:val="1005"/>
          <w:ilvl w:val="0"/>
        </w:numPr>
      </w:pPr>
      <w:r>
        <w:t xml:space="preserve">Planned transesophageal echocardiography.</w:t>
      </w:r>
    </w:p>
    <w:p>
      <w:pPr>
        <w:pStyle w:val="Compact"/>
        <w:numPr>
          <w:numId w:val="1005"/>
          <w:ilvl w:val="0"/>
        </w:numPr>
      </w:pPr>
      <w:r>
        <w:t xml:space="preserve">Active nasal-bleeding.</w:t>
      </w:r>
    </w:p>
    <w:p>
      <w:pPr>
        <w:pStyle w:val="Compact"/>
        <w:numPr>
          <w:numId w:val="1005"/>
          <w:ilvl w:val="0"/>
        </w:numPr>
      </w:pPr>
      <w:r>
        <w:t xml:space="preserve">Complete nasal obstruction.</w:t>
      </w:r>
    </w:p>
    <w:p>
      <w:pPr>
        <w:pStyle w:val="Compact"/>
        <w:numPr>
          <w:numId w:val="1005"/>
          <w:ilvl w:val="0"/>
        </w:numPr>
      </w:pPr>
      <w:r>
        <w:t xml:space="preserve">Recent upper-airway surgery or base of skull fracture.</w:t>
      </w:r>
    </w:p>
    <w:p>
      <w:pPr>
        <w:pStyle w:val="Compact"/>
        <w:numPr>
          <w:numId w:val="1005"/>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standard physioligcal monitoring devices, as dictated by the Canadian Anesthesiologists’ Society (CAS), and to titrate sedation according to their usual practice.</w:t>
      </w:r>
      <w:r>
        <w:rPr>
          <w:vertAlign w:val="superscript"/>
        </w:rPr>
        <w:t xml:space="preserve">7</w:t>
      </w:r>
      <w:r>
        <w:t xml:space="preserve"> </w:t>
      </w:r>
      <w:r>
        <w:t xml:space="preserve">Concomitant care most relevant to this trial was the use of capnography. Anesthesia Assistants elected to use capnography regardless of whether supplemental oxygen was delivered via HFNO or facemask, as this is a requirement from the Canadian Anesthesiologist Society anytime procedural sedation is being administered.</w:t>
      </w:r>
      <w:r>
        <w:rPr>
          <w:vertAlign w:val="superscript"/>
        </w:rPr>
        <w:t xml:space="preserve">7</w:t>
      </w:r>
      <w:r>
        <w:t xml:space="preserve"> </w:t>
      </w:r>
      <w:r>
        <w:t xml:space="preserve">The facemask had an integrated CO</w:t>
      </w:r>
      <w:r>
        <w:rPr>
          <w:vertAlign w:val="subscript"/>
        </w:rPr>
        <w:t xml:space="preserve">2</w:t>
      </w:r>
      <w:r>
        <w:t xml:space="preserve"> </w:t>
      </w:r>
      <w:r>
        <w:t xml:space="preserve">sampling line. For participants randomized to HFNO, Anesthesia Assistants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6"/>
          <w:ilvl w:val="0"/>
        </w:numPr>
      </w:pPr>
      <w:r>
        <w:t xml:space="preserve">Mean TcCO</w:t>
      </w:r>
      <w:r>
        <w:rPr>
          <w:vertAlign w:val="subscript"/>
        </w:rPr>
        <w:t xml:space="preserve">2</w:t>
      </w:r>
      <w:r>
        <w:t xml:space="preserve">.</w:t>
      </w:r>
    </w:p>
    <w:p>
      <w:pPr>
        <w:pStyle w:val="Compact"/>
        <w:numPr>
          <w:numId w:val="1006"/>
          <w:ilvl w:val="0"/>
        </w:numPr>
      </w:pPr>
      <w:r>
        <w:t xml:space="preserve">Trajectory of TcCO</w:t>
      </w:r>
      <w:r>
        <w:rPr>
          <w:vertAlign w:val="subscript"/>
        </w:rPr>
        <w:t xml:space="preserve">2</w:t>
      </w:r>
      <w:r>
        <w:t xml:space="preserve"> </w:t>
      </w:r>
      <w:r>
        <w:t xml:space="preserve">as a function of time.</w:t>
      </w:r>
    </w:p>
    <w:p>
      <w:pPr>
        <w:pStyle w:val="Compact"/>
        <w:numPr>
          <w:numId w:val="1006"/>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6"/>
          <w:ilvl w:val="0"/>
        </w:numPr>
      </w:pPr>
      <w:r>
        <w:t xml:space="preserve">Adverse sedation events, measured using the Tracking and reporting outcomes of procedural sedation (TROOPS) tool.</w:t>
      </w:r>
    </w:p>
    <w:p>
      <w:pPr>
        <w:pStyle w:val="Compact"/>
        <w:numPr>
          <w:numId w:val="1006"/>
          <w:ilvl w:val="0"/>
        </w:numPr>
      </w:pPr>
      <w:r>
        <w:t xml:space="preserve">Patient satisfaction with sedation.</w:t>
      </w:r>
    </w:p>
    <w:p>
      <w:pPr>
        <w:pStyle w:val="Compact"/>
        <w:numPr>
          <w:numId w:val="1006"/>
          <w:ilvl w:val="0"/>
        </w:numPr>
      </w:pPr>
      <w:r>
        <w:t xml:space="preserve">Comfort of the oxygen delivery device.</w:t>
      </w:r>
    </w:p>
    <w:p>
      <w:pPr>
        <w:pStyle w:val="Compact"/>
        <w:numPr>
          <w:numId w:val="1006"/>
          <w:ilvl w:val="0"/>
        </w:numPr>
      </w:pPr>
      <w:r>
        <w:t xml:space="preserve">Anesthesia Assistant rating of difficulty maintaining oxygenation status.</w:t>
      </w:r>
    </w:p>
    <w:p>
      <w:pPr>
        <w:pStyle w:val="Compact"/>
        <w:numPr>
          <w:numId w:val="1006"/>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w:t>
      </w:r>
      <w:r>
        <w:t xml:space="preserve"> </w:t>
      </w:r>
      <w:r>
        <w:t xml:space="preserve">Participants were asked to rate comfort with the oxygen delivery device and Anesthesia Assistants were asked to rate their: 1) perceived level of difficulty in maintaining oxygenation; and 2) perceived level of difficulty in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13</w:t>
      </w:r>
      <w:r>
        <w:t xml:space="preserve"> </w:t>
      </w:r>
      <w:r>
        <w:t xml:space="preserve">Differences in CO</w:t>
      </w:r>
      <w:r>
        <w:rPr>
          <w:vertAlign w:val="subscript"/>
        </w:rPr>
        <w:t xml:space="preserve">2</w:t>
      </w:r>
      <w:r>
        <w:t xml:space="preserve"> </w:t>
      </w:r>
      <w:r>
        <w:t xml:space="preserve">level of a similar magnitude have been detected in previous trials evaluating the efficacy of interventions to improve sedation safety.</w:t>
      </w:r>
      <w:r>
        <w:rPr>
          <w:vertAlign w:val="superscript"/>
        </w:rPr>
        <w:t xml:space="preserve">14,15</w:t>
      </w:r>
    </w:p>
    <w:p>
      <w:pPr>
        <w:pStyle w:val="Heading3"/>
      </w:pPr>
      <w:bookmarkStart w:id="31" w:name="random-sequence-generation-and-concealment"/>
      <w:r>
        <w:t xml:space="preserve">Random sequence generation and concealment</w:t>
      </w:r>
      <w:bookmarkEnd w:id="31"/>
    </w:p>
    <w:p>
      <w:pPr>
        <w:pStyle w:val="FirstParagraph"/>
      </w:pPr>
      <w:r>
        <w:t xml:space="preserve">A stratified (by diagnosis of obstructive sleep apnea and type of procedure – cardiac resynchronization therapy device implant), block randomized sequence was generated and concealed using the web-based randomization feature in REDCap</w:t>
      </w:r>
      <w:r>
        <w:rPr>
          <w:vertAlign w:val="superscript"/>
        </w:rPr>
        <w:t xml:space="preserve">TM</w:t>
      </w:r>
      <w:r>
        <w:t xml:space="preserve">. 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2" w:name="statistical-analyses"/>
      <w:r>
        <w:t xml:space="preserve">Statistical analyses</w:t>
      </w:r>
      <w:bookmarkEnd w:id="32"/>
    </w:p>
    <w:p>
      <w:pPr>
        <w:pStyle w:val="FirstParagraph"/>
      </w:pPr>
      <w:r>
        <w:t xml:space="preserve">Bayesian statistical models were used. Data and code are available</w:t>
      </w:r>
      <w:r>
        <w:t xml:space="preserve"> </w:t>
      </w:r>
      <w:hyperlink r:id="rId33">
        <w:r>
          <w:rPr>
            <w:rStyle w:val="Hyperlink"/>
          </w:rPr>
          <w:t xml:space="preserve">here</w:t>
        </w:r>
      </w:hyperlink>
      <w:r>
        <w:t xml:space="preserve"> </w:t>
      </w:r>
      <w:r>
        <w:t xml:space="preserve">and is archived</w:t>
      </w:r>
      <w:r>
        <w:t xml:space="preserve"> </w:t>
      </w:r>
      <w:hyperlink r:id="rId34">
        <w:r>
          <w:rPr>
            <w:rStyle w:val="Hyperlink"/>
          </w:rPr>
          <w:t xml:space="preserve">here</w:t>
        </w:r>
      </w:hyperlink>
      <w:r>
        <w:t xml:space="preserve">. A detailed summary of the statistical models is presented in the</w:t>
      </w:r>
      <w:r>
        <w:t xml:space="preserve"> </w:t>
      </w:r>
      <w:hyperlink r:id="rId35">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16</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17</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18</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19</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20</w:t>
      </w:r>
      <w:r>
        <w:t xml:space="preserve"> </w:t>
      </w:r>
      <w:r>
        <w:t xml:space="preserve">through the INLA package, version 20.5.12. The marginal posterior distribution of parameters was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3"/>
      </w:pPr>
      <w:bookmarkStart w:id="36" w:name="patient-and-public-involvement"/>
      <w:r>
        <w:t xml:space="preserve">Patient and public involvement</w:t>
      </w:r>
      <w:bookmarkEnd w:id="36"/>
    </w:p>
    <w:p>
      <w:pPr>
        <w:pStyle w:val="FirstParagraph"/>
      </w:pPr>
      <w:r>
        <w:t xml:space="preserve">This article was written without patient involvement. Patients were not invited to comment on the study design and were not consulted to develop patient-relevant outcomes or to interpret the results. Patients were not invited to contribute to the writing or editing of this document for readability or accuracy.</w:t>
      </w:r>
    </w:p>
    <w:p>
      <w:pPr>
        <w:pStyle w:val="Heading2"/>
      </w:pPr>
      <w:bookmarkStart w:id="37" w:name="results"/>
      <w:r>
        <w:t xml:space="preserve">Results</w:t>
      </w:r>
      <w:bookmarkEnd w:id="37"/>
    </w:p>
    <w:p>
      <w:pPr>
        <w:pStyle w:val="Heading3"/>
      </w:pPr>
      <w:bookmarkStart w:id="38" w:name="participants-1"/>
      <w:r>
        <w:t xml:space="preserve">Participants</w:t>
      </w:r>
      <w:bookmarkEnd w:id="38"/>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p>
    <w:p>
      <w:pPr>
        <w:pStyle w:val="Heading3"/>
      </w:pPr>
      <w:bookmarkStart w:id="39" w:name="comparisons-between-groups"/>
      <w:r>
        <w:t xml:space="preserve">Comparisons between groups</w:t>
      </w:r>
      <w:bookmarkEnd w:id="39"/>
    </w:p>
    <w:p>
      <w:pPr>
        <w:pStyle w:val="Heading4"/>
      </w:pPr>
      <w:bookmarkStart w:id="40" w:name="primary-outcome"/>
      <w:r>
        <w:t xml:space="preserve">Primary outcome</w:t>
      </w:r>
      <w:bookmarkEnd w:id="40"/>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 to 1.37). The probability that it exceeds the 4mmHg clinical significance threshold of 4mmHg in either direction is 0.</w:t>
      </w:r>
    </w:p>
    <w:p>
      <w:pPr>
        <w:pStyle w:val="Heading4"/>
      </w:pPr>
      <w:bookmarkStart w:id="41" w:name="secondary-outcomes"/>
      <w:r>
        <w:t xml:space="preserve">Secondary outcomes</w:t>
      </w:r>
      <w:bookmarkEnd w:id="41"/>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should be noted, however, that the Anesthesia Assistants’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w:t>
      </w:r>
    </w:p>
    <w:p>
      <w:pPr>
        <w:pStyle w:val="BodyText"/>
      </w:pPr>
      <w:r>
        <w:t xml:space="preserve">The odds ratio for a minor adverse sedation event related to airway or breathing for the HFNO group compared with the facemask group was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3">
        <w:r>
          <w:rPr>
            <w:rStyle w:val="Hyperlink"/>
          </w:rPr>
          <w:t xml:space="preserve">here</w:t>
        </w:r>
      </w:hyperlink>
      <w:r>
        <w:t xml:space="preserve">.</w:t>
      </w:r>
    </w:p>
    <w:p>
      <w:pPr>
        <w:pStyle w:val="Heading4"/>
      </w:pPr>
      <w:bookmarkStart w:id="42" w:name="oxygen-flow-rates"/>
      <w:r>
        <w:t xml:space="preserve">Oxygen flow-rates</w:t>
      </w:r>
      <w:bookmarkEnd w:id="42"/>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43" w:name="discussion"/>
      <w:r>
        <w:t xml:space="preserve">Discussion</w:t>
      </w:r>
      <w:bookmarkEnd w:id="43"/>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Importantly,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There are two plausible mechanisms that may explain this result. It is possible that the oxygen:air blend (50:50) used in the HFNO group was simply not equivalent to the amount of oxygen supplementation received in the facemask group. Most participants in the facemask group received &gt;8L/min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Capnography is widely considered to be an essential aspect of physiological monitoring during sedation.</w:t>
      </w:r>
      <w:r>
        <w:rPr>
          <w:vertAlign w:val="superscript"/>
        </w:rPr>
        <w:t xml:space="preserve">21–23</w:t>
      </w:r>
      <w:r>
        <w:t xml:space="preserve"> </w:t>
      </w:r>
      <w:r>
        <w:t xml:space="preserve">The concern about reduced ability to monitor capnography waveforms when HFNO is used potentially increasing the risk of more prolonged, undetected episodes of hypoventilation during sedation has been raised previously in the literaure.</w:t>
      </w:r>
      <w:r>
        <w:rPr>
          <w:vertAlign w:val="superscript"/>
        </w:rPr>
        <w:t xml:space="preserve">24</w:t>
      </w:r>
      <w:r>
        <w:t xml:space="preserve"> </w:t>
      </w:r>
      <w:r>
        <w:t xml:space="preserve">However, it should be noted that if undetected episodes of hypoventilation were considerably more frequent and prolonged when HFNO was used in our study,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25</w:t>
      </w:r>
      <w:r>
        <w:t xml:space="preserve"> </w:t>
      </w:r>
      <w:r>
        <w:t xml:space="preserve">and three small randomized controlled trials were published in 2019, with several more on-going trials registered.</w:t>
      </w:r>
      <w:r>
        <w:rPr>
          <w:vertAlign w:val="superscript"/>
        </w:rPr>
        <w:t xml:space="preserve">26</w:t>
      </w:r>
      <w:r>
        <w:t xml:space="preserve"> </w:t>
      </w:r>
      <w:r>
        <w:t xml:space="preserve">The primary outcomes for all the trials to date have focused on investigating the impact of HFNO on oxygenation with inconsistent results. One of the small trials randomized 60 participants undergoing bronchoscopy to receive HFNO at 50L/min with 100% oxygen or oxygen at 10-15L/min through a facemask.</w:t>
      </w:r>
      <w:r>
        <w:rPr>
          <w:vertAlign w:val="superscript"/>
        </w:rPr>
        <w:t xml:space="preserve">27</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28</w:t>
      </w:r>
      <w:r>
        <w:t xml:space="preserve"> </w:t>
      </w:r>
      <w:r>
        <w:t xml:space="preserve">Again, there was no difference in the primary outcome of oxygen desaturation (SpO</w:t>
      </w:r>
      <w:r>
        <w:rPr>
          <w:vertAlign w:val="subscript"/>
        </w:rPr>
        <w:t xml:space="preserve">2</w:t>
      </w:r>
      <w:r>
        <w:t xml:space="preserve"> </w:t>
      </w:r>
      <w:r>
        <w:t xml:space="preserve">&lt; 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29</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25</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60L/min of 100% oxygen and in the control group participants received just 2L/min of oxygen.</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Anesthesia Assistant participants reported they had used HFNO between 2 and 5 times. Experience with HFNO is likely to influence clinicians’ perceptions about the difficulty using the device.</w:t>
      </w:r>
    </w:p>
    <w:p>
      <w:pPr>
        <w:pStyle w:val="Heading3"/>
      </w:pPr>
      <w:bookmarkStart w:id="44" w:name="limitations"/>
      <w:r>
        <w:t xml:space="preserve">Limitations</w:t>
      </w:r>
      <w:bookmarkEnd w:id="44"/>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 potential limitation is that results may be sensitive to how the baseline and peak measurements were chosen.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30</w:t>
      </w:r>
      <w:r>
        <w:t xml:space="preserve"> </w:t>
      </w:r>
      <w:r>
        <w:t xml:space="preserve">Severe oxygen desaturation is not a common event when oxygen supplementation is delivered at flow-rates between 6-10L/min through a face mask during procedures performed with sedation.</w:t>
      </w:r>
      <w:r>
        <w:rPr>
          <w:vertAlign w:val="superscript"/>
        </w:rPr>
        <w:t xml:space="preserve">1,3</w:t>
      </w:r>
      <w:r>
        <w:t xml:space="preserve"> </w:t>
      </w:r>
      <w:r>
        <w:t xml:space="preserve">Results from our trial cannot be directly generalized to other clinical settings where desaturation is more severe and occurs more often.</w:t>
      </w:r>
    </w:p>
    <w:p>
      <w:pPr>
        <w:pStyle w:val="Heading3"/>
      </w:pPr>
      <w:bookmarkStart w:id="45" w:name="conclusion"/>
      <w:r>
        <w:t xml:space="preserve">Conclusion</w:t>
      </w:r>
      <w:bookmarkEnd w:id="45"/>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6" w:name="references"/>
      <w:r>
        <w:t xml:space="preserve">References</w:t>
      </w:r>
      <w:bookmarkEnd w:id="46"/>
    </w:p>
    <w:bookmarkStart w:id="82" w:name="refs"/>
    <w:bookmarkStart w:id="47"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7"/>
    <w:bookmarkStart w:id="49"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8">
        <w:r>
          <w:rPr>
            <w:rStyle w:val="Hyperlink"/>
          </w:rPr>
          <w:t xml:space="preserve">https://doi.org/10.1038/s41598-019-46751-2</w:t>
        </w:r>
      </w:hyperlink>
      <w:r>
        <w:t xml:space="preserve">.</w:t>
      </w:r>
    </w:p>
    <w:bookmarkEnd w:id="49"/>
    <w:bookmarkStart w:id="50"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50"/>
    <w:bookmarkStart w:id="51" w:name="ref-drakeHighFlowNasalCannula2018"/>
    <w:p>
      <w:pPr>
        <w:pStyle w:val="BodyText"/>
      </w:pPr>
      <w:r>
        <w:t xml:space="preserve">4. Drake MG. High-flow nasal cannula oxygen in adults: An evidence-based assessment. Annals of the American Thoracic Society 2018;15:145–55.</w:t>
      </w:r>
    </w:p>
    <w:bookmarkEnd w:id="51"/>
    <w:bookmarkStart w:id="53"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2">
        <w:r>
          <w:rPr>
            <w:rStyle w:val="Hyperlink"/>
          </w:rPr>
          <w:t xml:space="preserve">https://doi.org/10.1111/anae.14541</w:t>
        </w:r>
      </w:hyperlink>
      <w:r>
        <w:t xml:space="preserve">.</w:t>
      </w:r>
    </w:p>
    <w:bookmarkEnd w:id="53"/>
    <w:bookmarkStart w:id="54"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4"/>
    <w:bookmarkStart w:id="56" w:name="ref-Dobson_2018"/>
    <w:p>
      <w:pPr>
        <w:pStyle w:val="BodyText"/>
      </w:pPr>
      <w:r>
        <w:t xml:space="preserve">7. Dobson G, Chong MA, Chow L, Flexman A, Hurdle H, Kurrek M, Laflamme C, Perrault M-A, Sparrow K, Stacey S, Swart PA, Wong M. Procedural sedation: A position paper of the canadian anesthesiologists’ society. Canadian Journal of Anesthesia 2018;65:1372–84. Available at:</w:t>
      </w:r>
      <w:r>
        <w:t xml:space="preserve"> </w:t>
      </w:r>
      <w:hyperlink r:id="rId55">
        <w:r>
          <w:rPr>
            <w:rStyle w:val="Hyperlink"/>
          </w:rPr>
          <w:t xml:space="preserve">https://doi.org/10.1007/s12630-018-1230-z</w:t>
        </w:r>
      </w:hyperlink>
      <w:r>
        <w:t xml:space="preserve">.</w:t>
      </w:r>
    </w:p>
    <w:bookmarkEnd w:id="56"/>
    <w:bookmarkStart w:id="58"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7">
        <w:r>
          <w:rPr>
            <w:rStyle w:val="Hyperlink"/>
          </w:rPr>
          <w:t xml:space="preserve">https://doi.org/10.1213/ane.0000000000003409</w:t>
        </w:r>
      </w:hyperlink>
      <w:r>
        <w:t xml:space="preserve">.</w:t>
      </w:r>
    </w:p>
    <w:bookmarkEnd w:id="58"/>
    <w:bookmarkStart w:id="59"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9"/>
    <w:bookmarkStart w:id="60" w:name="ref-Fingleton2017"/>
    <w:p>
      <w:pPr>
        <w:pStyle w:val="BodyText"/>
      </w:pPr>
      <w:r>
        <w:t xml:space="preserve">10. Fingleton J, Mckinstry S, Pilcher J, Weatherall M, Beasley R, Bardsley G. Accuracy of transcutaneous carbon dioxide measurement for change over time. 2017;22:98.</w:t>
      </w:r>
    </w:p>
    <w:bookmarkEnd w:id="60"/>
    <w:bookmarkStart w:id="61"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61"/>
    <w:bookmarkStart w:id="62"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62"/>
    <w:bookmarkStart w:id="63" w:name="ref-Wijesinghe2012"/>
    <w:p>
      <w:pPr>
        <w:pStyle w:val="BodyText"/>
      </w:pPr>
      <w:r>
        <w:t xml:space="preserve">13. Wijesinghe M, Perrin K, Healy B, Weatherall M, Beasley R. Randomized controlled trial of high concentration oxygen in suspected community-acquired pneumonia. Journal of the Royal Society of Medicine 2012;105:208–16.</w:t>
      </w:r>
    </w:p>
    <w:bookmarkEnd w:id="63"/>
    <w:bookmarkStart w:id="64" w:name="ref-Baulig2015"/>
    <w:p>
      <w:pPr>
        <w:pStyle w:val="BodyText"/>
      </w:pPr>
      <w:r>
        <w:t xml:space="preserve">14.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4"/>
    <w:bookmarkStart w:id="65" w:name="ref-Smith2015"/>
    <w:p>
      <w:pPr>
        <w:pStyle w:val="BodyText"/>
      </w:pPr>
      <w:r>
        <w:t xml:space="preserve">15.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5"/>
    <w:bookmarkStart w:id="66" w:name="ref-gelman2008weakly"/>
    <w:p>
      <w:pPr>
        <w:pStyle w:val="BodyText"/>
      </w:pPr>
      <w:r>
        <w:t xml:space="preserve">16. Gelman A, Jakulin A, Pittau MG, Su Y-S, others. A weakly informative default prior distribution for logistic and other regression models. The annals of applied statistics 2008;2:1360–83.</w:t>
      </w:r>
    </w:p>
    <w:bookmarkEnd w:id="66"/>
    <w:bookmarkStart w:id="67" w:name="ref-Egbewale2014"/>
    <w:p>
      <w:pPr>
        <w:pStyle w:val="BodyText"/>
      </w:pPr>
      <w:r>
        <w:t xml:space="preserve">17. Egbewale BE, Lewis M, Sim J. Bias, precision and statistical power of analysis of covariance in the analysis of randomized trials with baseline imbalance: A simulation study. BMC Medical Research Methodology 2014;14:49.</w:t>
      </w:r>
    </w:p>
    <w:bookmarkEnd w:id="67"/>
    <w:bookmarkStart w:id="68" w:name="ref-yue2019"/>
    <w:p>
      <w:pPr>
        <w:pStyle w:val="BodyText"/>
      </w:pPr>
      <w:r>
        <w:t xml:space="preserve">18. Yue Y (Ryan), Bolin D, Rue H, Wang X-F. Bayesian generalized two-way anova for functional data using inla. Statistica Sinica 2019;29:741–67.</w:t>
      </w:r>
    </w:p>
    <w:bookmarkEnd w:id="68"/>
    <w:bookmarkStart w:id="69" w:name="ref-bruckner2017"/>
    <w:p>
      <w:pPr>
        <w:pStyle w:val="BodyText"/>
      </w:pPr>
      <w:r>
        <w:t xml:space="preserve">19. Bürkner P-C. Brms: An r package for bayesian multilevel models using stan. Journal of Statistical Software 2017;80:1–28.</w:t>
      </w:r>
    </w:p>
    <w:bookmarkEnd w:id="69"/>
    <w:bookmarkStart w:id="71" w:name="ref-rue2009"/>
    <w:p>
      <w:pPr>
        <w:pStyle w:val="BodyText"/>
      </w:pPr>
      <w:r>
        <w:t xml:space="preserve">20. Rue H, Martino S, Chopin N. Approximate bayesian inference for latent gaussian models by using integrated nested laplace approximations. Journal of the Royal Statistical Society 2009;71:319–92. Available at:</w:t>
      </w:r>
      <w:r>
        <w:t xml:space="preserve"> </w:t>
      </w:r>
      <w:hyperlink r:id="rId70">
        <w:r>
          <w:rPr>
            <w:rStyle w:val="Hyperlink"/>
          </w:rPr>
          <w:t xml:space="preserve">http://myaccess.library.utoronto.ca/login?url=https://search-proquest-com.myaccess.library.utoronto.ca/docview/37127083?accountid=14771</w:t>
        </w:r>
      </w:hyperlink>
      <w:r>
        <w:t xml:space="preserve">.</w:t>
      </w:r>
    </w:p>
    <w:bookmarkEnd w:id="71"/>
    <w:bookmarkStart w:id="72" w:name="ref-conway2016systematic"/>
    <w:p>
      <w:pPr>
        <w:pStyle w:val="BodyText"/>
      </w:pPr>
      <w:r>
        <w:t xml:space="preserve">21. Conway A, Douglas C, Sutherland J. A systematic review of capnography for sedation. Anaesthesia 2016;71:450–4.</w:t>
      </w:r>
    </w:p>
    <w:bookmarkEnd w:id="72"/>
    <w:bookmarkStart w:id="73" w:name="ref-conway2019pre"/>
    <w:p>
      <w:pPr>
        <w:pStyle w:val="BodyText"/>
      </w:pPr>
      <w:r>
        <w:t xml:space="preserve">22. Conway A, Collins P, Chang K, Mafeld S, Sutherland J, Fingleton J, Parotto M. Pre-apneic capnography waveform abnormalities during procedural sedation and analgesia. Journal of Clinical Monitoring and Computing 2019:1–8.</w:t>
      </w:r>
    </w:p>
    <w:bookmarkEnd w:id="73"/>
    <w:bookmarkStart w:id="74" w:name="ref-conway2014clinical"/>
    <w:p>
      <w:pPr>
        <w:pStyle w:val="BodyText"/>
      </w:pPr>
      <w:r>
        <w:t xml:space="preserve">23. Conway A, Rolley J, Page K, Fulbrook P. Clinical practice guidelines for nurse-administered procedural sedation and analgesia in the cardiac catheterization laboratory: A modified delphi study. Journal of advanced nursing 2014;70:1040–53.</w:t>
      </w:r>
    </w:p>
    <w:bookmarkEnd w:id="74"/>
    <w:bookmarkStart w:id="75" w:name="ref-horiuchi2020high"/>
    <w:p>
      <w:pPr>
        <w:pStyle w:val="BodyText"/>
      </w:pPr>
      <w:r>
        <w:t xml:space="preserve">24. Horiuchi A, Graham DY. High-flow nasal cannula oxygen therapy obscures severe respiration depression, providing an illusion of safety. Gastrointestinal Endoscopy 2020;91:720–1.</w:t>
      </w:r>
    </w:p>
    <w:bookmarkEnd w:id="75"/>
    <w:bookmarkStart w:id="76" w:name="ref-lin2019high"/>
    <w:p>
      <w:pPr>
        <w:pStyle w:val="BodyText"/>
      </w:pPr>
      <w:r>
        <w:t xml:space="preserve">25. Lin Y, Zhang X, Li L, Wei M, Zhao B, Wang X, Pan Z, Tian J, Yu W, Su D. High-flow nasal cannula oxygen therapy and hypoxia during gastroscopy with propofol sedation: A randomized multicenter clinical trial. Gastrointestinal endoscopy 2019;90:591–601.</w:t>
      </w:r>
    </w:p>
    <w:bookmarkEnd w:id="76"/>
    <w:bookmarkStart w:id="77" w:name="ref-eugene2020high"/>
    <w:p>
      <w:pPr>
        <w:pStyle w:val="BodyText"/>
      </w:pPr>
      <w:r>
        <w:t xml:space="preserve">26.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77"/>
    <w:bookmarkStart w:id="78" w:name="ref-douglasRandomisedControlledTrial2018"/>
    <w:p>
      <w:pPr>
        <w:pStyle w:val="BodyText"/>
      </w:pPr>
      <w:r>
        <w:t xml:space="preserve">27. Douglas N, Ng I, Nazeem F, Lee K, Mezzavia P, Krieser R, Steinfort D, Irving L, Segal R. A randomised controlled trial comparing high-flow nasal oxygen with standard management for conscious sedation during bronchoscopy. Anaesthesia 2018;73:169–76.</w:t>
      </w:r>
    </w:p>
    <w:bookmarkEnd w:id="78"/>
    <w:bookmarkStart w:id="79" w:name="ref-riccio2019high"/>
    <w:p>
      <w:pPr>
        <w:pStyle w:val="BodyText"/>
      </w:pPr>
      <w:r>
        <w:t xml:space="preserve">28. Riccio CA, Sarmiento S, Minhajuddin A, Nasir D, Fox AA. High-flow versus standard nasal cannula in morbidly obese patients during colonoscopy: A prospective, randomized clinical trial. Journal of Clinical Anesthesia 2019;54:19–24.</w:t>
      </w:r>
    </w:p>
    <w:bookmarkEnd w:id="79"/>
    <w:bookmarkStart w:id="80" w:name="ref-sago2015nasal"/>
    <w:p>
      <w:pPr>
        <w:pStyle w:val="BodyText"/>
      </w:pPr>
      <w:r>
        <w:t xml:space="preserve">29. Sago T, Harano N, Chogyoji Y, Nunomaki M, Shiiba S, Watanabe S. A nasal high-flow system prevents hypoxia in dental patients under intravenous sedation. Journal of Oral and Maxillofacial Surgery 2015;73:1058–64.</w:t>
      </w:r>
    </w:p>
    <w:bookmarkEnd w:id="80"/>
    <w:bookmarkStart w:id="81" w:name="ref-furniss2015safe"/>
    <w:p>
      <w:pPr>
        <w:pStyle w:val="BodyText"/>
      </w:pPr>
      <w:r>
        <w:t xml:space="preserve">30. Furniss SS, Sneyd JR. Safe sedation in modern cardiological practice. Heart 2015;101:1526–30.</w:t>
      </w:r>
    </w:p>
    <w:bookmarkEnd w:id="81"/>
    <w:bookmarkEnd w:id="82"/>
    <w:p>
      <w:r>
        <w:br w:type="page"/>
      </w:r>
    </w:p>
    <w:p>
      <w:pPr>
        <w:pStyle w:val="Heading1"/>
      </w:pPr>
      <w:bookmarkStart w:id="83" w:name="figure-legend"/>
      <w:r>
        <w:t xml:space="preserve">Figure legend</w:t>
      </w:r>
      <w:bookmarkEnd w:id="83"/>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84" w:name="table-1.-participant-characteristics"/>
      <w:r>
        <w:t xml:space="preserve">Table 1. Participant characteristics</w:t>
      </w:r>
      <w:bookmarkEnd w:id="8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0"/>
        <w:tblLook w:firstRow="1" w:lastRow="0" w:firstColumn="0" w:lastColumn="0" w:noHBand="0" w:noVBand="1"/>
      </w:tblPr>
      <w:tblGrid>
        <w:gridCol w:w="3372"/>
        <w:gridCol w:w="3456"/>
        <w:gridCol w:w="296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CPAP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CVICU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ASA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Wound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85" w:name="table-2.-results"/>
      <w:r>
        <w:t xml:space="preserve">Table 2. Results</w:t>
      </w:r>
      <w:bookmarkEnd w:id="8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1.37)</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(-1.31, 1.14)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0" Type="http://schemas.openxmlformats.org/officeDocument/2006/relationships/hyperlink" Target="http://myaccess.library.utoronto.ca/login?url=https://search-proquest-com.myaccess.library.utoronto.ca/docview/37127083?accountid=14771" TargetMode="External"/><Relationship Id="rId55" Type="http://schemas.openxmlformats.org/officeDocument/2006/relationships/hyperlink" Target="https://doi.org/10.1007/s12630-018-1230-z" TargetMode="External"/><Relationship Id="rId48" Type="http://schemas.openxmlformats.org/officeDocument/2006/relationships/hyperlink" Target="https://doi.org/10.1038/s41598-019-46751-2" TargetMode="External"/><Relationship Id="rId52" Type="http://schemas.openxmlformats.org/officeDocument/2006/relationships/hyperlink" Target="https://doi.org/10.1111/anae.14541" TargetMode="External"/><Relationship Id="rId57" Type="http://schemas.openxmlformats.org/officeDocument/2006/relationships/hyperlink" Target="https://doi.org/10.1213/ane.0000000000003409" TargetMode="External"/><Relationship Id="rId34" Type="http://schemas.openxmlformats.org/officeDocument/2006/relationships/hyperlink" Target="https://doi.org/10.5281/zenodo.3908492" TargetMode="External"/><Relationship Id="rId35"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_rels/footnotes.xml.rels><?xml version="1.0" encoding="UTF-8" standalone="yes"?>
<Relationships  xmlns="http://schemas.openxmlformats.org/package/2006/relationships"><Relationship Id="rId70" Type="http://schemas.openxmlformats.org/officeDocument/2006/relationships/hyperlink" Target="http://myaccess.library.utoronto.ca/login?url=https://search-proquest-com.myaccess.library.utoronto.ca/docview/37127083?accountid=14771" TargetMode="External"/><Relationship Id="rId55" Type="http://schemas.openxmlformats.org/officeDocument/2006/relationships/hyperlink" Target="https://doi.org/10.1007/s12630-018-1230-z" TargetMode="External"/><Relationship Id="rId48" Type="http://schemas.openxmlformats.org/officeDocument/2006/relationships/hyperlink" Target="https://doi.org/10.1038/s41598-019-46751-2" TargetMode="External"/><Relationship Id="rId52" Type="http://schemas.openxmlformats.org/officeDocument/2006/relationships/hyperlink" Target="https://doi.org/10.1111/anae.14541" TargetMode="External"/><Relationship Id="rId57" Type="http://schemas.openxmlformats.org/officeDocument/2006/relationships/hyperlink" Target="https://doi.org/10.1213/ane.0000000000003409" TargetMode="External"/><Relationship Id="rId34" Type="http://schemas.openxmlformats.org/officeDocument/2006/relationships/hyperlink" Target="https://doi.org/10.5281/zenodo.3908492" TargetMode="External"/><Relationship Id="rId35"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procedural sedation: A randomized controlled trial</dc:title>
  <dc:creator>Aaron Conway BN(Hons), PhD1,2,3,✉, Peter Collins MStats1, Kristina Chang BScN, MScN1, Navpreet Kamboj BScN, MScN2, Ana Lopez Filici MHSc(HA),HBSc, RRT, CCAA, FCSRT4, Phoebe Lam M.Ed, H.BSc, RRT, CCAA, FCSRT4, and Matteo Parotto MD, PhD4,5</dc:creator>
  <cp:keywords/>
  <dcterms:created xsi:type="dcterms:W3CDTF">2020-06-25T17:44:49Z</dcterms:created>
  <dcterms:modified xsi:type="dcterms:W3CDTF">2020-06-25T17:44:49Z</dcterms:modified>
  <cp:lastModifiedBy>awconway</cp:lastModifiedBy>
</cp:coreProperties>
</file>