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7492" w14:textId="77777777" w:rsidR="00F35E84" w:rsidRDefault="00000000">
      <w:pPr>
        <w:pStyle w:val="Title"/>
      </w:pPr>
      <w:r>
        <w:t>Integrated Pulmonary Index during procedural sedation and analgesia: a cluster-randomized trial</w:t>
      </w:r>
    </w:p>
    <w:p w14:paraId="5737EF49" w14:textId="77777777" w:rsidR="00F35E84" w:rsidRDefault="00000000">
      <w:pPr>
        <w:pStyle w:val="Author"/>
      </w:pPr>
      <w:r>
        <w:t>Aaron Conway</w:t>
      </w:r>
      <w:r>
        <w:rPr>
          <w:vertAlign w:val="superscript"/>
        </w:rPr>
        <w:t>1,2,✉</w:t>
      </w:r>
      <w:r>
        <w:t>, Mohammad Goudarzi Rad</w:t>
      </w:r>
      <w:r>
        <w:rPr>
          <w:vertAlign w:val="superscript"/>
        </w:rPr>
        <w:t>1,2</w:t>
      </w:r>
      <w:r>
        <w:t>, Kristina Chang</w:t>
      </w:r>
      <w:r>
        <w:rPr>
          <w:vertAlign w:val="superscript"/>
        </w:rPr>
        <w:t>1,2</w:t>
      </w:r>
      <w:r>
        <w:t>, Matteo Parotto</w:t>
      </w:r>
      <w:r>
        <w:rPr>
          <w:vertAlign w:val="superscript"/>
        </w:rPr>
        <w:t>3,4</w:t>
      </w:r>
      <w:r>
        <w:t>, and Sebastian Mafled</w:t>
      </w:r>
      <w:r>
        <w:rPr>
          <w:vertAlign w:val="superscript"/>
        </w:rPr>
        <w:t>5</w:t>
      </w:r>
    </w:p>
    <w:p w14:paraId="17E3B317" w14:textId="77777777" w:rsidR="00F35E84" w:rsidRDefault="00000000">
      <w:pPr>
        <w:pStyle w:val="FirstParagraph"/>
      </w:pPr>
      <w:r>
        <w:rPr>
          <w:vertAlign w:val="superscript"/>
        </w:rPr>
        <w:t>1</w:t>
      </w:r>
      <w:r>
        <w:t xml:space="preserve"> Lawrence S. Bloomberg Faculty of Nursing, University of Toronto, Toronto, Canada</w:t>
      </w:r>
      <w:r>
        <w:br/>
      </w:r>
      <w:r>
        <w:rPr>
          <w:vertAlign w:val="superscript"/>
        </w:rPr>
        <w:t>2</w:t>
      </w:r>
      <w:r>
        <w:t xml:space="preserve"> Peter Munk Cardiac Centre, University Health Network, Toronto, Canada</w:t>
      </w:r>
      <w:r>
        <w:br/>
      </w:r>
      <w:r>
        <w:rPr>
          <w:vertAlign w:val="superscript"/>
        </w:rPr>
        <w:t>3</w:t>
      </w:r>
      <w:r>
        <w:t xml:space="preserve"> Department of Anesthesiology and Pain Medicine and Interdepartmental Division of Critical Care Medicine, University of Toronto, Toronto, Canada</w:t>
      </w:r>
      <w:r>
        <w:br/>
      </w:r>
      <w:r>
        <w:rPr>
          <w:vertAlign w:val="superscript"/>
        </w:rPr>
        <w:t>4</w:t>
      </w:r>
      <w:r>
        <w:t xml:space="preserve"> Department of Anesthesia and Pain Management, Toronto General Hospital, UHN, Toronto, Canada</w:t>
      </w:r>
      <w:r>
        <w:br/>
      </w:r>
      <w:r>
        <w:rPr>
          <w:vertAlign w:val="superscript"/>
        </w:rPr>
        <w:t>5</w:t>
      </w:r>
      <w:r>
        <w:t xml:space="preserve"> Interventional Radiology, JDMI, Toronto General Hospital</w:t>
      </w:r>
    </w:p>
    <w:p w14:paraId="155A3E98" w14:textId="77777777" w:rsidR="00F35E84" w:rsidRDefault="00000000">
      <w:pPr>
        <w:pStyle w:val="BodyText"/>
      </w:pPr>
      <w:r>
        <w:rPr>
          <w:vertAlign w:val="superscript"/>
        </w:rPr>
        <w:t>✉</w:t>
      </w:r>
      <w:r>
        <w:t xml:space="preserve"> Correspondence: </w:t>
      </w:r>
      <w:hyperlink r:id="rId7">
        <w:r>
          <w:rPr>
            <w:rStyle w:val="Hyperlink"/>
          </w:rPr>
          <w:t>Aaron Conway &lt;aaron.conway@utoronto.ca&gt;</w:t>
        </w:r>
      </w:hyperlink>
    </w:p>
    <w:p w14:paraId="2FA3EDFF" w14:textId="77777777" w:rsidR="00F50FA4" w:rsidRDefault="00F50FA4" w:rsidP="00F50FA4">
      <w:pPr>
        <w:pStyle w:val="Heading2"/>
      </w:pPr>
      <w:bookmarkStart w:id="0" w:name="abstract"/>
      <w:bookmarkStart w:id="1" w:name="trial-registration"/>
      <w:bookmarkStart w:id="2" w:name="OLE_LINK1"/>
      <w:bookmarkStart w:id="3" w:name="OLE_LINK2"/>
      <w:r>
        <w:t>Trial Registration</w:t>
      </w:r>
    </w:p>
    <w:bookmarkEnd w:id="2"/>
    <w:bookmarkEnd w:id="3"/>
    <w:p w14:paraId="3EEE0C54" w14:textId="77777777" w:rsidR="00F50FA4" w:rsidRDefault="00F50FA4" w:rsidP="00F50FA4">
      <w:pPr>
        <w:pStyle w:val="FirstParagraph"/>
      </w:pPr>
      <w:r>
        <w:t>This study was registered at ClinicalTrials.gov (ID: NCT05068700)</w:t>
      </w:r>
    </w:p>
    <w:p w14:paraId="18D011D7" w14:textId="733637C5" w:rsidR="006E7A5D" w:rsidRDefault="006E7A5D" w:rsidP="006E7A5D">
      <w:pPr>
        <w:pStyle w:val="Heading2"/>
      </w:pPr>
      <w:r>
        <w:t>Funding</w:t>
      </w:r>
    </w:p>
    <w:p w14:paraId="678F70C4" w14:textId="7C5D0F2E" w:rsidR="00F50FA4" w:rsidRPr="006E7A5D" w:rsidRDefault="006E7A5D" w:rsidP="006E7A5D">
      <w:pPr>
        <w:pStyle w:val="BodyText"/>
      </w:pPr>
      <w:r>
        <w:t xml:space="preserve">Funding and equipment for the study was provided by the Medtronic External Research Program. The funder had no role in the design, data collection, analysis or decision to publish the results. </w:t>
      </w:r>
      <w:bookmarkStart w:id="4" w:name="introduction"/>
      <w:bookmarkEnd w:id="0"/>
      <w:bookmarkEnd w:id="1"/>
    </w:p>
    <w:p w14:paraId="73318C99" w14:textId="13BD7DCA" w:rsidR="00F35E84" w:rsidRDefault="00000000">
      <w:pPr>
        <w:pStyle w:val="Heading1"/>
      </w:pPr>
      <w:r>
        <w:lastRenderedPageBreak/>
        <w:t>Introduction</w:t>
      </w:r>
    </w:p>
    <w:p w14:paraId="4EEBB64D" w14:textId="77777777" w:rsidR="00F35E84" w:rsidRDefault="00000000">
      <w:pPr>
        <w:pStyle w:val="FirstParagraph"/>
      </w:pPr>
      <w:r>
        <w:t>Nurses must analyze and integrate information from multiple different individual parameters to make an assessment of respiratory status while monitoring patients who have received nurse-administered procedural sedation (Conway et al., 2013). The Integrated Pulmonary Index is a “smart alarm” that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 (Ronen et al., 2016). By assigning clinical responses to specific Integrated Pulmonary Index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Integrated Pulmonary Index score of four had over 90% sensitivity and specificity for detecting clinically significant events in a clinical validation study (Ronen et al., 2016). This study aimed to determine whether using the Integrated Pulmonary Index during nurse-administered sedation achieves the intended effect of reducing the threshold for intervention by measuring the time it takes for nurses to respond to capnography monitor alarms.</w:t>
      </w:r>
    </w:p>
    <w:p w14:paraId="37CBF898" w14:textId="77777777" w:rsidR="00F50FA4" w:rsidRDefault="00F50FA4">
      <w:pPr>
        <w:spacing w:line="240" w:lineRule="auto"/>
        <w:rPr>
          <w:rFonts w:asciiTheme="majorHAnsi" w:eastAsiaTheme="majorEastAsia" w:hAnsiTheme="majorHAnsi" w:cstheme="majorBidi"/>
          <w:b/>
          <w:bCs/>
          <w:color w:val="4F81BD" w:themeColor="accent1"/>
          <w:sz w:val="28"/>
          <w:szCs w:val="28"/>
        </w:rPr>
      </w:pPr>
      <w:bookmarkStart w:id="5" w:name="the-study"/>
      <w:bookmarkStart w:id="6" w:name="objectives"/>
      <w:bookmarkEnd w:id="4"/>
      <w:r>
        <w:br w:type="page"/>
      </w:r>
    </w:p>
    <w:p w14:paraId="5B65B4FD" w14:textId="088D824A" w:rsidR="00F35E84" w:rsidRDefault="00000000">
      <w:pPr>
        <w:pStyle w:val="Heading2"/>
      </w:pPr>
      <w:r>
        <w:lastRenderedPageBreak/>
        <w:t>Objectives</w:t>
      </w:r>
    </w:p>
    <w:p w14:paraId="67DD29B2" w14:textId="77777777" w:rsidR="00F35E84" w:rsidRDefault="00000000">
      <w:pPr>
        <w:pStyle w:val="FirstParagraph"/>
      </w:pPr>
      <w:r>
        <w:t>The study aimed to determine whether enabling the Integrated Pulmonary Index during nurse-administered sedation reduced the time between the onset of a capnography monitor alarm and the initiation of an intervention. Additionally, the study investigated the effect of the Integrated Pulmonary Index on:</w:t>
      </w:r>
    </w:p>
    <w:p w14:paraId="2A957F10" w14:textId="77777777" w:rsidR="00F35E84" w:rsidRDefault="00000000">
      <w:pPr>
        <w:pStyle w:val="Compact"/>
        <w:numPr>
          <w:ilvl w:val="0"/>
          <w:numId w:val="3"/>
        </w:numPr>
      </w:pPr>
      <w:r>
        <w:t>The total alarm burden</w:t>
      </w:r>
    </w:p>
    <w:p w14:paraId="443843C8" w14:textId="77777777" w:rsidR="00F35E84" w:rsidRDefault="00000000">
      <w:pPr>
        <w:pStyle w:val="Compact"/>
        <w:numPr>
          <w:ilvl w:val="0"/>
          <w:numId w:val="3"/>
        </w:numPr>
      </w:pPr>
      <w:r>
        <w:t>The number of appropriate alarms</w:t>
      </w:r>
    </w:p>
    <w:p w14:paraId="3D8D279F" w14:textId="77777777" w:rsidR="00F35E84" w:rsidRDefault="00000000">
      <w:pPr>
        <w:pStyle w:val="Compact"/>
        <w:numPr>
          <w:ilvl w:val="0"/>
          <w:numId w:val="3"/>
        </w:numPr>
      </w:pPr>
      <w:r>
        <w:t>The number of inappropriate alarms</w:t>
      </w:r>
    </w:p>
    <w:p w14:paraId="6B35E20A" w14:textId="77777777" w:rsidR="00F35E84" w:rsidRDefault="00000000">
      <w:pPr>
        <w:pStyle w:val="Compact"/>
        <w:numPr>
          <w:ilvl w:val="0"/>
          <w:numId w:val="3"/>
        </w:numPr>
      </w:pPr>
      <w:r>
        <w:t>The total duration of alert conditions</w:t>
      </w:r>
    </w:p>
    <w:p w14:paraId="0D2D8D53" w14:textId="77777777" w:rsidR="00F35E84" w:rsidRDefault="00000000">
      <w:pPr>
        <w:pStyle w:val="Compact"/>
        <w:numPr>
          <w:ilvl w:val="0"/>
          <w:numId w:val="3"/>
        </w:numPr>
      </w:pPr>
      <w:r>
        <w:t>The choice of alarm settings</w:t>
      </w:r>
    </w:p>
    <w:p w14:paraId="27936E03" w14:textId="77777777" w:rsidR="00F35E84" w:rsidRDefault="00000000">
      <w:pPr>
        <w:pStyle w:val="Compact"/>
        <w:numPr>
          <w:ilvl w:val="0"/>
          <w:numId w:val="3"/>
        </w:numPr>
      </w:pPr>
      <w:r>
        <w:t>The number and severity of adverse sedation events</w:t>
      </w:r>
    </w:p>
    <w:p w14:paraId="5DF04028" w14:textId="77777777" w:rsidR="00F35E84" w:rsidRDefault="00000000">
      <w:pPr>
        <w:pStyle w:val="Heading1"/>
      </w:pPr>
      <w:bookmarkStart w:id="7" w:name="methods"/>
      <w:bookmarkEnd w:id="5"/>
      <w:bookmarkEnd w:id="6"/>
      <w:r>
        <w:t>Methods</w:t>
      </w:r>
    </w:p>
    <w:p w14:paraId="64DA1AEA" w14:textId="77777777" w:rsidR="00F35E84" w:rsidRDefault="00000000">
      <w:pPr>
        <w:pStyle w:val="Heading2"/>
      </w:pPr>
      <w:bookmarkStart w:id="8" w:name="design"/>
      <w:r>
        <w:t>Design</w:t>
      </w:r>
    </w:p>
    <w:p w14:paraId="1E4781CA" w14:textId="77777777" w:rsidR="00F35E84" w:rsidRDefault="00000000">
      <w:pPr>
        <w:pStyle w:val="FirstParagraph"/>
      </w:pPr>
      <w:r>
        <w:t>A parallel cluster randomized trial was conducted, guided by the hybrid effectiveness-implementation approach (Curran et al., 2012). The hybrid effectiveness-implementation framework was appropriate because evidence for the safety and efficacy of using capnography exists and implementation of this monitoring device for sedation is recommended in clinical guidelines (Conway et al., 2013, 2014; Dobson et al., 2018). A detailed description of this trial was reported in the published protocol (Conway et al., 2022). Briefly, this implementation-</w:t>
      </w:r>
      <w:r>
        <w:lastRenderedPageBreak/>
        <w:t>effectiveness study involved an initial ‘establishment’ 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chose to participate in the study were randomized to either enable or disable the Integrated Pulmonary Index feature of the capnography monitor. In a subsequent ‘stability’ period, an audit and feedback process was undertaken, with the aim of optimizing capnography alarm conditions. Nurses either enabled or disabled the Integrated Pulmonary Index depending on randomization. Alarm performance was compared between nurses randomized to use capnography with the Integrated Pulmonary Index enabled or disabled in the ‘evaluation’ period. The results of this ‘evaluation’ period are reported in this paper.</w:t>
      </w:r>
    </w:p>
    <w:p w14:paraId="384AE2BF" w14:textId="77777777" w:rsidR="00F35E84" w:rsidRDefault="00000000">
      <w:pPr>
        <w:pStyle w:val="Heading2"/>
      </w:pPr>
      <w:bookmarkStart w:id="9" w:name="study-setting"/>
      <w:bookmarkEnd w:id="8"/>
      <w:r>
        <w:t>Study Setting</w:t>
      </w:r>
    </w:p>
    <w:p w14:paraId="2BE9945A" w14:textId="77777777" w:rsidR="00F35E84" w:rsidRDefault="00000000">
      <w:pPr>
        <w:pStyle w:val="FirstParagraph"/>
      </w:pPr>
      <w:r>
        <w:t>Participants were enrolled from the interventional radiology department at an academic hospital in Canada. We originally planned to recruit participants from other departments in the same network of hospitals. This was not possible due to changing priorities arising from significant staffing challenges in these other departments at the time of data collection.</w:t>
      </w:r>
    </w:p>
    <w:p w14:paraId="3AED07CE" w14:textId="77777777" w:rsidR="00F35E84" w:rsidRDefault="00000000">
      <w:pPr>
        <w:pStyle w:val="Heading2"/>
      </w:pPr>
      <w:bookmarkStart w:id="10" w:name="inclusion-criteria"/>
      <w:bookmarkEnd w:id="9"/>
      <w:r>
        <w:lastRenderedPageBreak/>
        <w:t>Inclusion Criteria</w:t>
      </w:r>
    </w:p>
    <w:p w14:paraId="32512BC6" w14:textId="77777777" w:rsidR="00F35E84" w:rsidRDefault="00000000">
      <w:pPr>
        <w:pStyle w:val="FirstParagraph"/>
      </w:pPr>
      <w:r>
        <w:t>All nurses who administer and monitor sedation were eligible to be randomized. Adult patients who were scheduled to undergo elective procedures with sedation administered by the nursing staff were eligible for inclusion in the analysis.</w:t>
      </w:r>
    </w:p>
    <w:p w14:paraId="6F091EC6" w14:textId="77777777" w:rsidR="00F35E84" w:rsidRDefault="00000000">
      <w:pPr>
        <w:pStyle w:val="Heading2"/>
      </w:pPr>
      <w:bookmarkStart w:id="11" w:name="exclusion-criteria"/>
      <w:bookmarkEnd w:id="10"/>
      <w:r>
        <w:t>Exclusion Criteria</w:t>
      </w:r>
    </w:p>
    <w:p w14:paraId="4BEE7595" w14:textId="77777777" w:rsidR="00F35E84" w:rsidRDefault="00000000">
      <w:pPr>
        <w:pStyle w:val="FirstParagraph"/>
      </w:pPr>
      <w:r>
        <w:t>Patients were excluded if a preference against the presence of a research assistant observer during their procedure was expressed.</w:t>
      </w:r>
    </w:p>
    <w:p w14:paraId="1621C54D" w14:textId="77777777" w:rsidR="00F35E84" w:rsidRDefault="00000000">
      <w:pPr>
        <w:pStyle w:val="Heading2"/>
      </w:pPr>
      <w:bookmarkStart w:id="12" w:name="sample-size-calculation"/>
      <w:bookmarkEnd w:id="11"/>
      <w:r>
        <w:t>Sample size calculation</w:t>
      </w:r>
    </w:p>
    <w:p w14:paraId="289ACB3A" w14:textId="77777777" w:rsidR="00F35E84" w:rsidRDefault="00000000">
      <w:pPr>
        <w:pStyle w:val="FirstParagraph"/>
      </w:pPr>
      <w:r>
        <w:t>We used cluster randomized trial sample size calculation software to determine the sample size required for the primary outcome (Hemming et al., 2020).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p w14:paraId="55734902" w14:textId="77777777" w:rsidR="00F35E84" w:rsidRDefault="00000000">
      <w:pPr>
        <w:pStyle w:val="Heading2"/>
      </w:pPr>
      <w:bookmarkStart w:id="13" w:name="randomization"/>
      <w:bookmarkEnd w:id="12"/>
      <w:r>
        <w:t>Randomization</w:t>
      </w:r>
    </w:p>
    <w:p w14:paraId="42C4C2DE" w14:textId="77777777" w:rsidR="00F35E84" w:rsidRDefault="00000000">
      <w:pPr>
        <w:pStyle w:val="FirstParagraph"/>
      </w:pPr>
      <w:r>
        <w:t>Concealed random allocation of nurses to either enable or disable the Integrated Pulmonary Index was undertaken. The redcapAPI package in R was used to upload a stratified (by department) randomized sequence to REDCap</w:t>
      </w:r>
      <w:r>
        <w:rPr>
          <w:vertAlign w:val="superscript"/>
        </w:rPr>
        <w:t>TM</w:t>
      </w:r>
      <w:r>
        <w:t>. The research assistant retrieved the allocation from REDCAP</w:t>
      </w:r>
      <w:r>
        <w:rPr>
          <w:vertAlign w:val="superscript"/>
        </w:rPr>
        <w:t>TM</w:t>
      </w:r>
      <w:r>
        <w:t xml:space="preserve"> for each consecutive nurse who choose to participate.</w:t>
      </w:r>
    </w:p>
    <w:p w14:paraId="1174A321" w14:textId="77777777" w:rsidR="00F35E84" w:rsidRDefault="00000000">
      <w:pPr>
        <w:pStyle w:val="Heading2"/>
      </w:pPr>
      <w:bookmarkStart w:id="14" w:name="study-interventions"/>
      <w:bookmarkEnd w:id="13"/>
      <w:r>
        <w:lastRenderedPageBreak/>
        <w:t>Study interventions</w:t>
      </w:r>
    </w:p>
    <w:p w14:paraId="42A2F2B8" w14:textId="77777777" w:rsidR="00F35E84" w:rsidRDefault="00000000">
      <w:pPr>
        <w:pStyle w:val="FirstParagraph"/>
      </w:pPr>
      <w:r>
        <w:t>Nurses randomized to enable the Integrated Pulmonary Index were instructed to enable this feature when they used the Capnostream 35p monitor. Nurses randomized to disable the Integrated Pulmonary Index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 (Conway et al., 2022).</w:t>
      </w:r>
    </w:p>
    <w:p w14:paraId="00464C7F" w14:textId="77777777" w:rsidR="00F35E84" w:rsidRDefault="00000000">
      <w:pPr>
        <w:pStyle w:val="Heading2"/>
      </w:pPr>
      <w:bookmarkStart w:id="15" w:name="data-collection"/>
      <w:bookmarkEnd w:id="14"/>
      <w:r>
        <w:t>Data collection</w:t>
      </w:r>
    </w:p>
    <w:p w14:paraId="23F15AD6" w14:textId="77777777" w:rsidR="00F35E84" w:rsidRDefault="00000000">
      <w:pPr>
        <w:pStyle w:val="FirstParagraph"/>
      </w:pPr>
      <w:r>
        <w:t>Due to the hybrid effectiveness-implementation design, we used routinely collected clinical data as the source for information about participant and procedure characteristics (Ward et al., 2018). Procedures were observed by a research assistant to collect information about alarm performance characteristics. Adverse sedation events were evaluated by the research assistant who observed procedures for participants included in the study. The research assistant was not blinded to the randomization allocation of the nurse because it was not practical to obscure the monitor from their view without also impeding the nurses own use of the device.</w:t>
      </w:r>
    </w:p>
    <w:p w14:paraId="7D368E25" w14:textId="77777777" w:rsidR="00F35E84" w:rsidRDefault="00000000">
      <w:pPr>
        <w:pStyle w:val="Heading2"/>
      </w:pPr>
      <w:bookmarkStart w:id="16" w:name="outcomes"/>
      <w:bookmarkEnd w:id="15"/>
      <w:r>
        <w:t>Outcomes</w:t>
      </w:r>
    </w:p>
    <w:p w14:paraId="30F817D4" w14:textId="77777777" w:rsidR="00F35E84" w:rsidRDefault="00000000">
      <w:pPr>
        <w:pStyle w:val="FirstParagraph"/>
      </w:pPr>
      <w:r>
        <w:t xml:space="preserve">The period between the initial sedative medication administration and the completion of the procedure was considered for outcome measurement. The primary outcome was the number of seconds in an alert condition state without an intervention being applied. For nurses who </w:t>
      </w:r>
      <w:r>
        <w:lastRenderedPageBreak/>
        <w:t>were randomized to enable the Integrated Pulmonary Index, an alert condition state was triggered if the index fell below the lower limit threshold selected for this parameter in the Capnostream 35p monitor. For nurses who were randomized to disable the Integrated Pulmonary Index,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 ‘no breath’ criteria had been met for a specified minimum amount of time. An intervention was defined as a response to an alert condition state by a nurse.</w:t>
      </w:r>
    </w:p>
    <w:p w14:paraId="38B6F98E" w14:textId="77777777" w:rsidR="00F35E84" w:rsidRDefault="00000000">
      <w:pPr>
        <w:pStyle w:val="BodyText"/>
      </w:pPr>
      <w:r>
        <w:t>The secondary outcomes for the study were the following:</w:t>
      </w:r>
    </w:p>
    <w:p w14:paraId="5E9098BF" w14:textId="77777777" w:rsidR="00F35E84" w:rsidRDefault="00000000">
      <w:pPr>
        <w:pStyle w:val="Compact"/>
        <w:numPr>
          <w:ilvl w:val="0"/>
          <w:numId w:val="4"/>
        </w:numPr>
      </w:pPr>
      <w:r>
        <w:t>Alarm burden (total number of Medtronic Capnostream 35p monitor alarms).</w:t>
      </w:r>
    </w:p>
    <w:p w14:paraId="6C40C142" w14:textId="77777777" w:rsidR="00F35E84" w:rsidRDefault="00000000">
      <w:pPr>
        <w:pStyle w:val="Compact"/>
        <w:numPr>
          <w:ilvl w:val="0"/>
          <w:numId w:val="4"/>
        </w:numPr>
      </w:pPr>
      <w:r>
        <w:t>Number of appropriate alarms (defined as an alarm that triggered an intervention).</w:t>
      </w:r>
    </w:p>
    <w:p w14:paraId="0B42F412" w14:textId="77777777" w:rsidR="00F35E84" w:rsidRDefault="00000000">
      <w:pPr>
        <w:pStyle w:val="Compact"/>
        <w:numPr>
          <w:ilvl w:val="0"/>
          <w:numId w:val="4"/>
        </w:numPr>
      </w:pPr>
      <w:r>
        <w:t>Number of inappropriate alarms (defined as alarms that were triggered but manually dismissed by silencing the alarm).</w:t>
      </w:r>
    </w:p>
    <w:p w14:paraId="229A0A04" w14:textId="77777777" w:rsidR="00F35E84" w:rsidRDefault="00000000">
      <w:pPr>
        <w:pStyle w:val="Compact"/>
        <w:numPr>
          <w:ilvl w:val="0"/>
          <w:numId w:val="4"/>
        </w:numPr>
      </w:pPr>
      <w:r>
        <w:t>Total duration of alert conditions (defined as the total time that an alert condition was active inclusive of the time to an intervention and the time until the alert conditions are resolved).</w:t>
      </w:r>
    </w:p>
    <w:p w14:paraId="0A7F0D21" w14:textId="77777777" w:rsidR="00F35E84" w:rsidRDefault="00000000">
      <w:pPr>
        <w:pStyle w:val="Compact"/>
        <w:numPr>
          <w:ilvl w:val="0"/>
          <w:numId w:val="4"/>
        </w:numPr>
      </w:pPr>
      <w:r>
        <w:t>TROOPS adverse sedation events (Roback et al., 2018).</w:t>
      </w:r>
    </w:p>
    <w:p w14:paraId="47275E04" w14:textId="77777777" w:rsidR="00F35E84" w:rsidRDefault="00000000">
      <w:pPr>
        <w:pStyle w:val="Compact"/>
        <w:numPr>
          <w:ilvl w:val="0"/>
          <w:numId w:val="4"/>
        </w:numPr>
      </w:pPr>
      <w:r>
        <w:t>Area under the curve of oxygen desaturation, calculated by taking the difference between a threshold (SpO2 90%) and current oxygen saturation summed each second while oxygen saturation was below the threshold.</w:t>
      </w:r>
    </w:p>
    <w:p w14:paraId="4C4E8DAE" w14:textId="77777777" w:rsidR="00F35E84" w:rsidRDefault="00000000">
      <w:pPr>
        <w:pStyle w:val="Heading2"/>
      </w:pPr>
      <w:bookmarkStart w:id="17" w:name="data-analysis"/>
      <w:bookmarkEnd w:id="16"/>
      <w:r>
        <w:lastRenderedPageBreak/>
        <w:t>Data analysis</w:t>
      </w:r>
    </w:p>
    <w:p w14:paraId="7C9E17F6" w14:textId="77777777" w:rsidR="00F35E84" w:rsidRDefault="00000000">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which was the total number of seconds from initiation of an alarm to implementation of an intervention by a nurse, was scored as zero if a patient did not have any alarms during the procedure. Consistent with our statistical analysis plan reported in the published protocol (Conway et al., 2022), we used a mixed effects model that accounted for the large number of zero scores, being the zero-inflated negative binomial mixed effects model. If there were no alarms, the only outcome possible for the primary outcome is zero. As such, the two parts of the zero-inflated model we used were a logit model to model which of the two processes the zero outcome was associated with, and a negative binomial model for the count process. This analysis was conducted using the </w:t>
      </w:r>
      <w:r>
        <w:rPr>
          <w:rStyle w:val="VerbatimChar"/>
        </w:rPr>
        <w:t>mixed_model</w:t>
      </w:r>
      <w:r>
        <w:t xml:space="preserve"> function from the GLMMadaptive R package (Rizopoulos, 2023). The fixed effect in the model was the randomization and the random effect was the cluster. The secondary outcome measures that were counts of the number of alarms were analyzed using the same approach.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p w14:paraId="580A2AB5" w14:textId="77777777" w:rsidR="00F35E84" w:rsidRDefault="00000000">
      <w:pPr>
        <w:pStyle w:val="Heading2"/>
      </w:pPr>
      <w:bookmarkStart w:id="18" w:name="ethical-considerations"/>
      <w:bookmarkEnd w:id="17"/>
      <w:r>
        <w:lastRenderedPageBreak/>
        <w:t>Ethical considerations</w:t>
      </w:r>
    </w:p>
    <w:p w14:paraId="191542A4" w14:textId="77777777" w:rsidR="00F35E84" w:rsidRDefault="00000000">
      <w:pPr>
        <w:pStyle w:val="FirstParagraph"/>
      </w:pPr>
      <w:r>
        <w:t>The hospital Research Ethics Board (REB) approved the trial (REB 21-5249). Additional information has previously been published in the protocol (Conway et al., 2022).</w:t>
      </w:r>
    </w:p>
    <w:p w14:paraId="5FAA3BBB" w14:textId="77777777" w:rsidR="00F35E84" w:rsidRDefault="00000000">
      <w:pPr>
        <w:pStyle w:val="Heading1"/>
      </w:pPr>
      <w:bookmarkStart w:id="19" w:name="results"/>
      <w:bookmarkEnd w:id="7"/>
      <w:bookmarkEnd w:id="18"/>
      <w:r>
        <w:t>Results</w:t>
      </w:r>
    </w:p>
    <w:p w14:paraId="20C270F1" w14:textId="77777777" w:rsidR="00F35E84" w:rsidRDefault="00000000">
      <w:pPr>
        <w:pStyle w:val="FirstParagraph"/>
      </w:pPr>
      <w:r>
        <w:t>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functionality was not working for one participant and the capnography line malfunctioned during the procedure for the other participant. Data from 11 patients was not included in the final analysis because they did not receive sedation during their procedure.</w:t>
      </w:r>
    </w:p>
    <w:p w14:paraId="5E7398A1" w14:textId="77777777" w:rsidR="00F35E84" w:rsidRDefault="00000000">
      <w:pPr>
        <w:pStyle w:val="Heading2"/>
      </w:pPr>
      <w:bookmarkStart w:id="20" w:name="sample-characteristics"/>
      <w:r>
        <w:t>Sample characteristics</w:t>
      </w:r>
    </w:p>
    <w:p w14:paraId="13B3327B" w14:textId="77777777" w:rsidR="00F35E84" w:rsidRDefault="00000000">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w:t>
      </w:r>
      <w:r>
        <w:lastRenderedPageBreak/>
        <w:t>cannula. Nurses participating in the study elected to use the default settings displayed in Table 2 for all patients they monitored.</w:t>
      </w:r>
    </w:p>
    <w:p w14:paraId="5CA451ED" w14:textId="77777777" w:rsidR="00F35E84" w:rsidRDefault="00000000">
      <w:pPr>
        <w:pStyle w:val="Heading2"/>
      </w:pPr>
      <w:bookmarkStart w:id="21" w:name="alarm-performance"/>
      <w:bookmarkEnd w:id="20"/>
      <w:r>
        <w:t>Alarm performance</w:t>
      </w:r>
    </w:p>
    <w:p w14:paraId="26E7E89C" w14:textId="77777777" w:rsidR="00F35E84" w:rsidRDefault="00000000">
      <w:pPr>
        <w:pStyle w:val="FirstParagraph"/>
      </w:pPr>
      <w:r>
        <w:t>A summary of results for both components of the zero-inflated negative binomial models used to compare differences in alarm performance between the IPI-enabled and IPI-disabled groups is presented in Table 3. Figure 2A displays a breakdown of the proportion of participants who had any any alarms between groups and 2B further presents the number of seconds an alarm was triggered without intervention. The negative binomial component of the model that focused on detecting an effect of the intervention on the number of seconds in an alarm state without an intervention for only participants who had an alarm triggered revealed that there was no difference between groups (IRR 1.79; 95% CI 0.93 to 3.45). There was also not a statistically significant difference for the zero-effect component of the model. Likewise, there was no difference between groups for the secondary outcomes of the total alarm duration and number of appropriate alarms. The effect estimate (IRR 13.13) for the negative binomial component of the model for the number of inappropriate alarms was statistically significantly but highly imprecise (95% CI 1.4 to 122.95).</w:t>
      </w:r>
    </w:p>
    <w:p w14:paraId="29D377A6" w14:textId="77777777" w:rsidR="00F35E84" w:rsidRDefault="00000000">
      <w:pPr>
        <w:pStyle w:val="Heading2"/>
      </w:pPr>
      <w:bookmarkStart w:id="22" w:name="clinical-outcomes"/>
      <w:bookmarkEnd w:id="21"/>
      <w:r>
        <w:t>Clinical outcomes</w:t>
      </w:r>
    </w:p>
    <w:p w14:paraId="30A1E004" w14:textId="77777777" w:rsidR="00F35E84" w:rsidRDefault="00000000">
      <w:pPr>
        <w:pStyle w:val="FirstParagraph"/>
      </w:pPr>
      <w:r>
        <w:t>As can be seen in Figure 3A, desaturation events were not common in either group. Figure 3B shows the area under the SpO</w:t>
      </w:r>
      <w:r>
        <w:rPr>
          <w:vertAlign w:val="subscript"/>
        </w:rPr>
        <w:t>2</w:t>
      </w:r>
      <w:r>
        <w:t xml:space="preserve"> 90% desaturation curve scores for participants who had a desaturation event, which were lower for the IPI-enabled group (𝛽 -0.82; 95% CI -1.41 to -0.22). </w:t>
      </w:r>
      <w:r>
        <w:lastRenderedPageBreak/>
        <w:t>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p w14:paraId="4D1BC295" w14:textId="77777777" w:rsidR="00F35E84" w:rsidRDefault="00000000">
      <w:pPr>
        <w:pStyle w:val="Heading1"/>
      </w:pPr>
      <w:bookmarkStart w:id="23" w:name="discussion"/>
      <w:bookmarkEnd w:id="19"/>
      <w:bookmarkEnd w:id="22"/>
      <w:r>
        <w:t>Discussion</w:t>
      </w:r>
    </w:p>
    <w:p w14:paraId="3D04B2C2" w14:textId="77777777" w:rsidR="00F35E84" w:rsidRDefault="00000000">
      <w:pPr>
        <w:pStyle w:val="FirstParagraph"/>
      </w:pPr>
      <w:r>
        <w:t>This study aimed to investigate the impact of an Integrated Patient Index on alarm performance during nurse-administered sedation that was used for radiology procedures. We found that the use of the Integrated Patient Index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w:t>
      </w:r>
    </w:p>
    <w:p w14:paraId="784A9424" w14:textId="7D975E8F" w:rsidR="00F35E84" w:rsidRDefault="00000000">
      <w:pPr>
        <w:pStyle w:val="BodyText"/>
      </w:pPr>
      <w:r>
        <w:t>Secondary outcomes revealed some insights that require further investigation. Of primary interest, although oxygen desaturation was not common in either group, the IPI-enabled group had lower levels of the area under the SpO</w:t>
      </w:r>
      <w:r>
        <w:rPr>
          <w:vertAlign w:val="subscript"/>
        </w:rPr>
        <w:t>2</w:t>
      </w:r>
      <w:r>
        <w:t xml:space="preserve"> desaturation curve. This outcome comprises an assessment of both the length and severity of an oxygen desaturation event, which has been used in multiple different studies in procedural sedation. It is possible that the actions taken in response to alarms in the IPI-enabled group mediated the effect on oxygen saturation, which potentially signals a safety benefit for using this approach for capnography alarm management. </w:t>
      </w:r>
      <w:r>
        <w:lastRenderedPageBreak/>
        <w:t>A previous randomized controlled trial that compared the use of IPI-enabled capnography monitoring with no capnography during deep sedation for interventional endoscopy found no difference in the average decrease in oxygen saturation (Riphaus et al., 2017).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 (Riphaus et al., 2017).</w:t>
      </w:r>
    </w:p>
    <w:p w14:paraId="16D360B8" w14:textId="66ED1B4C" w:rsidR="00F35E84" w:rsidRDefault="00000000">
      <w:pPr>
        <w:pStyle w:val="BodyText"/>
      </w:pPr>
      <w:r>
        <w:t>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 (Conway et al., 2014). Importantly, there was no systematic difference in the doses of sedative and analgesic medication administered between groups, which suggests that the results are not confounded by differences in the sedation protocol or degree of sedation induced.</w:t>
      </w:r>
    </w:p>
    <w:p w14:paraId="46323D2C" w14:textId="77777777" w:rsidR="00F35E84" w:rsidRDefault="00000000">
      <w:pPr>
        <w:pStyle w:val="Heading2"/>
      </w:pPr>
      <w:bookmarkStart w:id="24" w:name="limitations"/>
      <w:r>
        <w:t>Limitations</w:t>
      </w:r>
    </w:p>
    <w:p w14:paraId="1061A205" w14:textId="77777777" w:rsidR="00F35E84" w:rsidRDefault="00000000">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w:t>
      </w:r>
      <w:r>
        <w:lastRenderedPageBreak/>
        <w:t>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p w14:paraId="0C9155EA" w14:textId="77777777" w:rsidR="00F35E84" w:rsidRDefault="00000000">
      <w:pPr>
        <w:pStyle w:val="Heading2"/>
      </w:pPr>
      <w:bookmarkStart w:id="25" w:name="conclusion"/>
      <w:bookmarkEnd w:id="24"/>
      <w:r>
        <w:t>Conclusion</w:t>
      </w:r>
    </w:p>
    <w:p w14:paraId="3E99990C" w14:textId="5403E219" w:rsidR="00F35E84" w:rsidRDefault="00000000">
      <w:pPr>
        <w:pStyle w:val="FirstParagraph"/>
      </w:pPr>
      <w:r>
        <w:t>Enabling the Integrated P</w:t>
      </w:r>
      <w:r w:rsidR="009A5297">
        <w:t>ulmonary</w:t>
      </w:r>
      <w:r>
        <w:t xml:space="preserve"> Index during nurse-administered procedural sedation for interventional radiology procedures did not reduce the number of seconds that alarms were triggered without intervention. </w:t>
      </w:r>
      <w:r w:rsidR="009A5297">
        <w:t>As such</w:t>
      </w:r>
      <w:r>
        <w:t>,</w:t>
      </w:r>
      <w:r w:rsidR="009A5297">
        <w:t xml:space="preserve"> we conclude that</w:t>
      </w:r>
      <w:r>
        <w:t xml:space="preserve"> integrating multiple physiological parameters related to respiratory assessment into a single index did not lower the threshold for intervention by nurses</w:t>
      </w:r>
      <w:r w:rsidR="009A5297">
        <w:t xml:space="preserve"> in the context in which this study was conducted</w:t>
      </w:r>
      <w:r>
        <w:t>.</w:t>
      </w:r>
    </w:p>
    <w:p w14:paraId="25912D30" w14:textId="77777777" w:rsidR="00F35E84" w:rsidRDefault="00000000">
      <w:r>
        <w:br w:type="page"/>
      </w:r>
    </w:p>
    <w:p w14:paraId="4D7F5D62" w14:textId="77777777" w:rsidR="00F35E84" w:rsidRDefault="00000000">
      <w:pPr>
        <w:pStyle w:val="Heading1"/>
      </w:pPr>
      <w:bookmarkStart w:id="26" w:name="references"/>
      <w:bookmarkEnd w:id="23"/>
      <w:bookmarkEnd w:id="25"/>
      <w:r>
        <w:lastRenderedPageBreak/>
        <w:t>References</w:t>
      </w:r>
    </w:p>
    <w:p w14:paraId="2A2E555D" w14:textId="77777777" w:rsidR="00F35E84" w:rsidRDefault="00000000">
      <w:pPr>
        <w:pStyle w:val="Bibliography"/>
      </w:pPr>
      <w:bookmarkStart w:id="27" w:name="ref-allan2017data"/>
      <w:bookmarkStart w:id="28" w:name="refs"/>
      <w:r>
        <w:t xml:space="preserve">Allan, S. H., Doyle, P. A., Sapirstein, A., &amp; Cvach, M. (2017). Data-driven implementation of alarm reduction interventions in a cardiovascular surgical ICU. </w:t>
      </w:r>
      <w:r>
        <w:rPr>
          <w:i/>
          <w:iCs/>
        </w:rPr>
        <w:t>The Joint Commission Journal on Quality and Patient Safety</w:t>
      </w:r>
      <w:r>
        <w:t xml:space="preserve">, </w:t>
      </w:r>
      <w:r>
        <w:rPr>
          <w:i/>
          <w:iCs/>
        </w:rPr>
        <w:t>43</w:t>
      </w:r>
      <w:r>
        <w:t>(2), 62–70.</w:t>
      </w:r>
    </w:p>
    <w:p w14:paraId="4E8DA5AE" w14:textId="77777777" w:rsidR="00F35E84" w:rsidRDefault="00000000">
      <w:pPr>
        <w:pStyle w:val="Bibliography"/>
      </w:pPr>
      <w:bookmarkStart w:id="29" w:name="ref-conway2022integrated"/>
      <w:bookmarkEnd w:id="27"/>
      <w:r>
        <w:t xml:space="preserve">Conway, A., Chang, K., Goudarzi Rad, M., Mafeld, S., &amp; Parotto, M. (2022). Integrated pulmonary index during nurse-administered procedural sedation: Study protocol for a cluster-randomized trial. </w:t>
      </w:r>
      <w:r>
        <w:rPr>
          <w:i/>
          <w:iCs/>
        </w:rPr>
        <w:t>Journal of Advanced Nursing</w:t>
      </w:r>
      <w:r>
        <w:t xml:space="preserve">, </w:t>
      </w:r>
      <w:r>
        <w:rPr>
          <w:i/>
          <w:iCs/>
        </w:rPr>
        <w:t>78</w:t>
      </w:r>
      <w:r>
        <w:t>(7), 2245–2254.</w:t>
      </w:r>
    </w:p>
    <w:p w14:paraId="2B19D655" w14:textId="77777777" w:rsidR="00F35E84" w:rsidRDefault="00000000">
      <w:pPr>
        <w:pStyle w:val="Bibliography"/>
      </w:pPr>
      <w:bookmarkStart w:id="30" w:name="ref-Conway_2013"/>
      <w:bookmarkEnd w:id="29"/>
      <w:r>
        <w:t xml:space="preserve">Conway, A., Rolley, J., Page, K., &amp; Fulbrook, P. (2013). Clinical practice guidelines for nurse-administered procedural sedation and analgesia in the cardiac catheterization laboratory: A modified delphi study. </w:t>
      </w:r>
      <w:r>
        <w:rPr>
          <w:i/>
          <w:iCs/>
        </w:rPr>
        <w:t>Journal of Advanced Nursing</w:t>
      </w:r>
      <w:r>
        <w:t xml:space="preserve">, </w:t>
      </w:r>
      <w:r>
        <w:rPr>
          <w:i/>
          <w:iCs/>
        </w:rPr>
        <w:t>70</w:t>
      </w:r>
      <w:r>
        <w:t xml:space="preserve">(5), 1040–1053. </w:t>
      </w:r>
      <w:hyperlink r:id="rId8">
        <w:r>
          <w:rPr>
            <w:rStyle w:val="Hyperlink"/>
          </w:rPr>
          <w:t>https://doi.org/10.1111/jan.12337</w:t>
        </w:r>
      </w:hyperlink>
    </w:p>
    <w:p w14:paraId="194057B8" w14:textId="77777777" w:rsidR="00F35E84" w:rsidRDefault="00000000">
      <w:pPr>
        <w:pStyle w:val="Bibliography"/>
      </w:pPr>
      <w:bookmarkStart w:id="31" w:name="ref-Conway_2014"/>
      <w:bookmarkEnd w:id="30"/>
      <w:r>
        <w:t xml:space="preserve">Conway, A., Rolley, J., Page, K., &amp; Fulbrook, P. (2014). Trends in nurse-administered procedural sedation and analgesia across cardiac catheterisation laboratories in australia and new zealand: Results of an electronic survey. </w:t>
      </w:r>
      <w:r>
        <w:rPr>
          <w:i/>
          <w:iCs/>
        </w:rPr>
        <w:t>Australian Critical Care</w:t>
      </w:r>
      <w:r>
        <w:t xml:space="preserve">, </w:t>
      </w:r>
      <w:r>
        <w:rPr>
          <w:i/>
          <w:iCs/>
        </w:rPr>
        <w:t>27</w:t>
      </w:r>
      <w:r>
        <w:t xml:space="preserve">(1), 4–10. </w:t>
      </w:r>
      <w:hyperlink r:id="rId9">
        <w:r>
          <w:rPr>
            <w:rStyle w:val="Hyperlink"/>
          </w:rPr>
          <w:t>https://doi.org/10.1016/j.aucc.2013.05.003</w:t>
        </w:r>
      </w:hyperlink>
    </w:p>
    <w:p w14:paraId="5471E357" w14:textId="77777777" w:rsidR="00F35E84" w:rsidRDefault="00000000">
      <w:pPr>
        <w:pStyle w:val="Bibliography"/>
      </w:pPr>
      <w:bookmarkStart w:id="32" w:name="ref-Curran_2012"/>
      <w:bookmarkEnd w:id="31"/>
      <w:r>
        <w:t xml:space="preserve">Curran, G. M., Bauer, M., Mittman, B., Pyne, J. M., &amp; Stetler, C. (2012). Effectiveness-implementation hybrid designs. </w:t>
      </w:r>
      <w:r>
        <w:rPr>
          <w:i/>
          <w:iCs/>
        </w:rPr>
        <w:t>Medical Care</w:t>
      </w:r>
      <w:r>
        <w:t xml:space="preserve">, </w:t>
      </w:r>
      <w:r>
        <w:rPr>
          <w:i/>
          <w:iCs/>
        </w:rPr>
        <w:t>50</w:t>
      </w:r>
      <w:r>
        <w:t xml:space="preserve">(3), 217–226. </w:t>
      </w:r>
      <w:hyperlink r:id="rId10">
        <w:r>
          <w:rPr>
            <w:rStyle w:val="Hyperlink"/>
          </w:rPr>
          <w:t>https://doi.org/10.1097/mlr.0b013e3182408812</w:t>
        </w:r>
      </w:hyperlink>
    </w:p>
    <w:p w14:paraId="302B74F8" w14:textId="77777777" w:rsidR="00F35E84" w:rsidRDefault="00000000">
      <w:pPr>
        <w:pStyle w:val="Bibliography"/>
      </w:pPr>
      <w:bookmarkStart w:id="33" w:name="ref-cvach2015effect"/>
      <w:bookmarkEnd w:id="32"/>
      <w:r>
        <w:lastRenderedPageBreak/>
        <w:t xml:space="preserve">Cvach, M., Rothwell, K. J., Cullen, A. M., Nayden, M. G., Cvach, N., &amp; Pham, J. C. (2015). Effect of altering alarm settings: A randomized controlled study. </w:t>
      </w:r>
      <w:r>
        <w:rPr>
          <w:i/>
          <w:iCs/>
        </w:rPr>
        <w:t>Biomedical Instrumentation &amp; Technology</w:t>
      </w:r>
      <w:r>
        <w:t xml:space="preserve">, </w:t>
      </w:r>
      <w:r>
        <w:rPr>
          <w:i/>
          <w:iCs/>
        </w:rPr>
        <w:t>49</w:t>
      </w:r>
      <w:r>
        <w:t>(3), 214–222.</w:t>
      </w:r>
    </w:p>
    <w:p w14:paraId="0E332B4F" w14:textId="77777777" w:rsidR="00F35E84" w:rsidRDefault="00000000">
      <w:pPr>
        <w:pStyle w:val="Bibliography"/>
      </w:pPr>
      <w:bookmarkStart w:id="34" w:name="ref-Dobson_2018"/>
      <w:bookmarkEnd w:id="33"/>
      <w:r>
        <w:t xml:space="preserve">Dobson, G., Chong, M. A., Chow, L., Flexman, A., Hurdle, H., Kurrek, M., Laflamme, C., Perrault, M.-A., Sparrow, K., Stacey, S., Swart, P. A., &amp; Wong, M. (2018). Procedural sedation: A position paper of the canadian anesthesiologists’ society. </w:t>
      </w:r>
      <w:r>
        <w:rPr>
          <w:i/>
          <w:iCs/>
        </w:rPr>
        <w:t>Canadian Journal of Anesthesia/Journal Canadien danesthésie</w:t>
      </w:r>
      <w:r>
        <w:t xml:space="preserve">, </w:t>
      </w:r>
      <w:r>
        <w:rPr>
          <w:i/>
          <w:iCs/>
        </w:rPr>
        <w:t>65</w:t>
      </w:r>
      <w:r>
        <w:t xml:space="preserve">(12), 1372–1384. </w:t>
      </w:r>
      <w:hyperlink r:id="rId11">
        <w:r>
          <w:rPr>
            <w:rStyle w:val="Hyperlink"/>
          </w:rPr>
          <w:t>https://doi.org/10.1007/s12630-018-1230-z</w:t>
        </w:r>
      </w:hyperlink>
    </w:p>
    <w:p w14:paraId="5C1127AD" w14:textId="77777777" w:rsidR="00F35E84" w:rsidRDefault="00000000">
      <w:pPr>
        <w:pStyle w:val="Bibliography"/>
      </w:pPr>
      <w:bookmarkStart w:id="35" w:name="ref-Hemming_2020"/>
      <w:bookmarkEnd w:id="34"/>
      <w:r>
        <w:t xml:space="preserve">Hemming, K., Kasza, J., Hooper, R., Forbes, A., &amp; Taljaard, M. (2020). A tutorial on sample size calculation for multiple-period cluster randomized parallel, cross-over and stepped-wedge trials using the shiny CRT calculator. </w:t>
      </w:r>
      <w:r>
        <w:rPr>
          <w:i/>
          <w:iCs/>
        </w:rPr>
        <w:t>International Journal of Epidemiology</w:t>
      </w:r>
      <w:r>
        <w:t xml:space="preserve">, </w:t>
      </w:r>
      <w:r>
        <w:rPr>
          <w:i/>
          <w:iCs/>
        </w:rPr>
        <w:t>49</w:t>
      </w:r>
      <w:r>
        <w:t xml:space="preserve">(3), 979–995. </w:t>
      </w:r>
      <w:hyperlink r:id="rId12">
        <w:r>
          <w:rPr>
            <w:rStyle w:val="Hyperlink"/>
          </w:rPr>
          <w:t>https://doi.org/10.1093/ije/dyz237</w:t>
        </w:r>
      </w:hyperlink>
    </w:p>
    <w:p w14:paraId="192BF79C" w14:textId="77777777" w:rsidR="00F35E84" w:rsidRDefault="00000000">
      <w:pPr>
        <w:pStyle w:val="Bibliography"/>
      </w:pPr>
      <w:bookmarkStart w:id="36" w:name="ref-riphaus2017clinical"/>
      <w:bookmarkEnd w:id="35"/>
      <w:r>
        <w:t xml:space="preserve">Riphaus, A., Wehrmann, T., Kronshage, T., Geist, C., Pox, C. P., Heringlake, S., Schmiegel, W., Beitz, A., Meining, A., Müller, M., et al. (2017). Clinical value of the integrated pulmonary index during sedation for interventional upper GI-endoscopy: A randomized, prospective tri-center study. </w:t>
      </w:r>
      <w:r>
        <w:rPr>
          <w:i/>
          <w:iCs/>
        </w:rPr>
        <w:t>Digestive and Liver Disease</w:t>
      </w:r>
      <w:r>
        <w:t xml:space="preserve">, </w:t>
      </w:r>
      <w:r>
        <w:rPr>
          <w:i/>
          <w:iCs/>
        </w:rPr>
        <w:t>49</w:t>
      </w:r>
      <w:r>
        <w:t>(1), 45–49.</w:t>
      </w:r>
    </w:p>
    <w:p w14:paraId="46C6D464" w14:textId="77777777" w:rsidR="00F35E84" w:rsidRDefault="00000000">
      <w:pPr>
        <w:pStyle w:val="Bibliography"/>
      </w:pPr>
      <w:bookmarkStart w:id="37" w:name="ref-GLMMadaptive"/>
      <w:bookmarkEnd w:id="36"/>
      <w:r>
        <w:t xml:space="preserve">Rizopoulos, D. (2023). </w:t>
      </w:r>
      <w:r>
        <w:rPr>
          <w:i/>
          <w:iCs/>
        </w:rPr>
        <w:t>GLMMadaptive: Generalized linear mixed models using adaptive gaussian quadrature</w:t>
      </w:r>
      <w:r>
        <w:t xml:space="preserve">. </w:t>
      </w:r>
      <w:hyperlink r:id="rId13">
        <w:r>
          <w:rPr>
            <w:rStyle w:val="Hyperlink"/>
          </w:rPr>
          <w:t>https://CRAN.R-project.org/package=GLMMadaptive</w:t>
        </w:r>
      </w:hyperlink>
    </w:p>
    <w:p w14:paraId="54CEED6C" w14:textId="77777777" w:rsidR="00F35E84" w:rsidRDefault="00000000">
      <w:pPr>
        <w:pStyle w:val="Bibliography"/>
      </w:pPr>
      <w:bookmarkStart w:id="38" w:name="ref-Roback_2018"/>
      <w:bookmarkEnd w:id="37"/>
      <w:r>
        <w:t xml:space="preserve">Roback, M. G., Green, S. M., Andolfatto, G., Leroy, P. L., &amp; Mason, K. P. (2018). Tracking and reporting outcomes of procedural sedation (TROOPS): Standardized quality improvement and </w:t>
      </w:r>
      <w:r>
        <w:lastRenderedPageBreak/>
        <w:t xml:space="preserve">research tools from the international committee for the advancement of procedural sedation. </w:t>
      </w:r>
      <w:r>
        <w:rPr>
          <w:i/>
          <w:iCs/>
        </w:rPr>
        <w:t>British Journal of Anaesthesia</w:t>
      </w:r>
      <w:r>
        <w:t xml:space="preserve">, </w:t>
      </w:r>
      <w:r>
        <w:rPr>
          <w:i/>
          <w:iCs/>
        </w:rPr>
        <w:t>120</w:t>
      </w:r>
      <w:r>
        <w:t xml:space="preserve">(1), 164–172. </w:t>
      </w:r>
      <w:hyperlink r:id="rId14">
        <w:r>
          <w:rPr>
            <w:rStyle w:val="Hyperlink"/>
          </w:rPr>
          <w:t>https://doi.org/10.1016/j.bja.2017.08.004</w:t>
        </w:r>
      </w:hyperlink>
    </w:p>
    <w:p w14:paraId="2177340F" w14:textId="77777777" w:rsidR="00F35E84" w:rsidRDefault="00000000">
      <w:pPr>
        <w:pStyle w:val="Bibliography"/>
      </w:pPr>
      <w:bookmarkStart w:id="39" w:name="ref-Ronen_2016"/>
      <w:bookmarkEnd w:id="38"/>
      <w:r>
        <w:t xml:space="preserve">Ronen, M., Weissbrod, R., Overdyk, F. J., &amp; Ajizian, S. (2016). Smart respiratory monitoring: Clinical development and validation of the IPI (integrated pulmonary index) algorithm. </w:t>
      </w:r>
      <w:r>
        <w:rPr>
          <w:i/>
          <w:iCs/>
        </w:rPr>
        <w:t>Journal of Clinical Monitoring and Computing</w:t>
      </w:r>
      <w:r>
        <w:t xml:space="preserve">, </w:t>
      </w:r>
      <w:r>
        <w:rPr>
          <w:i/>
          <w:iCs/>
        </w:rPr>
        <w:t>31</w:t>
      </w:r>
      <w:r>
        <w:t xml:space="preserve">(2), 435–442. </w:t>
      </w:r>
      <w:hyperlink r:id="rId15">
        <w:r>
          <w:rPr>
            <w:rStyle w:val="Hyperlink"/>
          </w:rPr>
          <w:t>https://doi.org/10.1007/s10877-016-9851-7</w:t>
        </w:r>
      </w:hyperlink>
    </w:p>
    <w:p w14:paraId="7514E588" w14:textId="77777777" w:rsidR="00F35E84" w:rsidRDefault="00000000">
      <w:pPr>
        <w:pStyle w:val="Bibliography"/>
      </w:pPr>
      <w:bookmarkStart w:id="40" w:name="ref-ruppel2018testing"/>
      <w:bookmarkEnd w:id="39"/>
      <w:r>
        <w:t xml:space="preserve">Ruppel, H., De Vaux, L., Cooper, D., Kunz, S., Duller, B., &amp; Funk, M. (2018). Testing physiologic monitor alarm customization software to reduce alarm rates and improve nurses’ experience of alarms in a medical intensive care unit. </w:t>
      </w:r>
      <w:r>
        <w:rPr>
          <w:i/>
          <w:iCs/>
        </w:rPr>
        <w:t>PloS One</w:t>
      </w:r>
      <w:r>
        <w:t xml:space="preserve">, </w:t>
      </w:r>
      <w:r>
        <w:rPr>
          <w:i/>
          <w:iCs/>
        </w:rPr>
        <w:t>13</w:t>
      </w:r>
      <w:r>
        <w:t>(10), e0205901.</w:t>
      </w:r>
    </w:p>
    <w:p w14:paraId="3DB69A8D" w14:textId="77777777" w:rsidR="00F35E84" w:rsidRDefault="00000000">
      <w:pPr>
        <w:pStyle w:val="Bibliography"/>
      </w:pPr>
      <w:bookmarkStart w:id="41" w:name="ref-ward2018evaluating"/>
      <w:bookmarkEnd w:id="40"/>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 </w:t>
      </w:r>
      <w:r>
        <w:rPr>
          <w:i/>
          <w:iCs/>
        </w:rPr>
        <w:t>Anesthesia &amp; Analgesia</w:t>
      </w:r>
      <w:r>
        <w:t>.</w:t>
      </w:r>
    </w:p>
    <w:bookmarkEnd w:id="28"/>
    <w:bookmarkEnd w:id="41"/>
    <w:p w14:paraId="1528E743" w14:textId="77777777" w:rsidR="00317512" w:rsidRDefault="00317512">
      <w:pPr>
        <w:spacing w:line="240" w:lineRule="auto"/>
      </w:pPr>
      <w:r>
        <w:br w:type="page"/>
      </w:r>
    </w:p>
    <w:p w14:paraId="6C8C13C8" w14:textId="77777777" w:rsidR="00317512" w:rsidRDefault="00317512">
      <w:r w:rsidRPr="00317512">
        <w:rPr>
          <w:noProof/>
        </w:rPr>
        <w:lastRenderedPageBreak/>
        <w:drawing>
          <wp:inline distT="0" distB="0" distL="0" distR="0" wp14:anchorId="01A78415" wp14:editId="0A470E1C">
            <wp:extent cx="5943600" cy="7000875"/>
            <wp:effectExtent l="0" t="0" r="0" b="0"/>
            <wp:docPr id="107970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00452" name=""/>
                    <pic:cNvPicPr/>
                  </pic:nvPicPr>
                  <pic:blipFill>
                    <a:blip r:embed="rId16"/>
                    <a:stretch>
                      <a:fillRect/>
                    </a:stretch>
                  </pic:blipFill>
                  <pic:spPr>
                    <a:xfrm>
                      <a:off x="0" y="0"/>
                      <a:ext cx="5943600" cy="7000875"/>
                    </a:xfrm>
                    <a:prstGeom prst="rect">
                      <a:avLst/>
                    </a:prstGeom>
                  </pic:spPr>
                </pic:pic>
              </a:graphicData>
            </a:graphic>
          </wp:inline>
        </w:drawing>
      </w:r>
    </w:p>
    <w:p w14:paraId="2BC9CA9A" w14:textId="77777777" w:rsidR="00317512" w:rsidRDefault="00317512">
      <w:pPr>
        <w:spacing w:line="240" w:lineRule="auto"/>
      </w:pPr>
      <w:r>
        <w:br w:type="page"/>
      </w:r>
    </w:p>
    <w:p w14:paraId="6A300D4E" w14:textId="77777777" w:rsidR="00317512" w:rsidRDefault="00317512">
      <w:r>
        <w:rPr>
          <w:noProof/>
        </w:rPr>
        <w:lastRenderedPageBreak/>
        <w:drawing>
          <wp:inline distT="0" distB="0" distL="0" distR="0" wp14:anchorId="75055B7C" wp14:editId="3FBE4D94">
            <wp:extent cx="5943600" cy="5943600"/>
            <wp:effectExtent l="0" t="0" r="0" b="0"/>
            <wp:docPr id="1922334854"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4854" name="Graphic 1922334854"/>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5943600"/>
                    </a:xfrm>
                    <a:prstGeom prst="rect">
                      <a:avLst/>
                    </a:prstGeom>
                  </pic:spPr>
                </pic:pic>
              </a:graphicData>
            </a:graphic>
          </wp:inline>
        </w:drawing>
      </w:r>
    </w:p>
    <w:p w14:paraId="2153EEB6" w14:textId="59C476FB" w:rsidR="00317512" w:rsidRDefault="00317512">
      <w:r>
        <w:t>Figure 2. Differences between groups for the primary outcom</w:t>
      </w:r>
      <w:r w:rsidR="00224201">
        <w:t>e</w:t>
      </w:r>
    </w:p>
    <w:p w14:paraId="11DE5E61" w14:textId="77777777" w:rsidR="00317512" w:rsidRDefault="00317512">
      <w:pPr>
        <w:spacing w:line="240" w:lineRule="auto"/>
      </w:pPr>
      <w:r>
        <w:br w:type="page"/>
      </w:r>
    </w:p>
    <w:p w14:paraId="3B54124A" w14:textId="52DC04B2" w:rsidR="00F35E84" w:rsidRDefault="00317512">
      <w:r>
        <w:rPr>
          <w:noProof/>
        </w:rPr>
        <w:lastRenderedPageBreak/>
        <w:drawing>
          <wp:inline distT="0" distB="0" distL="0" distR="0" wp14:anchorId="5DAD0A29" wp14:editId="03E36280">
            <wp:extent cx="5943600" cy="5943600"/>
            <wp:effectExtent l="0" t="0" r="0" b="0"/>
            <wp:docPr id="20537659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65985" name="Graphic 2053765985"/>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943600" cy="5943600"/>
                    </a:xfrm>
                    <a:prstGeom prst="rect">
                      <a:avLst/>
                    </a:prstGeom>
                  </pic:spPr>
                </pic:pic>
              </a:graphicData>
            </a:graphic>
          </wp:inline>
        </w:drawing>
      </w:r>
    </w:p>
    <w:p w14:paraId="3EA139E0" w14:textId="0B753DAF" w:rsidR="00317512" w:rsidRDefault="00317512">
      <w:r>
        <w:t>Figure 3. Differences between groups for the area under the SpO2 90% desaturation curve outcome</w:t>
      </w:r>
    </w:p>
    <w:p w14:paraId="6A95AF5C" w14:textId="4E2391A8" w:rsidR="00317512" w:rsidRDefault="00317512" w:rsidP="00317512">
      <w:pPr>
        <w:spacing w:line="240" w:lineRule="auto"/>
      </w:pPr>
      <w:r>
        <w:br w:type="page"/>
      </w:r>
    </w:p>
    <w:p w14:paraId="2BF98DA4" w14:textId="77777777" w:rsidR="00F35E84" w:rsidRDefault="00000000">
      <w:pPr>
        <w:pStyle w:val="TableCaption"/>
        <w:jc w:val="center"/>
      </w:pPr>
      <w:r>
        <w:lastRenderedPageBreak/>
        <w:t>Table 1. Sample characteristics</w:t>
      </w:r>
    </w:p>
    <w:tbl>
      <w:tblPr>
        <w:tblW w:w="0" w:type="auto"/>
        <w:jc w:val="center"/>
        <w:tblLayout w:type="fixed"/>
        <w:tblLook w:val="0420" w:firstRow="1" w:lastRow="0" w:firstColumn="0" w:lastColumn="0" w:noHBand="0" w:noVBand="1"/>
      </w:tblPr>
      <w:tblGrid>
        <w:gridCol w:w="4848"/>
        <w:gridCol w:w="2532"/>
        <w:gridCol w:w="2471"/>
      </w:tblGrid>
      <w:tr w:rsidR="00F35E84" w14:paraId="43CFECD5" w14:textId="77777777">
        <w:trPr>
          <w:tblHeader/>
          <w:jc w:val="center"/>
        </w:trPr>
        <w:tc>
          <w:tcPr>
            <w:tcW w:w="484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FBB9809" w14:textId="77777777" w:rsidR="00F35E84"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ascii="Helvetica" w:eastAsia="Helvetica" w:hAnsi="Helvetica" w:cs="Helvetica"/>
                <w:b/>
                <w:color w:val="000000"/>
                <w:sz w:val="22"/>
                <w:szCs w:val="22"/>
              </w:rPr>
              <w:t>Characteristic</w:t>
            </w:r>
          </w:p>
        </w:tc>
        <w:tc>
          <w:tcPr>
            <w:tcW w:w="25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AC4415F" w14:textId="77777777" w:rsidR="00F35E84"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ascii="Helvetica" w:eastAsia="Helvetica" w:hAnsi="Helvetica" w:cs="Helvetica"/>
                <w:b/>
                <w:color w:val="000000"/>
                <w:sz w:val="22"/>
                <w:szCs w:val="22"/>
              </w:rPr>
              <w:t>IPI disabled</w:t>
            </w:r>
            <w:r>
              <w:rPr>
                <w:rFonts w:ascii="Helvetica" w:eastAsia="Helvetica" w:hAnsi="Helvetica" w:cs="Helvetica"/>
                <w:color w:val="000000"/>
                <w:sz w:val="22"/>
                <w:szCs w:val="22"/>
              </w:rPr>
              <w:t>, N = 175</w:t>
            </w:r>
            <w:r>
              <w:rPr>
                <w:rFonts w:ascii="Helvetica" w:eastAsia="Helvetica" w:hAnsi="Helvetica" w:cs="Helvetica"/>
                <w:color w:val="000000"/>
                <w:sz w:val="22"/>
                <w:szCs w:val="22"/>
                <w:vertAlign w:val="superscript"/>
              </w:rPr>
              <w:t>1</w:t>
            </w:r>
          </w:p>
        </w:tc>
        <w:tc>
          <w:tcPr>
            <w:tcW w:w="24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60CCAE1" w14:textId="77777777" w:rsidR="00F35E84"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ascii="Helvetica" w:eastAsia="Helvetica" w:hAnsi="Helvetica" w:cs="Helvetica"/>
                <w:b/>
                <w:color w:val="000000"/>
                <w:sz w:val="22"/>
                <w:szCs w:val="22"/>
              </w:rPr>
              <w:t>IPI enabled</w:t>
            </w:r>
            <w:r>
              <w:rPr>
                <w:rFonts w:ascii="Helvetica" w:eastAsia="Helvetica" w:hAnsi="Helvetica" w:cs="Helvetica"/>
                <w:color w:val="000000"/>
                <w:sz w:val="22"/>
                <w:szCs w:val="22"/>
              </w:rPr>
              <w:t>, N = 215</w:t>
            </w:r>
            <w:r>
              <w:rPr>
                <w:rFonts w:ascii="Helvetica" w:eastAsia="Helvetica" w:hAnsi="Helvetica" w:cs="Helvetica"/>
                <w:color w:val="000000"/>
                <w:sz w:val="22"/>
                <w:szCs w:val="22"/>
                <w:vertAlign w:val="superscript"/>
              </w:rPr>
              <w:t>1</w:t>
            </w:r>
          </w:p>
        </w:tc>
      </w:tr>
      <w:tr w:rsidR="00F35E84" w14:paraId="700EFF50" w14:textId="77777777">
        <w:trPr>
          <w:jc w:val="center"/>
        </w:trPr>
        <w:tc>
          <w:tcPr>
            <w:tcW w:w="48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921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Age (years)</w:t>
            </w:r>
          </w:p>
        </w:tc>
        <w:tc>
          <w:tcPr>
            <w:tcW w:w="25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9D5E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63 (50, 72)</w:t>
            </w:r>
          </w:p>
        </w:tc>
        <w:tc>
          <w:tcPr>
            <w:tcW w:w="24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6B3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65 (55, 71)</w:t>
            </w:r>
          </w:p>
        </w:tc>
      </w:tr>
      <w:tr w:rsidR="00F35E84" w14:paraId="13230AB3"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59F7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Sex</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283CB"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0978"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5E84" w14:paraId="5D0EE0D4"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E412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Female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663F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81 (47%)</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AD2F"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82 (39%)</w:t>
            </w:r>
          </w:p>
        </w:tc>
      </w:tr>
      <w:tr w:rsidR="00F35E84" w14:paraId="3E1ADAE4"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40F7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Male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30C8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93 (53%)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298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129 (61%)</w:t>
            </w:r>
          </w:p>
        </w:tc>
      </w:tr>
      <w:tr w:rsidR="00F35E84" w14:paraId="65119F4C"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4069"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midazolam (mg)</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FBEF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1.00 (1.00, 1.50)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E7DE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1.00 (1.00, 2.00)</w:t>
            </w:r>
          </w:p>
        </w:tc>
      </w:tr>
      <w:tr w:rsidR="00F35E84" w14:paraId="6E853E6F"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91B4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fentanyl (mcg)</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1F2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50 (50, 100)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FE30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75 (50, 100)</w:t>
            </w:r>
          </w:p>
        </w:tc>
      </w:tr>
      <w:tr w:rsidR="00F35E84" w14:paraId="4DD2F033"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91FB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Oxygen device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640D"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81AA4"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5E84" w14:paraId="7C4984E8"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C0A6"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mask</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C7E4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C80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 (0.9%)</w:t>
            </w:r>
          </w:p>
        </w:tc>
      </w:tr>
      <w:tr w:rsidR="00F35E84" w14:paraId="77FDB83E"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CC17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nasal prongs</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2F46"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173 (100%)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74F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210 (99%)</w:t>
            </w:r>
          </w:p>
        </w:tc>
      </w:tr>
      <w:tr w:rsidR="00F35E84" w14:paraId="2C876282"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146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Procedure duration (minutes)</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603F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(20, 51)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21C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(17, 53)</w:t>
            </w:r>
          </w:p>
        </w:tc>
      </w:tr>
      <w:tr w:rsidR="00F35E84" w14:paraId="1BF2685A"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ACF1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Procedure type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6C812"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2EE8"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5E84" w14:paraId="6A069AA2"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180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Abdominal drain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82AB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4 (2.3%)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AEF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 (3.7%)</w:t>
            </w:r>
          </w:p>
        </w:tc>
      </w:tr>
      <w:tr w:rsidR="00F35E84" w14:paraId="2D79818A"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72A8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Ablation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6F8D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5701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(2.8%)</w:t>
            </w:r>
          </w:p>
        </w:tc>
      </w:tr>
      <w:tr w:rsidR="00F35E84" w14:paraId="740593EE"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B668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Angiogram</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777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25 (14%)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E7D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33 (15%)</w:t>
            </w:r>
          </w:p>
        </w:tc>
      </w:tr>
      <w:tr w:rsidR="00F35E84" w14:paraId="6F9EB09C"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906E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Angioplasty</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98B2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 (4.0%)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3CF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16 (7.4%)</w:t>
            </w:r>
          </w:p>
        </w:tc>
      </w:tr>
      <w:tr w:rsidR="00F35E84" w14:paraId="31659194"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A4B8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Biopsy</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5C3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22 (13%)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C0E8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 (5.6%)</w:t>
            </w:r>
          </w:p>
        </w:tc>
      </w:tr>
      <w:tr w:rsidR="00F35E84" w14:paraId="13C4FA3E"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EBA6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Central venous cannula</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C606"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13 (7.4%)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A32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 (5.6%)</w:t>
            </w:r>
          </w:p>
        </w:tc>
      </w:tr>
      <w:tr w:rsidR="00F35E84" w14:paraId="4397D633"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0E5A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Embolization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71C4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28 (16%)</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674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(14%)</w:t>
            </w:r>
          </w:p>
        </w:tc>
      </w:tr>
      <w:tr w:rsidR="00F35E84" w14:paraId="24A3742F"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1405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Fistula</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0CF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(3.4%)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444E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 (1.4%)</w:t>
            </w:r>
          </w:p>
        </w:tc>
      </w:tr>
      <w:tr w:rsidR="00F35E84" w14:paraId="17F93825"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D000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Gastric tube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5C7B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36 (21%)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3E1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42 (20%)</w:t>
            </w:r>
          </w:p>
        </w:tc>
      </w:tr>
      <w:tr w:rsidR="00F35E84" w14:paraId="0A5958DE"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A3B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Hemodialysis line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10E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 (4.0%)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745B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11 (5.1%)</w:t>
            </w:r>
          </w:p>
        </w:tc>
      </w:tr>
      <w:tr w:rsidR="00F35E84" w14:paraId="42CE9589"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EDA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Other</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3F19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25 (14%)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70F9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34 (16%)</w:t>
            </w:r>
          </w:p>
        </w:tc>
      </w:tr>
      <w:tr w:rsidR="00F35E84" w14:paraId="43B27592"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B75A6"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Percutaneous transhepatic cholangio drain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22B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 (1.1%)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9B64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(2.8%)</w:t>
            </w:r>
          </w:p>
        </w:tc>
      </w:tr>
      <w:tr w:rsidR="00F35E84" w14:paraId="0FD82C82" w14:textId="77777777">
        <w:trPr>
          <w:jc w:val="center"/>
        </w:trPr>
        <w:tc>
          <w:tcPr>
            <w:tcW w:w="48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552939"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Pulmonary angiogram</w:t>
            </w:r>
          </w:p>
        </w:tc>
        <w:tc>
          <w:tcPr>
            <w:tcW w:w="25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1B389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57AEC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 (0.5%)</w:t>
            </w:r>
          </w:p>
        </w:tc>
      </w:tr>
      <w:tr w:rsidR="00F35E84" w14:paraId="1CB48C9B" w14:textId="77777777">
        <w:trPr>
          <w:jc w:val="center"/>
        </w:trPr>
        <w:tc>
          <w:tcPr>
            <w:tcW w:w="985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03D8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bl>
    <w:p w14:paraId="5582CAD5" w14:textId="77C58067" w:rsidR="00F35E84" w:rsidRDefault="00F35E84"/>
    <w:p w14:paraId="15AC33E2" w14:textId="77777777" w:rsidR="00F35E84" w:rsidRDefault="00000000">
      <w:pPr>
        <w:pStyle w:val="TableCaption"/>
        <w:jc w:val="center"/>
      </w:pPr>
      <w:r>
        <w:t>Table 2. Alarm settings used by nurses during the study</w:t>
      </w:r>
    </w:p>
    <w:tbl>
      <w:tblPr>
        <w:tblW w:w="0" w:type="pct"/>
        <w:jc w:val="center"/>
        <w:tblLook w:val="0420" w:firstRow="1" w:lastRow="0" w:firstColumn="0" w:lastColumn="0" w:noHBand="0" w:noVBand="1"/>
      </w:tblPr>
      <w:tblGrid>
        <w:gridCol w:w="2867"/>
        <w:gridCol w:w="2218"/>
        <w:gridCol w:w="2341"/>
      </w:tblGrid>
      <w:tr w:rsidR="00F35E84" w14:paraId="38D608C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4F2B2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Parameter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37975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Lower threshold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B6B1F6"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Upper threshold</w:t>
            </w:r>
          </w:p>
        </w:tc>
      </w:tr>
      <w:tr w:rsidR="00F35E84" w14:paraId="5032627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B8F0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Pulse rate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B36D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40 beats per minute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D50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120 beats per minute</w:t>
            </w:r>
          </w:p>
        </w:tc>
      </w:tr>
      <w:tr w:rsidR="00F35E84" w14:paraId="6FBFE3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8B75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Respiratory rate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4AD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6 breaths per minute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7151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50 breaths per minute</w:t>
            </w:r>
          </w:p>
        </w:tc>
      </w:tr>
      <w:tr w:rsidR="00F35E84" w14:paraId="0343729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4938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End-tidal carbon dioxide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890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8 mmHg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E8E3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60 mmHg</w:t>
            </w:r>
          </w:p>
        </w:tc>
      </w:tr>
      <w:tr w:rsidR="00F35E84" w14:paraId="7247646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8F5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Oxygen saturation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B45A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7C2B"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F35E84" w14:paraId="437B24C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4652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No breath detected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9E5A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30 seconds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D33DB"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F35E84" w14:paraId="229660D1"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3E1C4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Integrated pulmonary index</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CF24D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C5E2B0"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pPr>
          </w:p>
        </w:tc>
      </w:tr>
    </w:tbl>
    <w:p w14:paraId="7E0CF475" w14:textId="77777777" w:rsidR="00F35E84" w:rsidRDefault="00000000">
      <w:r>
        <w:br w:type="page"/>
      </w:r>
    </w:p>
    <w:p w14:paraId="520B3818" w14:textId="77777777" w:rsidR="00F35E84" w:rsidRDefault="00000000">
      <w:pPr>
        <w:pStyle w:val="TableCaption"/>
        <w:jc w:val="center"/>
      </w:pPr>
      <w:r>
        <w:lastRenderedPageBreak/>
        <w:t>Table 3. Alarm performance</w:t>
      </w:r>
    </w:p>
    <w:tbl>
      <w:tblPr>
        <w:tblW w:w="0" w:type="pct"/>
        <w:jc w:val="center"/>
        <w:tblLook w:val="0420" w:firstRow="1" w:lastRow="0" w:firstColumn="0" w:lastColumn="0" w:noHBand="0" w:noVBand="1"/>
      </w:tblPr>
      <w:tblGrid>
        <w:gridCol w:w="2984"/>
        <w:gridCol w:w="751"/>
        <w:gridCol w:w="1105"/>
        <w:gridCol w:w="816"/>
        <w:gridCol w:w="751"/>
        <w:gridCol w:w="1396"/>
        <w:gridCol w:w="800"/>
        <w:gridCol w:w="757"/>
      </w:tblGrid>
      <w:tr w:rsidR="00F35E84" w14:paraId="61E7D5B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3D9D9"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9073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Negative binomial component</w:t>
            </w: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178BD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Zero component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5CD1C1" w14:textId="77777777" w:rsidR="00F35E84" w:rsidRDefault="00F35E8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5E84" w14:paraId="1769C501"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FED062"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Outcome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8CFF9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IRR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36225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D03F6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p-value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1CCCB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E6B68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F5A42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p-value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A8163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ICC</w:t>
            </w:r>
          </w:p>
        </w:tc>
      </w:tr>
      <w:tr w:rsidR="00F35E84" w14:paraId="0E4A1BB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77C99"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Number of seconds in alarm state without intervention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3CD2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32C5"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0.93 to 3.45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589D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0.081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6BA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DB2E0"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0.56 to 1.65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0BD9"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0.89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760D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0.03</w:t>
            </w:r>
          </w:p>
        </w:tc>
      </w:tr>
      <w:tr w:rsidR="00F35E84" w14:paraId="6D92748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6745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alarm duration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9987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519F"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0.96 to 3.27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6F74F"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748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4F4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0.56 to 1.59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F811C"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8BDB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0.02</w:t>
            </w:r>
          </w:p>
        </w:tc>
      </w:tr>
      <w:tr w:rsidR="00F35E84" w14:paraId="2BD16D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A26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Number of appropriate alarms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0B88"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75BB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0.17 to 2.37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3ABF"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0.495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5B07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FA17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0.1 to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2431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F881"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&lt;0.01</w:t>
            </w:r>
          </w:p>
        </w:tc>
      </w:tr>
      <w:tr w:rsidR="00F35E84" w14:paraId="64E8AC5A"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605634"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Number of inappropriate alarms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D7CDA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13.13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FA35F3"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1.4 to 122.95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4656D"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E3B84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38.04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213FAE"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0.07 to 20945.46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4BF6A"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80311B"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&lt;0.01</w:t>
            </w:r>
          </w:p>
        </w:tc>
      </w:tr>
      <w:tr w:rsidR="00F35E84" w14:paraId="352CA065"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28E6D7" w14:textId="77777777" w:rsidR="00F35E84"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OR = Odds ratio; IRR = Incidence rate ratio; ICC = Intra-cluster correlation</w:t>
            </w:r>
          </w:p>
        </w:tc>
      </w:tr>
      <w:bookmarkEnd w:id="26"/>
    </w:tbl>
    <w:p w14:paraId="0C1217D0" w14:textId="77777777" w:rsidR="004A63C8" w:rsidRDefault="004A63C8"/>
    <w:sectPr w:rsidR="004A63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20C8E" w14:textId="77777777" w:rsidR="00AD2474" w:rsidRDefault="00AD2474">
      <w:pPr>
        <w:spacing w:after="0" w:line="240" w:lineRule="auto"/>
      </w:pPr>
      <w:r>
        <w:separator/>
      </w:r>
    </w:p>
  </w:endnote>
  <w:endnote w:type="continuationSeparator" w:id="0">
    <w:p w14:paraId="49579FCA" w14:textId="77777777" w:rsidR="00AD2474" w:rsidRDefault="00AD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8DBA" w14:textId="77777777" w:rsidR="00AD2474" w:rsidRDefault="00AD2474">
      <w:r>
        <w:separator/>
      </w:r>
    </w:p>
  </w:footnote>
  <w:footnote w:type="continuationSeparator" w:id="0">
    <w:p w14:paraId="124E1869" w14:textId="77777777" w:rsidR="00AD2474" w:rsidRDefault="00AD2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8004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16A7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94D2E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46983454">
    <w:abstractNumId w:val="2"/>
  </w:num>
  <w:num w:numId="2" w16cid:durableId="1596472023">
    <w:abstractNumId w:val="0"/>
  </w:num>
  <w:num w:numId="3" w16cid:durableId="1254970883">
    <w:abstractNumId w:val="1"/>
  </w:num>
  <w:num w:numId="4" w16cid:durableId="77733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E84"/>
    <w:rsid w:val="00224201"/>
    <w:rsid w:val="002547FA"/>
    <w:rsid w:val="00317512"/>
    <w:rsid w:val="004A63C8"/>
    <w:rsid w:val="006E7A5D"/>
    <w:rsid w:val="009A5297"/>
    <w:rsid w:val="00AD2474"/>
    <w:rsid w:val="00F35E84"/>
    <w:rsid w:val="00F50F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4C4F"/>
  <w15:docId w15:val="{16DA8309-64EA-6C49-9F92-B3D5CAFD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7159"/>
    <w:pPr>
      <w:spacing w:line="480" w:lineRule="auto"/>
    </w:pPr>
    <w:rPr>
      <w:rFonts w:ascii="Calibri" w:hAnsi="Calibr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E7F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Heading2Char">
    <w:name w:val="Heading 2 Char"/>
    <w:basedOn w:val="DefaultParagraphFont"/>
    <w:link w:val="Heading2"/>
    <w:uiPriority w:val="9"/>
    <w:rsid w:val="00F50FA4"/>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an.12337" TargetMode="External"/><Relationship Id="rId13" Type="http://schemas.openxmlformats.org/officeDocument/2006/relationships/hyperlink" Target="https://CRAN.R-project.org/package=GLMMadaptive" TargetMode="External"/><Relationship Id="rId18" Type="http://schemas.openxmlformats.org/officeDocument/2006/relationships/image" Target="media/image3.sv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aron.conway@utoronto.ca" TargetMode="External"/><Relationship Id="rId12" Type="http://schemas.openxmlformats.org/officeDocument/2006/relationships/hyperlink" Target="https://doi.org/10.1093/ije/dyz237"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5.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630-018-1230-z" TargetMode="External"/><Relationship Id="rId5" Type="http://schemas.openxmlformats.org/officeDocument/2006/relationships/footnotes" Target="footnotes.xml"/><Relationship Id="rId15" Type="http://schemas.openxmlformats.org/officeDocument/2006/relationships/hyperlink" Target="https://doi.org/10.1007/s10877-016-9851-7" TargetMode="External"/><Relationship Id="rId10" Type="http://schemas.openxmlformats.org/officeDocument/2006/relationships/hyperlink" Target="https://doi.org/10.1097/mlr.0b013e3182408812"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i.org/10.1016/j.aucc.2013.05.003" TargetMode="External"/><Relationship Id="rId14" Type="http://schemas.openxmlformats.org/officeDocument/2006/relationships/hyperlink" Target="https://doi.org/10.1016/j.bja.2017.08.00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3763</Words>
  <Characters>21452</Characters>
  <Application>Microsoft Office Word</Application>
  <DocSecurity>0</DocSecurity>
  <Lines>178</Lines>
  <Paragraphs>50</Paragraphs>
  <ScaleCrop>false</ScaleCrop>
  <Company/>
  <LinksUpToDate>false</LinksUpToDate>
  <CharactersWithSpaces>25165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Conway1,2,✉, Mohammad Goudarzi Rad1,2, Kristina Chang1,2, Matteo Parotto3,4, and Sebastian Mafled5</dc:creator>
  <cp:keywords/>
  <cp:lastModifiedBy>Aaron Conway</cp:lastModifiedBy>
  <cp:revision>7</cp:revision>
  <dcterms:created xsi:type="dcterms:W3CDTF">2023-06-21T18:59:00Z</dcterms:created>
  <dcterms:modified xsi:type="dcterms:W3CDTF">2023-06-21T19:59:00Z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