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9.svgz"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Integrated</w:t>
      </w:r>
      <w:r>
        <w:t xml:space="preserve"> </w:t>
      </w:r>
      <w:r>
        <w:t xml:space="preserve">Pulmonary</w:t>
      </w:r>
      <w:r>
        <w:t xml:space="preserve"> </w:t>
      </w:r>
      <w:r>
        <w:t xml:space="preserve">Index</w:t>
      </w:r>
      <w:r>
        <w:t xml:space="preserve"> </w:t>
      </w:r>
      <w:r>
        <w:t xml:space="preserve">during</w:t>
      </w:r>
      <w:r>
        <w:t xml:space="preserve"> </w:t>
      </w:r>
      <w:r>
        <w:t xml:space="preserve">procedural</w:t>
      </w:r>
      <w:r>
        <w:t xml:space="preserve"> </w:t>
      </w:r>
      <w:r>
        <w:t xml:space="preserve">sedation</w:t>
      </w:r>
      <w:r>
        <w:t xml:space="preserve"> </w:t>
      </w:r>
      <w:r>
        <w:t xml:space="preserve">and</w:t>
      </w:r>
      <w:r>
        <w:t xml:space="preserve"> </w:t>
      </w:r>
      <w:r>
        <w:t xml:space="preserve">analgesia:</w:t>
      </w:r>
      <w:r>
        <w:t xml:space="preserve"> </w:t>
      </w:r>
      <w:r>
        <w:t xml:space="preserve">a</w:t>
      </w:r>
      <w:r>
        <w:t xml:space="preserve"> </w:t>
      </w:r>
      <w:r>
        <w:t xml:space="preserve">cluster-randomized</w:t>
      </w:r>
      <w:r>
        <w:t xml:space="preserve"> </w:t>
      </w:r>
      <w:r>
        <w:t xml:space="preserve">trial</w:t>
      </w:r>
    </w:p>
    <w:p>
      <w:pPr>
        <w:pStyle w:val="Author"/>
      </w:pPr>
      <w:r>
        <w:t xml:space="preserve">Aaron</w:t>
      </w:r>
      <w:r>
        <w:t xml:space="preserve"> </w:t>
      </w:r>
      <w:r>
        <w:t xml:space="preserve">Conway</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Mohammad</w:t>
      </w:r>
      <w:r>
        <w:t xml:space="preserve"> </w:t>
      </w:r>
      <w:r>
        <w:t xml:space="preserve">Goudarzi</w:t>
      </w:r>
      <w:r>
        <w:t xml:space="preserve"> </w:t>
      </w:r>
      <w:r>
        <w:t xml:space="preserve">Rad</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Kristina</w:t>
      </w:r>
      <w:r>
        <w:t xml:space="preserve"> </w:t>
      </w:r>
      <w:r>
        <w:t xml:space="preserve">Chang</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Matteo</w:t>
      </w:r>
      <w:r>
        <w:t xml:space="preserve"> </w:t>
      </w:r>
      <w:r>
        <w:t xml:space="preserve">Parotto</w:t>
      </w:r>
      <w:r>
        <w:rPr>
          <w:vertAlign w:val="superscript"/>
        </w:rPr>
        <w:t xml:space="preserve">4</w:t>
      </w:r>
      <w:r>
        <w:rPr>
          <w:vertAlign w:val="superscript"/>
        </w:rPr>
        <w:t xml:space="preserve">,</w:t>
      </w:r>
      <w:r>
        <w:rPr>
          <w:vertAlign w:val="superscript"/>
        </w:rPr>
        <w:t xml:space="preserve">5</w:t>
      </w:r>
      <w:r>
        <w:t xml:space="preserve">,</w:t>
      </w:r>
      <w:r>
        <w:t xml:space="preserve"> </w:t>
      </w:r>
      <w:r>
        <w:t xml:space="preserve">and</w:t>
      </w:r>
      <w:r>
        <w:t xml:space="preserve"> </w:t>
      </w:r>
      <w:r>
        <w:t xml:space="preserve">Sebastian</w:t>
      </w:r>
      <w:r>
        <w:t xml:space="preserve"> </w:t>
      </w:r>
      <w:r>
        <w:t xml:space="preserve">Mafled</w:t>
      </w:r>
      <w:r>
        <w:rPr>
          <w:vertAlign w:val="superscript"/>
        </w:rPr>
        <w:t xml:space="preserve">6</w:t>
      </w:r>
    </w:p>
    <w:p>
      <w:pPr>
        <w:pStyle w:val="FirstParagraph"/>
      </w:pPr>
      <w:r>
        <w:rPr>
          <w:vertAlign w:val="superscript"/>
        </w:rPr>
        <w:t xml:space="preserve">1</w:t>
      </w:r>
      <w:r>
        <w:t xml:space="preserve"> </w:t>
      </w:r>
      <w:r>
        <w:t xml:space="preserve">School of Nursing, Queensland University of Technology, Brisbane, Australia</w:t>
      </w:r>
      <w:r>
        <w:br/>
      </w:r>
      <w:r>
        <w:rPr>
          <w:vertAlign w:val="superscript"/>
        </w:rPr>
        <w:t xml:space="preserve">2</w:t>
      </w:r>
      <w:r>
        <w:t xml:space="preserve"> </w:t>
      </w:r>
      <w:r>
        <w:t xml:space="preserve">Lawrence S. Bloomberg Faculty of Nursing, University of Toronto, Toronto, Canada</w:t>
      </w:r>
      <w:r>
        <w:br/>
      </w:r>
      <w:r>
        <w:rPr>
          <w:vertAlign w:val="superscript"/>
        </w:rPr>
        <w:t xml:space="preserve">3</w:t>
      </w:r>
      <w:r>
        <w:t xml:space="preserve"> </w:t>
      </w:r>
      <w:r>
        <w:t xml:space="preserve">Peter Munk Cardiac Centre, University Health Network, Toronto, Canada</w:t>
      </w:r>
      <w:r>
        <w:br/>
      </w:r>
      <w:r>
        <w:rPr>
          <w:vertAlign w:val="superscript"/>
        </w:rPr>
        <w:t xml:space="preserve">4</w:t>
      </w:r>
      <w:r>
        <w:t xml:space="preserve"> </w:t>
      </w:r>
      <w:r>
        <w:t xml:space="preserve">Department of Anesthesiology and Pain Medicine and Interdepartmental Division of Critical Care Medicine, University of Toronto, Toronto, Canada</w:t>
      </w:r>
      <w:r>
        <w:br/>
      </w:r>
      <w:r>
        <w:rPr>
          <w:vertAlign w:val="superscript"/>
        </w:rPr>
        <w:t xml:space="preserve">5</w:t>
      </w:r>
      <w:r>
        <w:t xml:space="preserve"> </w:t>
      </w:r>
      <w:r>
        <w:t xml:space="preserve">Department of Anesthesia and Pain Management, Toronto General Hospital, UHN, Toronto, Canada</w:t>
      </w:r>
      <w:r>
        <w:br/>
      </w:r>
      <w:r>
        <w:rPr>
          <w:vertAlign w:val="superscript"/>
        </w:rPr>
        <w:t xml:space="preserve">6</w:t>
      </w:r>
      <w:r>
        <w:t xml:space="preserve"> </w:t>
      </w:r>
      <w:r>
        <w:t xml:space="preserve">Interventional Radiology, JDMI, Toronto General Hospital</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Aaron Conway &lt;aaron.conway@utoronto.ca&gt;</w:t>
        </w:r>
      </w:hyperlink>
    </w:p>
    <w:p>
      <w:r>
        <w:br w:type="page"/>
      </w:r>
    </w:p>
    <w:bookmarkStart w:id="33" w:name="abstract"/>
    <w:p>
      <w:pPr>
        <w:pStyle w:val="Heading1"/>
      </w:pPr>
      <w:r>
        <w:t xml:space="preserve">Abstract</w:t>
      </w:r>
    </w:p>
    <w:bookmarkStart w:id="21" w:name="aim"/>
    <w:p>
      <w:pPr>
        <w:pStyle w:val="Heading2"/>
      </w:pPr>
      <w:r>
        <w:t xml:space="preserve">Aim</w:t>
      </w:r>
    </w:p>
    <w:p>
      <w:pPr>
        <w:pStyle w:val="FirstParagraph"/>
      </w:pPr>
      <w:r>
        <w:t xml:space="preserve">To evaluate the effectiveness of utilizing the Integrated Pulmonary Index for capnography implementation during sedation administered by nurses.</w:t>
      </w:r>
    </w:p>
    <w:bookmarkEnd w:id="21"/>
    <w:bookmarkStart w:id="22" w:name="design"/>
    <w:p>
      <w:pPr>
        <w:pStyle w:val="Heading2"/>
      </w:pPr>
      <w:r>
        <w:t xml:space="preserve">Design</w:t>
      </w:r>
    </w:p>
    <w:p>
      <w:pPr>
        <w:pStyle w:val="FirstParagraph"/>
      </w:pPr>
      <w:r>
        <w:t xml:space="preserve">Cluster-randomized trial</w:t>
      </w:r>
    </w:p>
    <w:bookmarkEnd w:id="22"/>
    <w:bookmarkStart w:id="23" w:name="methods"/>
    <w:p>
      <w:pPr>
        <w:pStyle w:val="Heading2"/>
      </w:pPr>
      <w:r>
        <w:t xml:space="preserve">Methods</w:t>
      </w:r>
    </w:p>
    <w:p>
      <w:pPr>
        <w:pStyle w:val="FirstParagraph"/>
      </w:pPr>
      <w:r>
        <w:t xml:space="preserve">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bookmarkEnd w:id="23"/>
    <w:bookmarkStart w:id="24" w:name="results"/>
    <w:p>
      <w:pPr>
        <w:pStyle w:val="Heading2"/>
      </w:pPr>
      <w:r>
        <w:t xml:space="preserve">Results</w:t>
      </w:r>
    </w:p>
    <w:p>
      <w:pPr>
        <w:pStyle w:val="FirstParagraph"/>
      </w:pPr>
      <w:r>
        <w:t xml:space="preserve">The incidence rate ratio (enabled versus disabled group) was 1.71 (95% CI 0.96 to 3.06) for the number of seconds in an alarm state without an intervention, 1.77 (95% CI 0.96 to 3.27) for total alarm duration, 0.63 (95% CI 0.17 to 2.37) for the total number of alarms, 0.63 (95% CI 0.17 to 2.37) for the number of appropriate alarms and 13.13 (95% CI 1.4 to 122.95) for the number of inappropriate alarms. The odds ratio for the occurrence of an adverse event (measured by the Tracking and Reporting Outcomes of Procedural Sedation tool) in the enabled group compared to the disabled group was 1.43 (95% CI 0.51 to 4.01). Desaturation events were uncommon and brief in both groups but area under the SpO</w:t>
      </w:r>
      <w:r>
        <w:rPr>
          <w:vertAlign w:val="subscript"/>
        </w:rPr>
        <w:t xml:space="preserve">2</w:t>
      </w:r>
      <w:r>
        <w:t xml:space="preserve"> </w:t>
      </w:r>
      <w:r>
        <w:t xml:space="preserve">90% desaturation curve scores were lower for the enabled group (𝛽 -0.73; 95% CI -1.32 to -0.14).</w:t>
      </w:r>
    </w:p>
    <w:bookmarkEnd w:id="24"/>
    <w:bookmarkStart w:id="25" w:name="conclusion"/>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bookmarkEnd w:id="25"/>
    <w:bookmarkStart w:id="26" w:name="Xe23eef2f92e800f5702897a155d16bae14561cd"/>
    <w:p>
      <w:pPr>
        <w:pStyle w:val="Heading2"/>
      </w:pPr>
      <w:r>
        <w:t xml:space="preserve">Implications for the profession and/or patient care</w:t>
      </w:r>
    </w:p>
    <w:p>
      <w:pPr>
        <w:pStyle w:val="FirstParagraph"/>
      </w:pPr>
      <w:r>
        <w:t xml:space="preserve">The time it takes to respond to capnography monitor alarms will not be reduced if the Integrated Pulmonary Index feature of capnography monitors is enabled during nurse-administered procedural sedation.</w:t>
      </w:r>
    </w:p>
    <w:bookmarkEnd w:id="26"/>
    <w:bookmarkStart w:id="27" w:name="impact"/>
    <w:p>
      <w:pPr>
        <w:pStyle w:val="Heading2"/>
      </w:pPr>
      <w:r>
        <w:t xml:space="preserve">Impact</w:t>
      </w:r>
    </w:p>
    <w:p>
      <w:pPr>
        <w:pStyle w:val="FirstParagraph"/>
      </w:pPr>
      <w:r>
        <w:t xml:space="preserve">Results do not support the routine enabling of the Integrated Pulmonary Index when nurses use capnography to monitor patients during procedural sedation as a strategy to reduce the time it takes to initiate responses to alarms.</w:t>
      </w:r>
    </w:p>
    <w:bookmarkEnd w:id="27"/>
    <w:bookmarkStart w:id="28" w:name="reporting-method"/>
    <w:p>
      <w:pPr>
        <w:pStyle w:val="Heading2"/>
      </w:pPr>
      <w:r>
        <w:t xml:space="preserve">Reporting method</w:t>
      </w:r>
    </w:p>
    <w:p>
      <w:pPr>
        <w:pStyle w:val="FirstParagraph"/>
      </w:pPr>
      <w:r>
        <w:t xml:space="preserve">CONSORT</w:t>
      </w:r>
    </w:p>
    <w:bookmarkEnd w:id="28"/>
    <w:bookmarkStart w:id="29" w:name="patient-or-public-contribution"/>
    <w:p>
      <w:pPr>
        <w:pStyle w:val="Heading2"/>
      </w:pPr>
      <w:r>
        <w:t xml:space="preserve">Patient or Public Contribution</w:t>
      </w:r>
    </w:p>
    <w:p>
      <w:pPr>
        <w:pStyle w:val="FirstParagraph"/>
      </w:pPr>
      <w:r>
        <w:t xml:space="preserve">There was no patient or public contribution.</w:t>
      </w:r>
    </w:p>
    <w:bookmarkEnd w:id="29"/>
    <w:bookmarkStart w:id="30" w:name="keywords"/>
    <w:p>
      <w:pPr>
        <w:pStyle w:val="Heading2"/>
      </w:pPr>
      <w:r>
        <w:t xml:space="preserve">Keywords</w:t>
      </w:r>
    </w:p>
    <w:p>
      <w:pPr>
        <w:pStyle w:val="FirstParagraph"/>
      </w:pPr>
      <w:r>
        <w:t xml:space="preserve">Nursing, sedation, procedural sedation, physiological monitoring, capnography, alarm management, alarm fatigue, integrated pulmonary index</w:t>
      </w:r>
    </w:p>
    <w:bookmarkEnd w:id="30"/>
    <w:bookmarkStart w:id="31" w:name="X91dc9483e7d208353a5ee6f3394184b71a88650"/>
    <w:p>
      <w:pPr>
        <w:pStyle w:val="Heading2"/>
      </w:pPr>
      <w:r>
        <w:t xml:space="preserve">What does this paper contribute to the wider global clinical community?</w:t>
      </w:r>
    </w:p>
    <w:p>
      <w:pPr>
        <w:pStyle w:val="FirstParagraph"/>
      </w:pPr>
      <w:r>
        <w:t xml:space="preserve">There was a large number of alarms triggered in both groups where there was either a prolonged period before an intervention was applied or prolonged periods without any intervention. It is possible that clinical interventions taken in response to alarms in the Integrated Pulmonary Index group mediated the reduction in severity of oxygen desaturation events, which potentially signals a safety benefit for using this approach for capnography alarm management. Further research is needed to evaluate this potentially beneficial impact on patient safety.</w:t>
      </w:r>
    </w:p>
    <w:bookmarkEnd w:id="31"/>
    <w:bookmarkStart w:id="32" w:name="trial-registration"/>
    <w:p>
      <w:pPr>
        <w:pStyle w:val="Heading2"/>
      </w:pPr>
      <w:r>
        <w:t xml:space="preserve">Trial Registration</w:t>
      </w:r>
    </w:p>
    <w:p>
      <w:pPr>
        <w:pStyle w:val="FirstParagraph"/>
      </w:pPr>
      <w:r>
        <w:t xml:space="preserve">This study was registered at ClinicalTrials.gov (ID: NCT05068700)</w:t>
      </w:r>
    </w:p>
    <w:p>
      <w:r>
        <w:br w:type="page"/>
      </w:r>
    </w:p>
    <w:bookmarkEnd w:id="32"/>
    <w:bookmarkEnd w:id="33"/>
    <w:bookmarkStart w:id="34" w:name="introduction"/>
    <w:p>
      <w:pPr>
        <w:pStyle w:val="Heading1"/>
      </w:pPr>
      <w:r>
        <w:t xml:space="preserve">Introduction</w:t>
      </w:r>
    </w:p>
    <w:p>
      <w:pPr>
        <w:pStyle w:val="FirstParagraph"/>
      </w:pPr>
      <w:r>
        <w:t xml:space="preserve">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w:t>
      </w:r>
      <w:r>
        <w:t xml:space="preserve"> </w:t>
      </w:r>
      <w:r>
        <w:t xml:space="preserve">(Conway et al., 2013)</w:t>
      </w:r>
      <w:r>
        <w:t xml:space="preserve">.</w:t>
      </w:r>
    </w:p>
    <w:p>
      <w:pPr>
        <w:pStyle w:val="BodyText"/>
      </w:pPr>
      <w:r>
        <w:t xml:space="preserve">Physiological monitor alarms are used to alert clinicians to changes in physiological parameters that may indicate a deterioration in respiratory function. However, the high number of alarms that are triggered by physiological monitors can lead to alarm fatigue, which is a desensitization to alarms that can result in delayed or missed responses to clinically significant events</w:t>
      </w:r>
      <w:r>
        <w:t xml:space="preserve"> </w:t>
      </w:r>
      <w:r>
        <w:t xml:space="preserve">(Sendelbach &amp; Funk, 2013)</w:t>
      </w:r>
      <w:r>
        <w:t xml:space="preserve">. Alarm fatigue is a recognized patient safety issue that has been associated with adverse events and patient deaths</w:t>
      </w:r>
      <w:r>
        <w:t xml:space="preserve"> </w:t>
      </w:r>
      <w:r>
        <w:t xml:space="preserve">(Sendelbach &amp; Funk, 2013)</w:t>
      </w:r>
      <w:r>
        <w:t xml:space="preserve">. Capnography can detect even minor abnormalities in breathing patterns, so it is essential when using this device during nurse-administered sedation that the alarm conditions set will not result in unnecessary disruptions to procedures. Ideally, every alarm that gets triggered from a capnography monitor during a procedure should be important enough to trigger an intervention. In addition, the intervention should be initiated as soon as possible after the alarm is triggered, to both minimize the duration of the alarm and to ensure that the patient is not exposed to a prolonged period of respiratory compromise.</w:t>
      </w:r>
    </w:p>
    <w:p>
      <w:pPr>
        <w:pStyle w:val="BodyText"/>
      </w:pPr>
      <w:r>
        <w:t xml:space="preserve">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w:t>
      </w:r>
      <w:r>
        <w:t xml:space="preserve"> </w:t>
      </w:r>
      <w:r>
        <w:t xml:space="preserve">(Ronen et al., 2016)</w:t>
      </w:r>
      <w:r>
        <w:t xml:space="preserve">. By assigning clinical responses to specific IPI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w:t>
      </w:r>
      <w:r>
        <w:t xml:space="preserve"> </w:t>
      </w:r>
      <w:r>
        <w:t xml:space="preserve">(Ronen et al., 2016)</w:t>
      </w:r>
      <w:r>
        <w:t xml:space="preserve">. This study aimed to determine whether using the IPI during nurse-administered sedation achieves its intended effect of reducing the threshold for intervention by measuring the time it takes for nurses to respond to capnography monitor alarms.</w:t>
      </w:r>
    </w:p>
    <w:bookmarkEnd w:id="34"/>
    <w:bookmarkStart w:id="35" w:name="background"/>
    <w:p>
      <w:pPr>
        <w:pStyle w:val="Heading1"/>
      </w:pPr>
      <w:r>
        <w:t xml:space="preserve">Background</w:t>
      </w:r>
    </w:p>
    <w:p>
      <w:pPr>
        <w:pStyle w:val="FirstParagraph"/>
      </w:pPr>
      <w:r>
        <w:t xml:space="preserve">The use of capnography for ventilation monitoring (without the IPI) has been shown to improve safety, evidenced by a reduction in episodes of hypoxemia in a meta-analysis</w:t>
      </w:r>
      <w:r>
        <w:t xml:space="preserve"> </w:t>
      </w:r>
      <w:r>
        <w:t xml:space="preserve">(Conway et al., 2016)</w:t>
      </w:r>
      <w:r>
        <w:t xml:space="preserve">. As a result, capnography monitoring is recommended for use during sedation in many clinical practice guidelines</w:t>
      </w:r>
      <w:r>
        <w:t xml:space="preserve"> </w:t>
      </w:r>
      <w:r>
        <w:t xml:space="preserve">(Conway et al., 2013; Dobson et al., 2018)</w:t>
      </w:r>
      <w:r>
        <w:t xml:space="preserve">. The IPI has been evaluated in a number of different studies across multiple clinical settings, including the intensive care unit</w:t>
      </w:r>
      <w:r>
        <w:t xml:space="preserve"> </w:t>
      </w:r>
      <w:r>
        <w:t xml:space="preserve">(Kaur et al., 2021)</w:t>
      </w:r>
      <w:r>
        <w:t xml:space="preserve">, emergency department</w:t>
      </w:r>
      <w:r>
        <w:t xml:space="preserve">(Gurlu et al., 2021; Karaarslan et al., 2023)</w:t>
      </w:r>
      <w:r>
        <w:t xml:space="preserve"> </w:t>
      </w:r>
      <w:r>
        <w:t xml:space="preserve">and post-operative recovery</w:t>
      </w:r>
      <w:r>
        <w:t xml:space="preserve"> </w:t>
      </w:r>
      <w:r>
        <w:t xml:space="preserve">(Kuroe et al., 2021)</w:t>
      </w:r>
      <w:r>
        <w:t xml:space="preserve">.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w:t>
      </w:r>
      <w:r>
        <w:t xml:space="preserve"> </w:t>
      </w:r>
      <w:r>
        <w:t xml:space="preserve">(Michael et al., 2020)</w:t>
      </w:r>
      <w:r>
        <w:t xml:space="preserve">. In contrast, an earlier study reported that using capnography with the IPI did not reduce the maximum decrease of oxygen saturation or rates of oxygen desaturation below 90% in patients who received sedation for interventional upper GI-endoscopy</w:t>
      </w:r>
      <w:r>
        <w:t xml:space="preserve">(Riphaus et al., 2017)</w:t>
      </w:r>
      <w:r>
        <w:t xml:space="preserve">. In both of these trials, patients included in the</w:t>
      </w:r>
      <w:r>
        <w:t xml:space="preserve"> </w:t>
      </w:r>
      <w:r>
        <w:t xml:space="preserve">‘</w:t>
      </w:r>
      <w:r>
        <w:t xml:space="preserve">usual care</w:t>
      </w:r>
      <w:r>
        <w:t xml:space="preserve">’</w:t>
      </w:r>
      <w:r>
        <w:t xml:space="preserve"> </w:t>
      </w:r>
      <w:r>
        <w:t xml:space="preserve">comparison groups were not monitored with capnography. Therefore, there is a lack of evidence about the unique contribution of enabling the IPI when capnography is used during nurse-administered procedural sedation.</w:t>
      </w:r>
    </w:p>
    <w:bookmarkEnd w:id="35"/>
    <w:bookmarkStart w:id="38" w:name="the-study"/>
    <w:p>
      <w:pPr>
        <w:pStyle w:val="Heading1"/>
      </w:pPr>
      <w:r>
        <w:t xml:space="preserve">The Study</w:t>
      </w:r>
    </w:p>
    <w:bookmarkStart w:id="36" w:name="aim-1"/>
    <w:p>
      <w:pPr>
        <w:pStyle w:val="Heading2"/>
      </w:pPr>
      <w:r>
        <w:t xml:space="preserve">Aim</w:t>
      </w:r>
    </w:p>
    <w:p>
      <w:pPr>
        <w:pStyle w:val="FirstParagraph"/>
      </w:pPr>
      <w:r>
        <w:t xml:space="preserve">The aim of this study was to evaluate the effectiveness of utilizing the IPI for capnography implementation during sedation administered by nurses.</w:t>
      </w:r>
    </w:p>
    <w:bookmarkEnd w:id="36"/>
    <w:bookmarkStart w:id="37" w:name="objectives"/>
    <w:p>
      <w:pPr>
        <w:pStyle w:val="Heading2"/>
      </w:pPr>
      <w:r>
        <w:t xml:space="preserve">Objectives</w:t>
      </w:r>
    </w:p>
    <w:p>
      <w:pPr>
        <w:pStyle w:val="FirstParagraph"/>
      </w:pPr>
      <w:r>
        <w:t xml:space="preserve">The primary objective was to determine whether enabling the IPI during nurse-administered sedation reduced the time between the onset of a capnography monitor alarm and the initiation of an intervention. Additionally, the study investigated the effect of the IPI on:</w:t>
      </w:r>
    </w:p>
    <w:p>
      <w:pPr>
        <w:numPr>
          <w:ilvl w:val="0"/>
          <w:numId w:val="1001"/>
        </w:numPr>
        <w:pStyle w:val="Compact"/>
      </w:pPr>
      <w:r>
        <w:t xml:space="preserve">The total alarm burden</w:t>
      </w:r>
    </w:p>
    <w:p>
      <w:pPr>
        <w:numPr>
          <w:ilvl w:val="0"/>
          <w:numId w:val="1001"/>
        </w:numPr>
        <w:pStyle w:val="Compact"/>
      </w:pPr>
      <w:r>
        <w:t xml:space="preserve">The number of appropriate alarms</w:t>
      </w:r>
    </w:p>
    <w:p>
      <w:pPr>
        <w:numPr>
          <w:ilvl w:val="0"/>
          <w:numId w:val="1001"/>
        </w:numPr>
        <w:pStyle w:val="Compact"/>
      </w:pPr>
      <w:r>
        <w:t xml:space="preserve">The number of inappropriate alarms</w:t>
      </w:r>
    </w:p>
    <w:p>
      <w:pPr>
        <w:numPr>
          <w:ilvl w:val="0"/>
          <w:numId w:val="1001"/>
        </w:numPr>
        <w:pStyle w:val="Compact"/>
      </w:pPr>
      <w:r>
        <w:t xml:space="preserve">The total duration of alert conditions</w:t>
      </w:r>
    </w:p>
    <w:p>
      <w:pPr>
        <w:numPr>
          <w:ilvl w:val="0"/>
          <w:numId w:val="1001"/>
        </w:numPr>
        <w:pStyle w:val="Compact"/>
      </w:pPr>
      <w:r>
        <w:t xml:space="preserve">The choice of alarm settings</w:t>
      </w:r>
    </w:p>
    <w:p>
      <w:pPr>
        <w:numPr>
          <w:ilvl w:val="0"/>
          <w:numId w:val="1001"/>
        </w:numPr>
        <w:pStyle w:val="Compact"/>
      </w:pPr>
      <w:r>
        <w:t xml:space="preserve">The number and severity of adverse sedation events</w:t>
      </w:r>
    </w:p>
    <w:bookmarkEnd w:id="37"/>
    <w:bookmarkEnd w:id="38"/>
    <w:bookmarkStart w:id="50" w:name="methods-1"/>
    <w:p>
      <w:pPr>
        <w:pStyle w:val="Heading1"/>
      </w:pPr>
      <w:r>
        <w:t xml:space="preserve">Methods</w:t>
      </w:r>
    </w:p>
    <w:bookmarkStart w:id="39" w:name="design-1"/>
    <w:p>
      <w:pPr>
        <w:pStyle w:val="Heading2"/>
      </w:pPr>
      <w:r>
        <w:t xml:space="preserve">Design</w:t>
      </w:r>
    </w:p>
    <w:p>
      <w:pPr>
        <w:pStyle w:val="FirstParagraph"/>
      </w:pPr>
      <w:r>
        <w:t xml:space="preserve">A parallel cluster randomized trial was conducted, guided by the hybrid effectiveness-implementation approach</w:t>
      </w:r>
      <w:r>
        <w:t xml:space="preserve"> </w:t>
      </w:r>
      <w:r>
        <w:t xml:space="preserve">(Curran et al., 2012)</w:t>
      </w:r>
      <w:r>
        <w:t xml:space="preserve">. The hybrid effectiveness-implementation framework was appropriate because evidence for the safety and efficacy of using capnography exists and implementation of this monitoring device for sedation is recommended in clinical guidelines</w:t>
      </w:r>
      <w:r>
        <w:t xml:space="preserve"> </w:t>
      </w:r>
      <w:r>
        <w:t xml:space="preserve">(Conway et al., 2013, 2014; Dobson et al., 2018)</w:t>
      </w:r>
      <w:r>
        <w:t xml:space="preserve">. A detailed description of this trial was reported in the published protocol</w:t>
      </w:r>
      <w:r>
        <w:t xml:space="preserve"> </w:t>
      </w:r>
      <w:r>
        <w:t xml:space="preserve">(Conway et al., 2022)</w:t>
      </w:r>
      <w:r>
        <w:t xml:space="preserve">. Briefly, this implementation-effectiveness study involved an initial</w:t>
      </w:r>
      <w:r>
        <w:t xml:space="preserve"> </w:t>
      </w:r>
      <w:r>
        <w:t xml:space="preserve">‘</w:t>
      </w:r>
      <w:r>
        <w:t xml:space="preserve">establishment</w:t>
      </w:r>
      <w:r>
        <w:t xml:space="preserve">’</w:t>
      </w:r>
      <w:r>
        <w:t xml:space="preserve"> </w:t>
      </w:r>
      <w:r>
        <w:t xml:space="preserve">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w:t>
      </w:r>
      <w:r>
        <w:t xml:space="preserve"> </w:t>
      </w:r>
      <w:r>
        <w:t xml:space="preserve">‘</w:t>
      </w:r>
      <w:r>
        <w:t xml:space="preserve">stability</w:t>
      </w:r>
      <w:r>
        <w:t xml:space="preserve">’</w:t>
      </w:r>
      <w:r>
        <w:t xml:space="preserve"> </w:t>
      </w:r>
      <w:r>
        <w:t xml:space="preserve">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w:t>
      </w:r>
      <w:r>
        <w:t xml:space="preserve"> </w:t>
      </w:r>
      <w:r>
        <w:t xml:space="preserve">‘</w:t>
      </w:r>
      <w:r>
        <w:t xml:space="preserve">evaluation</w:t>
      </w:r>
      <w:r>
        <w:t xml:space="preserve">’</w:t>
      </w:r>
      <w:r>
        <w:t xml:space="preserve"> </w:t>
      </w:r>
      <w:r>
        <w:t xml:space="preserve">period. The results of this</w:t>
      </w:r>
      <w:r>
        <w:t xml:space="preserve"> </w:t>
      </w:r>
      <w:r>
        <w:t xml:space="preserve">‘</w:t>
      </w:r>
      <w:r>
        <w:t xml:space="preserve">evaluation</w:t>
      </w:r>
      <w:r>
        <w:t xml:space="preserve">’</w:t>
      </w:r>
      <w:r>
        <w:t xml:space="preserve"> </w:t>
      </w:r>
      <w:r>
        <w:t xml:space="preserve">period are reported in this paper.</w:t>
      </w:r>
    </w:p>
    <w:bookmarkEnd w:id="39"/>
    <w:bookmarkStart w:id="40" w:name="study-setting"/>
    <w:p>
      <w:pPr>
        <w:pStyle w:val="Heading2"/>
      </w:pPr>
      <w:r>
        <w:t xml:space="preserve">Study Setting</w:t>
      </w:r>
    </w:p>
    <w:p>
      <w:pPr>
        <w:pStyle w:val="FirstParagraph"/>
      </w:pPr>
      <w:r>
        <w:t xml:space="preserve">Participants were enrolled from the interventional radiology department at an academic hospital in Canada.</w:t>
      </w:r>
    </w:p>
    <w:bookmarkEnd w:id="40"/>
    <w:bookmarkStart w:id="41" w:name="inclusion-criteria"/>
    <w:p>
      <w:pPr>
        <w:pStyle w:val="Heading2"/>
      </w:pPr>
      <w:r>
        <w:t xml:space="preserve">Inclusion Criteria</w:t>
      </w:r>
    </w:p>
    <w:p>
      <w:pPr>
        <w:pStyle w:val="FirstParagraph"/>
      </w:pPr>
      <w:r>
        <w:t xml:space="preserve">All nurses who administer and monitor sedation were eligible to be randomized. Adult patients who were scheduled to undergo elective procedures with sedation administered by the nursing staff were eligible for inclusion in the analysis.</w:t>
      </w:r>
    </w:p>
    <w:bookmarkEnd w:id="41"/>
    <w:bookmarkStart w:id="42" w:name="exclusion-criteria"/>
    <w:p>
      <w:pPr>
        <w:pStyle w:val="Heading2"/>
      </w:pPr>
      <w:r>
        <w:t xml:space="preserve">Exclusion Criteria</w:t>
      </w:r>
    </w:p>
    <w:p>
      <w:pPr>
        <w:pStyle w:val="FirstParagraph"/>
      </w:pPr>
      <w:r>
        <w:t xml:space="preserve">Patients were excluded if a preference against the presence of a research assistant observer during their procedure was expressed.</w:t>
      </w:r>
    </w:p>
    <w:bookmarkEnd w:id="42"/>
    <w:bookmarkStart w:id="43" w:name="sample-size-calculation"/>
    <w:p>
      <w:pPr>
        <w:pStyle w:val="Heading2"/>
      </w:pPr>
      <w:r>
        <w:t xml:space="preserve">Sample size calculation</w:t>
      </w:r>
    </w:p>
    <w:p>
      <w:pPr>
        <w:pStyle w:val="FirstParagraph"/>
      </w:pPr>
      <w:r>
        <w:t xml:space="preserve">We used cluster randomized trial sample size calculation software to determine the sample size required for the primary outcome</w:t>
      </w:r>
      <w:r>
        <w:t xml:space="preserve"> </w:t>
      </w:r>
      <w:r>
        <w:t xml:space="preserve">(Hemming et al., 2020)</w:t>
      </w:r>
      <w:r>
        <w:t xml:space="preserve">.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bookmarkEnd w:id="43"/>
    <w:bookmarkStart w:id="44" w:name="randomization"/>
    <w:p>
      <w:pPr>
        <w:pStyle w:val="Heading2"/>
      </w:pPr>
      <w:r>
        <w:t xml:space="preserve">Randomization</w:t>
      </w:r>
    </w:p>
    <w:p>
      <w:pPr>
        <w:pStyle w:val="FirstParagraph"/>
      </w:pPr>
      <w:r>
        <w:t xml:space="preserve">Concealed random allocation of nurses to either enable or disable the IPI was undertaken. The redcapAPI package in R was used to upload a stratified (by department) randomized sequence to REDCap</w:t>
      </w:r>
      <w:r>
        <w:rPr>
          <w:vertAlign w:val="superscript"/>
        </w:rPr>
        <w:t xml:space="preserve">TM</w:t>
      </w:r>
      <w:r>
        <w:t xml:space="preserve">. The research assistant retrieved the allocation from REDCAP</w:t>
      </w:r>
      <w:r>
        <w:rPr>
          <w:vertAlign w:val="superscript"/>
        </w:rPr>
        <w:t xml:space="preserve">TM</w:t>
      </w:r>
      <w:r>
        <w:t xml:space="preserve"> </w:t>
      </w:r>
      <w:r>
        <w:t xml:space="preserve">for each consecutive nurse who choose to participate.</w:t>
      </w:r>
    </w:p>
    <w:bookmarkEnd w:id="44"/>
    <w:bookmarkStart w:id="45" w:name="study-interventions"/>
    <w:p>
      <w:pPr>
        <w:pStyle w:val="Heading2"/>
      </w:pPr>
      <w:r>
        <w:t xml:space="preserve">Study interventions</w:t>
      </w:r>
    </w:p>
    <w:p>
      <w:pPr>
        <w:pStyle w:val="FirstParagraph"/>
      </w:pPr>
      <w:r>
        <w:t xml:space="preserve">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w:t>
      </w:r>
      <w:r>
        <w:t xml:space="preserve"> </w:t>
      </w:r>
      <w:r>
        <w:t xml:space="preserve">(Conway et al., 2022)</w:t>
      </w:r>
      <w:r>
        <w:t xml:space="preserve">.</w:t>
      </w:r>
    </w:p>
    <w:bookmarkEnd w:id="45"/>
    <w:bookmarkStart w:id="46" w:name="data-collection"/>
    <w:p>
      <w:pPr>
        <w:pStyle w:val="Heading2"/>
      </w:pPr>
      <w:r>
        <w:t xml:space="preserve">Data collection</w:t>
      </w:r>
    </w:p>
    <w:p>
      <w:pPr>
        <w:pStyle w:val="FirstParagraph"/>
      </w:pPr>
      <w:r>
        <w:t xml:space="preserve">A research assistant observed all procedures to collect information about participant and procedure characteristics, alarm performance and adverse sedation events. The research assistant was not blinded to the randomization allocation of the nurse because it was not practical to obscure the monitor from their view without also impeding the nurses own use of the device.</w:t>
      </w:r>
    </w:p>
    <w:bookmarkEnd w:id="46"/>
    <w:bookmarkStart w:id="47" w:name="outcomes"/>
    <w:p>
      <w:pPr>
        <w:pStyle w:val="Heading2"/>
      </w:pPr>
      <w:r>
        <w:t xml:space="preserve">Outcomes</w:t>
      </w:r>
    </w:p>
    <w:p>
      <w:pPr>
        <w:pStyle w:val="FirstParagraph"/>
      </w:pPr>
      <w:r>
        <w:t xml:space="preserve">The primary outcome was the number of seconds in an alert condition state without an intervention being applied. For nurses who were randomized to enable the IPI, an alert condition state was triggered if the index fell below 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w:t>
      </w:r>
      <w:r>
        <w:t xml:space="preserve"> </w:t>
      </w:r>
      <w:r>
        <w:t xml:space="preserve">‘</w:t>
      </w:r>
      <w:r>
        <w:t xml:space="preserve">no breath</w:t>
      </w:r>
      <w:r>
        <w:t xml:space="preserve">’</w:t>
      </w:r>
      <w:r>
        <w:t xml:space="preserve"> </w:t>
      </w:r>
      <w:r>
        <w:t xml:space="preserve">criteria had been met for a specified minimum amount of time. An intervention was defined as a response to an alert condition state by a nurse.</w:t>
      </w:r>
    </w:p>
    <w:p>
      <w:pPr>
        <w:pStyle w:val="BodyText"/>
      </w:pPr>
      <w:r>
        <w:t xml:space="preserve">The secondary outcomes for the study were the following:</w:t>
      </w:r>
    </w:p>
    <w:p>
      <w:pPr>
        <w:numPr>
          <w:ilvl w:val="0"/>
          <w:numId w:val="1002"/>
        </w:numPr>
        <w:pStyle w:val="Compact"/>
      </w:pPr>
      <w:r>
        <w:t xml:space="preserve">Alarm burden (total number of Medtronic Capnostream 35p monitor alarms).</w:t>
      </w:r>
    </w:p>
    <w:p>
      <w:pPr>
        <w:numPr>
          <w:ilvl w:val="0"/>
          <w:numId w:val="1002"/>
        </w:numPr>
        <w:pStyle w:val="Compact"/>
      </w:pPr>
      <w:r>
        <w:t xml:space="preserve">Number of appropriate alarms (defined as an alarm that triggered an intervention).</w:t>
      </w:r>
    </w:p>
    <w:p>
      <w:pPr>
        <w:numPr>
          <w:ilvl w:val="0"/>
          <w:numId w:val="1002"/>
        </w:numPr>
        <w:pStyle w:val="Compact"/>
      </w:pPr>
      <w:r>
        <w:t xml:space="preserve">Number of inappropriate alarms (defined as alarms that were triggered but manually dismissed by silencing the alarm).</w:t>
      </w:r>
    </w:p>
    <w:p>
      <w:pPr>
        <w:numPr>
          <w:ilvl w:val="0"/>
          <w:numId w:val="1002"/>
        </w:numPr>
        <w:pStyle w:val="Compact"/>
      </w:pPr>
      <w:r>
        <w:t xml:space="preserve">Total duration of alert conditions (defined as the total time that an alert condition was active inclusive of the time to an intervention and the time until the alert conditions are resolved).</w:t>
      </w:r>
    </w:p>
    <w:p>
      <w:pPr>
        <w:numPr>
          <w:ilvl w:val="0"/>
          <w:numId w:val="1002"/>
        </w:numPr>
        <w:pStyle w:val="Compact"/>
      </w:pPr>
      <w:r>
        <w:t xml:space="preserve">TROOPS adverse sedation events</w:t>
      </w:r>
      <w:r>
        <w:t xml:space="preserve"> </w:t>
      </w:r>
      <w:r>
        <w:t xml:space="preserve">(Roback et al., 2018)</w:t>
      </w:r>
      <w:r>
        <w:t xml:space="preserve">.</w:t>
      </w:r>
    </w:p>
    <w:p>
      <w:pPr>
        <w:numPr>
          <w:ilvl w:val="0"/>
          <w:numId w:val="1002"/>
        </w:numPr>
        <w:pStyle w:val="Compact"/>
      </w:pPr>
      <w:r>
        <w:t xml:space="preserve">Area under the curve of oxygen desaturation, calculated by taking the difference between a threshold (SpO2 90%) and current oxygen saturation summed each second while oxygen saturation was below the threshold</w:t>
      </w:r>
      <w:r>
        <w:t xml:space="preserve"> </w:t>
      </w:r>
      <w:r>
        <w:t xml:space="preserve">(Ward et al., 2018)</w:t>
      </w:r>
      <w:r>
        <w:t xml:space="preserve">.</w:t>
      </w:r>
    </w:p>
    <w:bookmarkEnd w:id="47"/>
    <w:bookmarkStart w:id="48" w:name="data-analysis"/>
    <w:p>
      <w:pPr>
        <w:pStyle w:val="Heading2"/>
      </w:pPr>
      <w:r>
        <w:t xml:space="preserve">Data analysis</w:t>
      </w:r>
    </w:p>
    <w:p>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zero-inflated mixed effects models that accounted for the large number of zero scores from patients who had no alarms. The two parts of the zero-inflated model we used were a logit model to model which of the two processes the zero outcome was associated with, and a negative binomial model for the count process. This analysis was conducted using the</w:t>
      </w:r>
      <w:r>
        <w:t xml:space="preserve"> </w:t>
      </w:r>
      <w:r>
        <w:rPr>
          <w:rStyle w:val="VerbatimChar"/>
        </w:rPr>
        <w:t xml:space="preserve">mixed_model</w:t>
      </w:r>
      <w:r>
        <w:t xml:space="preserve"> </w:t>
      </w:r>
      <w:r>
        <w:t xml:space="preserve">function from the GLMMadaptive R package</w:t>
      </w:r>
      <w:r>
        <w:t xml:space="preserve"> </w:t>
      </w:r>
      <w:r>
        <w:t xml:space="preserve">(Rizopoulos, 2023)</w:t>
      </w:r>
      <w:r>
        <w:t xml:space="preserve">.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bookmarkEnd w:id="48"/>
    <w:bookmarkStart w:id="49" w:name="ethical-considerations"/>
    <w:p>
      <w:pPr>
        <w:pStyle w:val="Heading2"/>
      </w:pPr>
      <w:r>
        <w:t xml:space="preserve">Ethical considerations</w:t>
      </w:r>
    </w:p>
    <w:p>
      <w:pPr>
        <w:pStyle w:val="FirstParagraph"/>
      </w:pPr>
      <w:r>
        <w:t xml:space="preserve">The hospital Research Ethics Board (REB) approved the trial (REB 21-5249). Additional information has previously been published in the protocol</w:t>
      </w:r>
      <w:r>
        <w:t xml:space="preserve"> </w:t>
      </w:r>
      <w:r>
        <w:t xml:space="preserve">(Conway et al., 2022)</w:t>
      </w:r>
      <w:r>
        <w:t xml:space="preserve">.</w:t>
      </w:r>
    </w:p>
    <w:bookmarkEnd w:id="49"/>
    <w:bookmarkEnd w:id="50"/>
    <w:bookmarkStart w:id="54" w:name="results-1"/>
    <w:p>
      <w:pPr>
        <w:pStyle w:val="Heading1"/>
      </w:pPr>
      <w:r>
        <w:t xml:space="preserve">Results</w:t>
      </w:r>
    </w:p>
    <w:p>
      <w:pPr>
        <w:pStyle w:val="FirstParagraph"/>
      </w:pPr>
      <w:r>
        <w:t xml:space="preserve">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bookmarkStart w:id="51" w:name="sample-characteristics"/>
    <w:p>
      <w:pPr>
        <w:pStyle w:val="Heading2"/>
      </w:pPr>
      <w:r>
        <w:t xml:space="preserve">Sample characteristics</w:t>
      </w:r>
    </w:p>
    <w:p>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cannula. Nurses participating in the study elected to use the default settings displayed in Table 2 for all patients they monitored.</w:t>
      </w:r>
    </w:p>
    <w:bookmarkEnd w:id="51"/>
    <w:bookmarkStart w:id="52" w:name="alarm-performance"/>
    <w:p>
      <w:pPr>
        <w:pStyle w:val="Heading2"/>
      </w:pPr>
      <w:r>
        <w:t xml:space="preserve">Alarm performance</w:t>
      </w:r>
    </w:p>
    <w:p>
      <w:pPr>
        <w:pStyle w:val="FirstParagraph"/>
      </w:pPr>
      <w:r>
        <w:t xml:space="preserve">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any alarms between groups and 2B further presents the number of seconds an alarm was triggered without intervention.</w:t>
      </w:r>
    </w:p>
    <w:p>
      <w:pPr>
        <w:pStyle w:val="BodyText"/>
      </w:pPr>
      <w:r>
        <w:t xml:space="preserve">A summary of results for both components of the zero-inflated negative binomial models used to compare differences in alarm performance between the IPI-enabled and IPI-disabled groups is presented in Table 3. There was no difference between groups for the secondary outcomes of total alarm burden, the total alarm duration and number of appropriate alarms. The effect estimate (IRR 13.13) for the negative binomial component of the model for the number of inappropriate alarms was statistically significantly but highly imprecise (95% CI 1.4 to 122.95).</w:t>
      </w:r>
    </w:p>
    <w:bookmarkEnd w:id="52"/>
    <w:bookmarkStart w:id="53" w:name="clinical-outcomes"/>
    <w:p>
      <w:pPr>
        <w:pStyle w:val="Heading2"/>
      </w:pPr>
      <w:r>
        <w:t xml:space="preserve">Clinical outcomes</w:t>
      </w:r>
    </w:p>
    <w:p>
      <w:pPr>
        <w:pStyle w:val="FirstParagraph"/>
      </w:pPr>
      <w:r>
        <w:t xml:space="preserve">Desaturation events were not common in either group. Area under the SpO</w:t>
      </w:r>
      <w:r>
        <w:rPr>
          <w:vertAlign w:val="subscript"/>
        </w:rPr>
        <w:t xml:space="preserve">2</w:t>
      </w:r>
      <w:r>
        <w:t xml:space="preserve"> </w:t>
      </w:r>
      <w:r>
        <w:t xml:space="preserve">90% desaturation curve scores for participants who had a desaturation event were lower for the IPI-enabled group (𝛽 -0.73; 95% CI -1.32 to -0.14). There was one intermediate severity respiratory adverse event observed in the IPI disabled group. There were two intermediate-severity adverse events related to sedation quality in the 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bookmarkEnd w:id="53"/>
    <w:bookmarkEnd w:id="54"/>
    <w:bookmarkStart w:id="59" w:name="discussion"/>
    <w:p>
      <w:pPr>
        <w:pStyle w:val="Heading1"/>
      </w:pPr>
      <w:r>
        <w:t xml:space="preserve">Discussion</w:t>
      </w:r>
    </w:p>
    <w:p>
      <w:pPr>
        <w:pStyle w:val="FirstParagraph"/>
      </w:pPr>
      <w:r>
        <w:t xml:space="preserve">This study investigated the impact of using the IPI feature of capnography monitors on alarm performance during nurse-administered sedation procedural sedation. We found that the use of the IPI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pPr>
        <w:pStyle w:val="BodyText"/>
      </w:pPr>
      <w:r>
        <w:t xml:space="preserve">Secondary outcomes revealed some insights that require further investigation. Of primary interest, although oxygen desaturation was not common in either group, the IPI-enabled group had lower levels of the area under the SpO</w:t>
      </w:r>
      <w:r>
        <w:rPr>
          <w:vertAlign w:val="subscript"/>
        </w:rPr>
        <w:t xml:space="preserve">2</w:t>
      </w:r>
      <w:r>
        <w:t xml:space="preserve"> </w:t>
      </w:r>
      <w:r>
        <w:t xml:space="preserve">desaturation curve. This outcome comprises an assessment of both the length and severity of an oxygen desaturation event, which has been used in multiple different studies in procedural sedation</w:t>
      </w:r>
      <w:r>
        <w:t xml:space="preserve"> </w:t>
      </w:r>
      <w:r>
        <w:t xml:space="preserve">(Conway, Collins, et al., 2021; Niklewski et al., 2014; Schaik et al., 2021)</w:t>
      </w:r>
      <w:r>
        <w:t xml:space="preserve">. It is possible that the actions taken in response to alarms in the IPI-enabled group mediated the effect on oxygen saturation, which potentially signals a safety 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w:t>
      </w:r>
      <w:r>
        <w:t xml:space="preserve"> </w:t>
      </w:r>
      <w:r>
        <w:t xml:space="preserve">(Riphaus et al., 2017)</w:t>
      </w:r>
      <w:r>
        <w:t xml:space="preserve">.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w:t>
      </w:r>
      <w:r>
        <w:t xml:space="preserve"> </w:t>
      </w:r>
      <w:r>
        <w:t xml:space="preserve">(Riphaus et al., 2017)</w:t>
      </w:r>
      <w:r>
        <w:t xml:space="preserve">. In a different clinical setting, there was evidence that using the IPI decreased the duration of respiratory events</w:t>
      </w:r>
      <w:r>
        <w:t xml:space="preserve"> </w:t>
      </w:r>
      <w:r>
        <w:t xml:space="preserve">(Broens et al., 2020)</w:t>
      </w:r>
      <w:r>
        <w:t xml:space="preserve">. A randomized trial that evaluated the use of the IPI for overnight monitoring of post-operative patients who received opioids found that the duration of low IPI events was reduced in comparison to standard monitoring</w:t>
      </w:r>
      <w:r>
        <w:t xml:space="preserve"> </w:t>
      </w:r>
      <w:r>
        <w:t xml:space="preserve">(Broens et al., 2020)</w:t>
      </w:r>
      <w:r>
        <w:t xml:space="preserve">, which, similar to our trial, suggests that nurses’ responses to IPI alarms may increase safety.</w:t>
      </w:r>
    </w:p>
    <w:p>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w:t>
      </w:r>
      <w:r>
        <w:t xml:space="preserve"> </w:t>
      </w:r>
      <w:r>
        <w:t xml:space="preserve">(Conway et al., 2014)</w:t>
      </w:r>
      <w:r>
        <w:t xml:space="preserve">. Importantly, there was no systematic difference in the doses of sedative and analgesic medication administered between groups, which suggests that the results are not confounded by differences in the sedation protocol or degree of sedation induced.</w:t>
      </w:r>
    </w:p>
    <w:p>
      <w:pPr>
        <w:pStyle w:val="BodyText"/>
      </w:pPr>
      <w:r>
        <w:t xml:space="preserve">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w:t>
      </w:r>
      <w:r>
        <w:t xml:space="preserve"> </w:t>
      </w:r>
      <w:r>
        <w:t xml:space="preserve">(Allan et al., 2017; Cvach et al., 2015)</w:t>
      </w:r>
      <w:r>
        <w:t xml:space="preserve">. However, permitting nurses to alter thresholds based on feedback of alarm performance characteristics has been shown to be an effective strategy to reduce alarm burden</w:t>
      </w:r>
      <w:r>
        <w:t xml:space="preserve"> </w:t>
      </w:r>
      <w:r>
        <w:t xml:space="preserve">(Ruppel et al., 2018)</w:t>
      </w:r>
      <w:r>
        <w:t xml:space="preserve">.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w:t>
      </w:r>
      <w:r>
        <w:t xml:space="preserve"> </w:t>
      </w:r>
      <w:r>
        <w:t xml:space="preserve">(Ruppel et al., 2019)</w:t>
      </w:r>
      <w:r>
        <w:t xml:space="preserve">.</w:t>
      </w:r>
    </w:p>
    <w:bookmarkStart w:id="55" w:name="limitations"/>
    <w:p>
      <w:pPr>
        <w:pStyle w:val="Heading2"/>
      </w:pPr>
      <w:r>
        <w:t xml:space="preserve">Limitations</w:t>
      </w:r>
    </w:p>
    <w:p>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bookmarkEnd w:id="55"/>
    <w:bookmarkStart w:id="56" w:name="recommendations-for-further-research"/>
    <w:p>
      <w:pPr>
        <w:pStyle w:val="Heading2"/>
      </w:pPr>
      <w:r>
        <w:t xml:space="preserve">Recommendations for further research</w:t>
      </w:r>
    </w:p>
    <w:p>
      <w:pPr>
        <w:pStyle w:val="FirstParagraph"/>
      </w:pPr>
      <w:r>
        <w:t xml:space="preserve">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nurses’ responses to capnography alarms. Further exploratory research would be worthwhile to investigate nurses’ decision-making process to understand the potential reasons why using the IPI was not an effective strategy to lower the threshold for intervention by nurses. For example, it is possible that the IPI does not provide sufficient information to guide nurses’ decision-making about the appropriate intervention to apply. Additionally, future research could investigate whether the use of the IPI in combination with other strategies, such as alarm escalation protocols, can improve alarm performance. Additionally, there is increasing evidence that machine learning approaches could be used to improve capnography alarm management</w:t>
      </w:r>
      <w:r>
        <w:t xml:space="preserve"> </w:t>
      </w:r>
      <w:r>
        <w:t xml:space="preserve">(Conway, Jungquist, et al., 2021; Conway et al., 2023)</w:t>
      </w:r>
      <w:r>
        <w:t xml:space="preserve">. The IPI is a mathematically-derived index, so it is possible that machine learning approaches could be used to develop a more effective index for capnography alarm management.</w:t>
      </w:r>
    </w:p>
    <w:bookmarkEnd w:id="56"/>
    <w:bookmarkStart w:id="57" w:name="implications-for-policy-and-practice"/>
    <w:p>
      <w:pPr>
        <w:pStyle w:val="Heading2"/>
      </w:pPr>
      <w:r>
        <w:t xml:space="preserve">Implications for policy and practice</w:t>
      </w:r>
    </w:p>
    <w:p>
      <w:pPr>
        <w:pStyle w:val="FirstParagraph"/>
      </w:pPr>
      <w:r>
        <w:t xml:space="preserve">The results do not support the routine enabling of the IPI when nurses use capnography to monitor patients during procedural sedation as a strategy to reduce the time it takes to initiate responses to alarms.</w:t>
      </w:r>
    </w:p>
    <w:bookmarkEnd w:id="57"/>
    <w:bookmarkStart w:id="58" w:name="conclusion-1"/>
    <w:p>
      <w:pPr>
        <w:pStyle w:val="Heading2"/>
      </w:pPr>
      <w:r>
        <w:t xml:space="preserve">Conclusion</w:t>
      </w:r>
    </w:p>
    <w:p>
      <w:pPr>
        <w:pStyle w:val="FirstParagraph"/>
      </w:pPr>
      <w:r>
        <w:t xml:space="preserve">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r>
        <w:br w:type="page"/>
      </w:r>
    </w:p>
    <w:bookmarkEnd w:id="58"/>
    <w:bookmarkEnd w:id="59"/>
    <w:bookmarkStart w:id="112" w:name="references"/>
    <w:p>
      <w:pPr>
        <w:pStyle w:val="Heading1"/>
      </w:pPr>
      <w:r>
        <w:t xml:space="preserve">References</w:t>
      </w:r>
    </w:p>
    <w:bookmarkStart w:id="105" w:name="refs"/>
    <w:bookmarkStart w:id="60" w:name="ref-allan2017data"/>
    <w:p>
      <w:pPr>
        <w:pStyle w:val="Bibliography"/>
      </w:pPr>
      <w:r>
        <w:t xml:space="preserve">Allan, S. H., Doyle, P. A., Sapirstein, A., &amp; Cvach, M. (2017). Data-driven implementation of alarm reduction interventions in a cardiovascular surgical ICU.</w:t>
      </w:r>
      <w:r>
        <w:t xml:space="preserve"> </w:t>
      </w:r>
      <w:r>
        <w:rPr>
          <w:iCs/>
          <w:i/>
        </w:rPr>
        <w:t xml:space="preserve">The Joint Commission Journal on Quality and Patient Safety</w:t>
      </w:r>
      <w:r>
        <w:t xml:space="preserve">,</w:t>
      </w:r>
      <w:r>
        <w:t xml:space="preserve"> </w:t>
      </w:r>
      <w:r>
        <w:rPr>
          <w:iCs/>
          <w:i/>
        </w:rPr>
        <w:t xml:space="preserve">43</w:t>
      </w:r>
      <w:r>
        <w:t xml:space="preserve">(2), 62–70.</w:t>
      </w:r>
    </w:p>
    <w:bookmarkEnd w:id="60"/>
    <w:bookmarkStart w:id="62" w:name="ref-Broens2021"/>
    <w:p>
      <w:pPr>
        <w:pStyle w:val="Bibliography"/>
      </w:pPr>
      <w:r>
        <w:t xml:space="preserve">Broens, S. J. L., Prins, S. A., Kleer, D. de, Niesters, M., Dahan, A., &amp; Velzen, M. van. (2020). Postoperative respiratory state assessment using the Integrated Pulmonary Index (IPI) and resultant nurse interventions in the post-anesthesia care unit: a randomized controlled trial.</w:t>
      </w:r>
      <w:r>
        <w:t xml:space="preserve"> </w:t>
      </w:r>
      <w:r>
        <w:rPr>
          <w:iCs/>
          <w:i/>
        </w:rPr>
        <w:t xml:space="preserve">Journal of Clinical Monitoring and Computing</w:t>
      </w:r>
      <w:r>
        <w:t xml:space="preserve">,</w:t>
      </w:r>
      <w:r>
        <w:t xml:space="preserve"> </w:t>
      </w:r>
      <w:r>
        <w:rPr>
          <w:iCs/>
          <w:i/>
        </w:rPr>
        <w:t xml:space="preserve">35</w:t>
      </w:r>
      <w:r>
        <w:t xml:space="preserve">(5), 1093–1102.</w:t>
      </w:r>
      <w:r>
        <w:t xml:space="preserve"> </w:t>
      </w:r>
      <w:hyperlink r:id="rId61">
        <w:r>
          <w:rPr>
            <w:rStyle w:val="Hyperlink"/>
          </w:rPr>
          <w:t xml:space="preserve">https://doi.org/10.1007/s10877-020-00564-1</w:t>
        </w:r>
      </w:hyperlink>
    </w:p>
    <w:bookmarkEnd w:id="62"/>
    <w:bookmarkStart w:id="63" w:name="ref-conway2022integrated"/>
    <w:p>
      <w:pPr>
        <w:pStyle w:val="Bibliography"/>
      </w:pPr>
      <w:r>
        <w:t xml:space="preserve">Conway, A., Chang, K., Goudarzi Rad, M., Mafeld, S., &amp; Parotto, M. (2022). Integrated pulmonary index during nurse-administered procedural sedation: Study protocol for a cluster-randomized trial.</w:t>
      </w:r>
      <w:r>
        <w:t xml:space="preserve"> </w:t>
      </w:r>
      <w:r>
        <w:rPr>
          <w:iCs/>
          <w:i/>
        </w:rPr>
        <w:t xml:space="preserve">Journal of Advanced Nursing</w:t>
      </w:r>
      <w:r>
        <w:t xml:space="preserve">,</w:t>
      </w:r>
      <w:r>
        <w:t xml:space="preserve"> </w:t>
      </w:r>
      <w:r>
        <w:rPr>
          <w:iCs/>
          <w:i/>
        </w:rPr>
        <w:t xml:space="preserve">78</w:t>
      </w:r>
      <w:r>
        <w:t xml:space="preserve">(7), 2245–2254.</w:t>
      </w:r>
    </w:p>
    <w:bookmarkEnd w:id="63"/>
    <w:bookmarkStart w:id="65" w:name="ref-Conway2021"/>
    <w:p>
      <w:pPr>
        <w:pStyle w:val="Bibliography"/>
      </w:pPr>
      <w:r>
        <w:t xml:space="preserve">Conway, A., Collins, P., Chang, K., Kamboj, N., Filici, A. L., Lam, P., &amp; Parotto, M. (2021). High flow nasal oxygen during procedural sedation for cardiac implantable electronic device procedures.</w:t>
      </w:r>
      <w:r>
        <w:t xml:space="preserve"> </w:t>
      </w:r>
      <w:r>
        <w:rPr>
          <w:iCs/>
          <w:i/>
        </w:rPr>
        <w:t xml:space="preserve">European Journal of Anaesthesiology</w:t>
      </w:r>
      <w:r>
        <w:t xml:space="preserve">,</w:t>
      </w:r>
      <w:r>
        <w:t xml:space="preserve"> </w:t>
      </w:r>
      <w:r>
        <w:rPr>
          <w:iCs/>
          <w:i/>
        </w:rPr>
        <w:t xml:space="preserve">38</w:t>
      </w:r>
      <w:r>
        <w:t xml:space="preserve">(8), 839–849.</w:t>
      </w:r>
      <w:r>
        <w:t xml:space="preserve"> </w:t>
      </w:r>
      <w:hyperlink r:id="rId64">
        <w:r>
          <w:rPr>
            <w:rStyle w:val="Hyperlink"/>
          </w:rPr>
          <w:t xml:space="preserve">https://doi.org/10.1097/eja.0000000000001458</w:t>
        </w:r>
      </w:hyperlink>
    </w:p>
    <w:bookmarkEnd w:id="65"/>
    <w:bookmarkStart w:id="67" w:name="ref-Conway_2016"/>
    <w:p>
      <w:pPr>
        <w:pStyle w:val="Bibliography"/>
      </w:pPr>
      <w:r>
        <w:t xml:space="preserve">Conway, A., Douglas, C., &amp; Sutherland, J. R. (2016). A systematic review of capnography for sedation.</w:t>
      </w:r>
      <w:r>
        <w:t xml:space="preserve"> </w:t>
      </w:r>
      <w:r>
        <w:rPr>
          <w:iCs/>
          <w:i/>
        </w:rPr>
        <w:t xml:space="preserve">Anaesthesia</w:t>
      </w:r>
      <w:r>
        <w:t xml:space="preserve">,</w:t>
      </w:r>
      <w:r>
        <w:t xml:space="preserve"> </w:t>
      </w:r>
      <w:r>
        <w:rPr>
          <w:iCs/>
          <w:i/>
        </w:rPr>
        <w:t xml:space="preserve">71</w:t>
      </w:r>
      <w:r>
        <w:t xml:space="preserve">(4), 450–454.</w:t>
      </w:r>
      <w:r>
        <w:t xml:space="preserve"> </w:t>
      </w:r>
      <w:hyperlink r:id="rId66">
        <w:r>
          <w:rPr>
            <w:rStyle w:val="Hyperlink"/>
          </w:rPr>
          <w:t xml:space="preserve">https://doi.org/10.1111/anae.13378</w:t>
        </w:r>
      </w:hyperlink>
    </w:p>
    <w:bookmarkEnd w:id="67"/>
    <w:bookmarkStart w:id="68" w:name="ref-conway2023deep"/>
    <w:p>
      <w:pPr>
        <w:pStyle w:val="Bibliography"/>
      </w:pPr>
      <w:r>
        <w:t xml:space="preserve">Conway, A., Goudarzi Rad, M., Zhou, W., Parotto, M., &amp; Jungquist, C. (2023). Deep learning classification of capnography waveforms: Secondary analysis of the PRODIGY study.</w:t>
      </w:r>
      <w:r>
        <w:t xml:space="preserve"> </w:t>
      </w:r>
      <w:r>
        <w:rPr>
          <w:iCs/>
          <w:i/>
        </w:rPr>
        <w:t xml:space="preserve">Journal of Clinical Monitoring and Computing</w:t>
      </w:r>
      <w:r>
        <w:t xml:space="preserve">, 1–13.</w:t>
      </w:r>
    </w:p>
    <w:bookmarkEnd w:id="68"/>
    <w:bookmarkStart w:id="69" w:name="ref-conway2021predicting"/>
    <w:p>
      <w:pPr>
        <w:pStyle w:val="Bibliography"/>
      </w:pPr>
      <w:r>
        <w:t xml:space="preserve">Conway, A., Jungquist, C. R., Chang, K., Kamboj, N., Sutherland, J., Mafeld, S., Parotto, M., et al. (2021). Predicting prolonged apnea during nurse-administered procedural sedation: Machine learning study.</w:t>
      </w:r>
      <w:r>
        <w:t xml:space="preserve"> </w:t>
      </w:r>
      <w:r>
        <w:rPr>
          <w:iCs/>
          <w:i/>
        </w:rPr>
        <w:t xml:space="preserve">JMIR Perioperative Medicine</w:t>
      </w:r>
      <w:r>
        <w:t xml:space="preserve">,</w:t>
      </w:r>
      <w:r>
        <w:t xml:space="preserve"> </w:t>
      </w:r>
      <w:r>
        <w:rPr>
          <w:iCs/>
          <w:i/>
        </w:rPr>
        <w:t xml:space="preserve">4</w:t>
      </w:r>
      <w:r>
        <w:t xml:space="preserve">(2), e29200.</w:t>
      </w:r>
    </w:p>
    <w:bookmarkEnd w:id="69"/>
    <w:bookmarkStart w:id="71" w:name="ref-Conway_2013"/>
    <w:p>
      <w:pPr>
        <w:pStyle w:val="Bibliography"/>
      </w:pPr>
      <w:r>
        <w:t xml:space="preserve">Conway, A., Rolley, J., Page, K., &amp; Fulbrook, P. (2013). Clinical practice guidelines for nurse-administered procedural sedation and analgesia in the cardiac catheterization laboratory: A modified delphi study.</w:t>
      </w:r>
      <w:r>
        <w:t xml:space="preserve"> </w:t>
      </w:r>
      <w:r>
        <w:rPr>
          <w:iCs/>
          <w:i/>
        </w:rPr>
        <w:t xml:space="preserve">Journal of Advanced Nursing</w:t>
      </w:r>
      <w:r>
        <w:t xml:space="preserve">,</w:t>
      </w:r>
      <w:r>
        <w:t xml:space="preserve"> </w:t>
      </w:r>
      <w:r>
        <w:rPr>
          <w:iCs/>
          <w:i/>
        </w:rPr>
        <w:t xml:space="preserve">70</w:t>
      </w:r>
      <w:r>
        <w:t xml:space="preserve">(5), 1040–1053.</w:t>
      </w:r>
      <w:r>
        <w:t xml:space="preserve"> </w:t>
      </w:r>
      <w:hyperlink r:id="rId70">
        <w:r>
          <w:rPr>
            <w:rStyle w:val="Hyperlink"/>
          </w:rPr>
          <w:t xml:space="preserve">https://doi.org/10.1111/jan.12337</w:t>
        </w:r>
      </w:hyperlink>
    </w:p>
    <w:bookmarkEnd w:id="71"/>
    <w:bookmarkStart w:id="73" w:name="ref-Conway_2014"/>
    <w:p>
      <w:pPr>
        <w:pStyle w:val="Bibliography"/>
      </w:pPr>
      <w:r>
        <w:t xml:space="preserve">Conway, A., Rolley, J., Page, K., &amp; Fulbrook, P. (2014). Trends in nurse-administered procedural sedation and analgesia across cardiac catheterisation laboratories in australia and new zealand: Results of an electronic survey.</w:t>
      </w:r>
      <w:r>
        <w:t xml:space="preserve"> </w:t>
      </w:r>
      <w:r>
        <w:rPr>
          <w:iCs/>
          <w:i/>
        </w:rPr>
        <w:t xml:space="preserve">Australian Critical Care</w:t>
      </w:r>
      <w:r>
        <w:t xml:space="preserve">,</w:t>
      </w:r>
      <w:r>
        <w:t xml:space="preserve"> </w:t>
      </w:r>
      <w:r>
        <w:rPr>
          <w:iCs/>
          <w:i/>
        </w:rPr>
        <w:t xml:space="preserve">27</w:t>
      </w:r>
      <w:r>
        <w:t xml:space="preserve">(1), 4–10.</w:t>
      </w:r>
      <w:r>
        <w:t xml:space="preserve"> </w:t>
      </w:r>
      <w:hyperlink r:id="rId72">
        <w:r>
          <w:rPr>
            <w:rStyle w:val="Hyperlink"/>
          </w:rPr>
          <w:t xml:space="preserve">https://doi.org/10.1016/j.aucc.2013.05.003</w:t>
        </w:r>
      </w:hyperlink>
    </w:p>
    <w:bookmarkEnd w:id="73"/>
    <w:bookmarkStart w:id="75" w:name="ref-Curran_2012"/>
    <w:p>
      <w:pPr>
        <w:pStyle w:val="Bibliography"/>
      </w:pPr>
      <w:r>
        <w:t xml:space="preserve">Curran, G. M., Bauer, M., Mittman, B., Pyne, J. M., &amp; Stetler, C. (2012). Effectiveness-implementation hybrid designs.</w:t>
      </w:r>
      <w:r>
        <w:t xml:space="preserve"> </w:t>
      </w:r>
      <w:r>
        <w:rPr>
          <w:iCs/>
          <w:i/>
        </w:rPr>
        <w:t xml:space="preserve">Medical Care</w:t>
      </w:r>
      <w:r>
        <w:t xml:space="preserve">,</w:t>
      </w:r>
      <w:r>
        <w:t xml:space="preserve"> </w:t>
      </w:r>
      <w:r>
        <w:rPr>
          <w:iCs/>
          <w:i/>
        </w:rPr>
        <w:t xml:space="preserve">50</w:t>
      </w:r>
      <w:r>
        <w:t xml:space="preserve">(3), 217–226.</w:t>
      </w:r>
      <w:r>
        <w:t xml:space="preserve"> </w:t>
      </w:r>
      <w:hyperlink r:id="rId74">
        <w:r>
          <w:rPr>
            <w:rStyle w:val="Hyperlink"/>
          </w:rPr>
          <w:t xml:space="preserve">https://doi.org/10.1097/mlr.0b013e3182408812</w:t>
        </w:r>
      </w:hyperlink>
    </w:p>
    <w:bookmarkEnd w:id="75"/>
    <w:bookmarkStart w:id="76" w:name="ref-cvach2015effect"/>
    <w:p>
      <w:pPr>
        <w:pStyle w:val="Bibliography"/>
      </w:pPr>
      <w:r>
        <w:t xml:space="preserve">Cvach, M., Rothwell, K. J., Cullen, A. M., Nayden, M. G., Cvach, N., &amp; Pham, J. C. (2015). Effect of altering alarm settings: A randomized controlled study.</w:t>
      </w:r>
      <w:r>
        <w:t xml:space="preserve"> </w:t>
      </w:r>
      <w:r>
        <w:rPr>
          <w:iCs/>
          <w:i/>
        </w:rPr>
        <w:t xml:space="preserve">Biomedical Instrumentation &amp; Technology</w:t>
      </w:r>
      <w:r>
        <w:t xml:space="preserve">,</w:t>
      </w:r>
      <w:r>
        <w:t xml:space="preserve"> </w:t>
      </w:r>
      <w:r>
        <w:rPr>
          <w:iCs/>
          <w:i/>
        </w:rPr>
        <w:t xml:space="preserve">49</w:t>
      </w:r>
      <w:r>
        <w:t xml:space="preserve">(3), 214–222.</w:t>
      </w:r>
    </w:p>
    <w:bookmarkEnd w:id="76"/>
    <w:bookmarkStart w:id="78" w:name="ref-Dobson_2018"/>
    <w:p>
      <w:pPr>
        <w:pStyle w:val="Bibliography"/>
      </w:pPr>
      <w:r>
        <w:t xml:space="preserve">Dobson, G., Chong, M. A., Chow, L., Flexman, A., Hurdle, H., Kurrek, M., Laflamme, C., Perrault, M.-A., Sparrow, K., Stacey, S., Swart, P. A., &amp; Wong, M. (2018). Procedural sedation: A position paper of the canadian anesthesiologists’ society.</w:t>
      </w:r>
      <w:r>
        <w:t xml:space="preserve"> </w:t>
      </w:r>
      <w:r>
        <w:rPr>
          <w:iCs/>
          <w:i/>
        </w:rPr>
        <w:t xml:space="preserve">Canadian Journal of Anesthesia/Journal Canadien d</w:t>
      </w:r>
      <w:r>
        <w:rPr>
          <w:iCs/>
          <w:i/>
        </w:rPr>
        <w:t xml:space="preserve">anesth</w:t>
      </w:r>
      <w:r>
        <w:rPr>
          <w:iCs/>
          <w:i/>
        </w:rPr>
        <w:t xml:space="preserve">é</w:t>
      </w:r>
      <w:r>
        <w:rPr>
          <w:iCs/>
          <w:i/>
        </w:rPr>
        <w:t xml:space="preserve">sie</w:t>
      </w:r>
      <w:r>
        <w:t xml:space="preserve">,</w:t>
      </w:r>
      <w:r>
        <w:t xml:space="preserve"> </w:t>
      </w:r>
      <w:r>
        <w:rPr>
          <w:iCs/>
          <w:i/>
        </w:rPr>
        <w:t xml:space="preserve">65</w:t>
      </w:r>
      <w:r>
        <w:t xml:space="preserve">(12), 1372–1384.</w:t>
      </w:r>
      <w:r>
        <w:t xml:space="preserve"> </w:t>
      </w:r>
      <w:hyperlink r:id="rId77">
        <w:r>
          <w:rPr>
            <w:rStyle w:val="Hyperlink"/>
          </w:rPr>
          <w:t xml:space="preserve">https://doi.org/10.1007/s12630-018-1230-z</w:t>
        </w:r>
      </w:hyperlink>
    </w:p>
    <w:bookmarkEnd w:id="78"/>
    <w:bookmarkStart w:id="80" w:name="ref-Gurlu2022"/>
    <w:p>
      <w:pPr>
        <w:pStyle w:val="Bibliography"/>
      </w:pPr>
      <w:r>
        <w:t xml:space="preserve">Gurlu, R., Tolu Kendir, O., Baspinar, O., &amp; Erkek, N. (2021). Can Non-Invasive Capnography and Integrated Pulmonary Index Contribute to Patient Monitoring in the Pediatric Emergency Department?</w:t>
      </w:r>
      <w:r>
        <w:t xml:space="preserve"> </w:t>
      </w:r>
      <w:r>
        <w:rPr>
          <w:iCs/>
          <w:i/>
        </w:rPr>
        <w:t xml:space="preserve">Klinische Pädiatrie</w:t>
      </w:r>
      <w:r>
        <w:t xml:space="preserve">,</w:t>
      </w:r>
      <w:r>
        <w:t xml:space="preserve"> </w:t>
      </w:r>
      <w:r>
        <w:rPr>
          <w:iCs/>
          <w:i/>
        </w:rPr>
        <w:t xml:space="preserve">234</w:t>
      </w:r>
      <w:r>
        <w:t xml:space="preserve">(01), 26–32.</w:t>
      </w:r>
      <w:r>
        <w:t xml:space="preserve"> </w:t>
      </w:r>
      <w:hyperlink r:id="rId79">
        <w:r>
          <w:rPr>
            <w:rStyle w:val="Hyperlink"/>
          </w:rPr>
          <w:t xml:space="preserve">https://doi.org/10.1055/a-1546-1473</w:t>
        </w:r>
      </w:hyperlink>
    </w:p>
    <w:bookmarkEnd w:id="80"/>
    <w:bookmarkStart w:id="82" w:name="ref-Hemming_2020"/>
    <w:p>
      <w:pPr>
        <w:pStyle w:val="Bibliography"/>
      </w:pPr>
      <w:r>
        <w:t xml:space="preserve">Hemming, K., Kasza, J., Hooper, R., Forbes, A., &amp; Taljaard, M. (2020). A tutorial on sample size calculation for multiple-period cluster randomized parallel, cross-over and stepped-wedge trials using the shiny</w:t>
      </w:r>
      <w:r>
        <w:t xml:space="preserve"> </w:t>
      </w:r>
      <w:r>
        <w:t xml:space="preserve">CRT</w:t>
      </w:r>
      <w:r>
        <w:t xml:space="preserve"> </w:t>
      </w:r>
      <w:r>
        <w:t xml:space="preserve">calculator.</w:t>
      </w:r>
      <w:r>
        <w:t xml:space="preserve"> </w:t>
      </w:r>
      <w:r>
        <w:rPr>
          <w:iCs/>
          <w:i/>
        </w:rPr>
        <w:t xml:space="preserve">International Journal of Epidemiology</w:t>
      </w:r>
      <w:r>
        <w:t xml:space="preserve">,</w:t>
      </w:r>
      <w:r>
        <w:t xml:space="preserve"> </w:t>
      </w:r>
      <w:r>
        <w:rPr>
          <w:iCs/>
          <w:i/>
        </w:rPr>
        <w:t xml:space="preserve">49</w:t>
      </w:r>
      <w:r>
        <w:t xml:space="preserve">(3), 979–995.</w:t>
      </w:r>
      <w:r>
        <w:t xml:space="preserve"> </w:t>
      </w:r>
      <w:hyperlink r:id="rId81">
        <w:r>
          <w:rPr>
            <w:rStyle w:val="Hyperlink"/>
          </w:rPr>
          <w:t xml:space="preserve">https://doi.org/10.1093/ije/dyz237</w:t>
        </w:r>
      </w:hyperlink>
    </w:p>
    <w:bookmarkEnd w:id="82"/>
    <w:bookmarkStart w:id="84" w:name="ref-Karaarslan2023"/>
    <w:p>
      <w:pPr>
        <w:pStyle w:val="Bibliography"/>
      </w:pPr>
      <w:r>
        <w:t xml:space="preserve">Karaarslan, F. N., Öztürk, Z. S., Işık, G. Ç., &amp; Çevik, Y. (2023). Value of integrated pulmonary index to predict exacerbation of chronic obstructive pulmonary Disease’s severity.</w:t>
      </w:r>
      <w:r>
        <w:t xml:space="preserve"> </w:t>
      </w:r>
      <w:r>
        <w:rPr>
          <w:iCs/>
          <w:i/>
        </w:rPr>
        <w:t xml:space="preserve">The American Journal of Emergency Medicine</w:t>
      </w:r>
      <w:r>
        <w:t xml:space="preserve">,</w:t>
      </w:r>
      <w:r>
        <w:t xml:space="preserve"> </w:t>
      </w:r>
      <w:r>
        <w:rPr>
          <w:iCs/>
          <w:i/>
        </w:rPr>
        <w:t xml:space="preserve">71</w:t>
      </w:r>
      <w:r>
        <w:t xml:space="preserve">, 54–58.</w:t>
      </w:r>
      <w:r>
        <w:t xml:space="preserve"> </w:t>
      </w:r>
      <w:hyperlink r:id="rId83">
        <w:r>
          <w:rPr>
            <w:rStyle w:val="Hyperlink"/>
          </w:rPr>
          <w:t xml:space="preserve">https://doi.org/10.1016/j.ajem.2023.05.043</w:t>
        </w:r>
      </w:hyperlink>
    </w:p>
    <w:bookmarkEnd w:id="84"/>
    <w:bookmarkStart w:id="86" w:name="ref-Kaur2021"/>
    <w:p>
      <w:pPr>
        <w:pStyle w:val="Bibliography"/>
      </w:pPr>
      <w:r>
        <w:t xml:space="preserve">Kaur, R., Vines, D. L., Patel, A. D., Lugo-Robles, R., &amp; Balk, R. A. (2021). Early Identification of Extubation Failure Using Integrated Pulmonary Index and High-Risk Factors.</w:t>
      </w:r>
      <w:r>
        <w:t xml:space="preserve"> </w:t>
      </w:r>
      <w:r>
        <w:rPr>
          <w:iCs/>
          <w:i/>
        </w:rPr>
        <w:t xml:space="preserve">Respiratory Care</w:t>
      </w:r>
      <w:r>
        <w:t xml:space="preserve">,</w:t>
      </w:r>
      <w:r>
        <w:t xml:space="preserve"> </w:t>
      </w:r>
      <w:r>
        <w:rPr>
          <w:iCs/>
          <w:i/>
        </w:rPr>
        <w:t xml:space="preserve">66</w:t>
      </w:r>
      <w:r>
        <w:t xml:space="preserve">(10), 1542–1548.</w:t>
      </w:r>
      <w:r>
        <w:t xml:space="preserve"> </w:t>
      </w:r>
      <w:hyperlink r:id="rId85">
        <w:r>
          <w:rPr>
            <w:rStyle w:val="Hyperlink"/>
          </w:rPr>
          <w:t xml:space="preserve">https://doi.org/10.4187/respcare.08656</w:t>
        </w:r>
      </w:hyperlink>
    </w:p>
    <w:bookmarkEnd w:id="86"/>
    <w:bookmarkStart w:id="87" w:name="ref-kuroe2021integrated"/>
    <w:p>
      <w:pPr>
        <w:pStyle w:val="Bibliography"/>
      </w:pPr>
      <w:r>
        <w:t xml:space="preserve">Kuroe, Y., Mihara, Y., Okahara, S., Ishii, K., Kanazawa, T., &amp; Morimatsu, H. (2021). Integrated pulmonary index can predict respiratory compromise in high-risk patients in the post-anesthesia care unit: A prospective, observational study.</w:t>
      </w:r>
      <w:r>
        <w:t xml:space="preserve"> </w:t>
      </w:r>
      <w:r>
        <w:rPr>
          <w:iCs/>
          <w:i/>
        </w:rPr>
        <w:t xml:space="preserve">BMC Anesthesiology</w:t>
      </w:r>
      <w:r>
        <w:t xml:space="preserve">,</w:t>
      </w:r>
      <w:r>
        <w:t xml:space="preserve"> </w:t>
      </w:r>
      <w:r>
        <w:rPr>
          <w:iCs/>
          <w:i/>
        </w:rPr>
        <w:t xml:space="preserve">21</w:t>
      </w:r>
      <w:r>
        <w:t xml:space="preserve">(1), 1–7.</w:t>
      </w:r>
    </w:p>
    <w:bookmarkEnd w:id="87"/>
    <w:bookmarkStart w:id="89" w:name="ref-Michael2021"/>
    <w:p>
      <w:pPr>
        <w:pStyle w:val="Bibliography"/>
      </w:pPr>
      <w:r>
        <w:t xml:space="preserve">Michael, F. A., Peveling-Oberhag, J., Herrmann, E., Zeuzem, S., Bojunga, J., &amp; Friedrich-Rust, M. (2020). Evaluation of the Integrated Pulmonary Index® during non-anesthesiologist sedation for percutaneous endoscopic gastrostomy.</w:t>
      </w:r>
      <w:r>
        <w:t xml:space="preserve"> </w:t>
      </w:r>
      <w:r>
        <w:rPr>
          <w:iCs/>
          <w:i/>
        </w:rPr>
        <w:t xml:space="preserve">Journal of Clinical Monitoring and Computing</w:t>
      </w:r>
      <w:r>
        <w:t xml:space="preserve">,</w:t>
      </w:r>
      <w:r>
        <w:t xml:space="preserve"> </w:t>
      </w:r>
      <w:r>
        <w:rPr>
          <w:iCs/>
          <w:i/>
        </w:rPr>
        <w:t xml:space="preserve">35</w:t>
      </w:r>
      <w:r>
        <w:t xml:space="preserve">(5), 1085–1092.</w:t>
      </w:r>
      <w:r>
        <w:t xml:space="preserve"> </w:t>
      </w:r>
      <w:hyperlink r:id="rId88">
        <w:r>
          <w:rPr>
            <w:rStyle w:val="Hyperlink"/>
          </w:rPr>
          <w:t xml:space="preserve">https://doi.org/10.1007/s10877-020-00563-2</w:t>
        </w:r>
      </w:hyperlink>
    </w:p>
    <w:bookmarkEnd w:id="89"/>
    <w:bookmarkStart w:id="91" w:name="ref-Niklewski2014"/>
    <w:p>
      <w:pPr>
        <w:pStyle w:val="Bibliography"/>
      </w:pPr>
      <w:r>
        <w:t xml:space="preserve">Niklewski, P. J., Phero, J. C., Martin, J. F., &amp; Lisco, S. J. (2014). A Novel Index of Hypoxemia for Assessment of Risk During Procedural Sedation.</w:t>
      </w:r>
      <w:r>
        <w:t xml:space="preserve"> </w:t>
      </w:r>
      <w:r>
        <w:rPr>
          <w:iCs/>
          <w:i/>
        </w:rPr>
        <w:t xml:space="preserve">Anesthesia &amp; Analgesia</w:t>
      </w:r>
      <w:r>
        <w:t xml:space="preserve">,</w:t>
      </w:r>
      <w:r>
        <w:t xml:space="preserve"> </w:t>
      </w:r>
      <w:r>
        <w:rPr>
          <w:iCs/>
          <w:i/>
        </w:rPr>
        <w:t xml:space="preserve">119</w:t>
      </w:r>
      <w:r>
        <w:t xml:space="preserve">(4), 848–856.</w:t>
      </w:r>
      <w:r>
        <w:t xml:space="preserve"> </w:t>
      </w:r>
      <w:hyperlink r:id="rId90">
        <w:r>
          <w:rPr>
            <w:rStyle w:val="Hyperlink"/>
          </w:rPr>
          <w:t xml:space="preserve">https://doi.org/10.1213/ane.0000000000000371</w:t>
        </w:r>
      </w:hyperlink>
    </w:p>
    <w:bookmarkEnd w:id="91"/>
    <w:bookmarkStart w:id="92" w:name="ref-riphaus2017clinical"/>
    <w:p>
      <w:pPr>
        <w:pStyle w:val="Bibliography"/>
      </w:pPr>
      <w:r>
        <w:t xml:space="preserve">Riphaus, A., Wehrmann, T., Kronshage, T., Geist, C., Pox, C. P., Heringlake, S., Schmiegel, W., Beitz, A., Meining, A., Müller, M., et al. (2017). Clinical value of the integrated pulmonary index</w:t>
      </w:r>
      <w:r>
        <w:t xml:space="preserve"> </w:t>
      </w:r>
      <w:r>
        <w:t xml:space="preserve">during sedation for interventional upper GI-endoscopy: A randomized, prospective tri-center study.</w:t>
      </w:r>
      <w:r>
        <w:t xml:space="preserve"> </w:t>
      </w:r>
      <w:r>
        <w:rPr>
          <w:iCs/>
          <w:i/>
        </w:rPr>
        <w:t xml:space="preserve">Digestive and Liver Disease</w:t>
      </w:r>
      <w:r>
        <w:t xml:space="preserve">,</w:t>
      </w:r>
      <w:r>
        <w:t xml:space="preserve"> </w:t>
      </w:r>
      <w:r>
        <w:rPr>
          <w:iCs/>
          <w:i/>
        </w:rPr>
        <w:t xml:space="preserve">49</w:t>
      </w:r>
      <w:r>
        <w:t xml:space="preserve">(1), 45–49.</w:t>
      </w:r>
    </w:p>
    <w:bookmarkEnd w:id="92"/>
    <w:bookmarkStart w:id="94" w:name="ref-GLMMadaptive"/>
    <w:p>
      <w:pPr>
        <w:pStyle w:val="Bibliography"/>
      </w:pPr>
      <w:r>
        <w:t xml:space="preserve">Rizopoulos, D. (2023).</w:t>
      </w:r>
      <w:r>
        <w:t xml:space="preserve"> </w:t>
      </w:r>
      <w:r>
        <w:rPr>
          <w:iCs/>
          <w:i/>
        </w:rPr>
        <w:t xml:space="preserve">GLMMadaptive: Generalized linear mixed models using adaptive gaussian quadrature</w:t>
      </w:r>
      <w:r>
        <w:t xml:space="preserve">.</w:t>
      </w:r>
      <w:r>
        <w:t xml:space="preserve"> </w:t>
      </w:r>
      <w:hyperlink r:id="rId93">
        <w:r>
          <w:rPr>
            <w:rStyle w:val="Hyperlink"/>
          </w:rPr>
          <w:t xml:space="preserve">https://CRAN.R-project.org/package=GLMMadaptive</w:t>
        </w:r>
      </w:hyperlink>
    </w:p>
    <w:bookmarkEnd w:id="94"/>
    <w:bookmarkStart w:id="96" w:name="ref-Roback_2018"/>
    <w:p>
      <w:pPr>
        <w:pStyle w:val="Bibliography"/>
      </w:pPr>
      <w:r>
        <w:t xml:space="preserve">Roback, M. G., Green, S. M., Andolfatto, G., Leroy, P. L., &amp; Mason, K. P. (2018). Tracking and reporting outcomes of procedural sedation (</w:t>
      </w:r>
      <w:r>
        <w:t xml:space="preserve">TROOPS</w:t>
      </w:r>
      <w:r>
        <w:t xml:space="preserve">): Standardized quality improvement and research tools from the international committee for the advancement of procedural sedation.</w:t>
      </w:r>
      <w:r>
        <w:t xml:space="preserve"> </w:t>
      </w:r>
      <w:r>
        <w:rPr>
          <w:iCs/>
          <w:i/>
        </w:rPr>
        <w:t xml:space="preserve">British Journal of Anaesthesia</w:t>
      </w:r>
      <w:r>
        <w:t xml:space="preserve">,</w:t>
      </w:r>
      <w:r>
        <w:t xml:space="preserve"> </w:t>
      </w:r>
      <w:r>
        <w:rPr>
          <w:iCs/>
          <w:i/>
        </w:rPr>
        <w:t xml:space="preserve">120</w:t>
      </w:r>
      <w:r>
        <w:t xml:space="preserve">(1), 164–172.</w:t>
      </w:r>
      <w:r>
        <w:t xml:space="preserve"> </w:t>
      </w:r>
      <w:hyperlink r:id="rId95">
        <w:r>
          <w:rPr>
            <w:rStyle w:val="Hyperlink"/>
          </w:rPr>
          <w:t xml:space="preserve">https://doi.org/10.1016/j.bja.2017.08.004</w:t>
        </w:r>
      </w:hyperlink>
    </w:p>
    <w:bookmarkEnd w:id="96"/>
    <w:bookmarkStart w:id="98" w:name="ref-Ronen_2016"/>
    <w:p>
      <w:pPr>
        <w:pStyle w:val="Bibliography"/>
      </w:pPr>
      <w:r>
        <w:t xml:space="preserve">Ronen, M., Weissbrod, R., Overdyk, F. J., &amp; Ajizian, S. (2016). Smart respiratory monitoring: Clinical development and validation of the</w:t>
      </w:r>
      <w:r>
        <w:t xml:space="preserve"> </w:t>
      </w:r>
      <w:r>
        <w:t xml:space="preserve">IPI</w:t>
      </w:r>
      <w:r>
        <w:t xml:space="preserve"> </w:t>
      </w:r>
      <w:r>
        <w:t xml:space="preserve">(integrated pulmonary index) algorithm.</w:t>
      </w:r>
      <w:r>
        <w:t xml:space="preserve"> </w:t>
      </w:r>
      <w:r>
        <w:rPr>
          <w:iCs/>
          <w:i/>
        </w:rPr>
        <w:t xml:space="preserve">Journal of Clinical Monitoring and Computing</w:t>
      </w:r>
      <w:r>
        <w:t xml:space="preserve">,</w:t>
      </w:r>
      <w:r>
        <w:t xml:space="preserve"> </w:t>
      </w:r>
      <w:r>
        <w:rPr>
          <w:iCs/>
          <w:i/>
        </w:rPr>
        <w:t xml:space="preserve">31</w:t>
      </w:r>
      <w:r>
        <w:t xml:space="preserve">(2), 435–442.</w:t>
      </w:r>
      <w:r>
        <w:t xml:space="preserve"> </w:t>
      </w:r>
      <w:hyperlink r:id="rId97">
        <w:r>
          <w:rPr>
            <w:rStyle w:val="Hyperlink"/>
          </w:rPr>
          <w:t xml:space="preserve">https://doi.org/10.1007/s10877-016-9851-7</w:t>
        </w:r>
      </w:hyperlink>
    </w:p>
    <w:bookmarkEnd w:id="98"/>
    <w:bookmarkStart w:id="99" w:name="ref-ruppel2018testing"/>
    <w:p>
      <w:pPr>
        <w:pStyle w:val="Bibliography"/>
      </w:pPr>
      <w:r>
        <w:t xml:space="preserve">Ruppel, H., De Vaux, L., Cooper, D., Kunz, S., Duller, B., &amp; Funk, M. (2018). Testing physiologic monitor alarm customization software to reduce alarm rates and improve nurses’ experience of alarms in a medical intensive care unit.</w:t>
      </w:r>
      <w:r>
        <w:t xml:space="preserve"> </w:t>
      </w:r>
      <w:r>
        <w:rPr>
          <w:iCs/>
          <w:i/>
        </w:rPr>
        <w:t xml:space="preserve">PloS One</w:t>
      </w:r>
      <w:r>
        <w:t xml:space="preserve">,</w:t>
      </w:r>
      <w:r>
        <w:t xml:space="preserve"> </w:t>
      </w:r>
      <w:r>
        <w:rPr>
          <w:iCs/>
          <w:i/>
        </w:rPr>
        <w:t xml:space="preserve">13</w:t>
      </w:r>
      <w:r>
        <w:t xml:space="preserve">(10), e0205901.</w:t>
      </w:r>
    </w:p>
    <w:bookmarkEnd w:id="99"/>
    <w:bookmarkStart w:id="100" w:name="ref-ruppel2019critical"/>
    <w:p>
      <w:pPr>
        <w:pStyle w:val="Bibliography"/>
      </w:pPr>
      <w:r>
        <w:t xml:space="preserve">Ruppel, H., Funk, M., Whittemore, R., Wung, S.-F., Bonafide, C. P., &amp; Powell Kennedy, H. (2019). Critical care nurses’ clinical reasoning about physiologic monitor alarm customisation: An interpretive descriptive study.</w:t>
      </w:r>
      <w:r>
        <w:t xml:space="preserve"> </w:t>
      </w:r>
      <w:r>
        <w:rPr>
          <w:iCs/>
          <w:i/>
        </w:rPr>
        <w:t xml:space="preserve">Journal of Clinical Nursing</w:t>
      </w:r>
      <w:r>
        <w:t xml:space="preserve">,</w:t>
      </w:r>
      <w:r>
        <w:t xml:space="preserve"> </w:t>
      </w:r>
      <w:r>
        <w:rPr>
          <w:iCs/>
          <w:i/>
        </w:rPr>
        <w:t xml:space="preserve">28</w:t>
      </w:r>
      <w:r>
        <w:t xml:space="preserve">(15-16), 3033–3041.</w:t>
      </w:r>
    </w:p>
    <w:bookmarkEnd w:id="100"/>
    <w:bookmarkStart w:id="102" w:name="ref-van2021"/>
    <w:p>
      <w:pPr>
        <w:pStyle w:val="Bibliography"/>
      </w:pPr>
      <w:r>
        <w:t xml:space="preserve">Schaik, E. P. C. van, Blankman, P., Van Klei, W. A., Knape, H. J. T. A., Vaessen, P. H. H. B., Braithwaite, S. A., Wolfswinkel, L. van, &amp; Schellekens, W.-J. M. (2021). Hypoxemia during procedural sedation in adult patients: a retrospective observational study.</w:t>
      </w:r>
      <w:r>
        <w:t xml:space="preserve"> </w:t>
      </w:r>
      <w:r>
        <w:rPr>
          <w:iCs/>
          <w:i/>
        </w:rPr>
        <w:t xml:space="preserve">Canadian Journal of Anesthesia/Journal Canadien d’anesthésie</w:t>
      </w:r>
      <w:r>
        <w:t xml:space="preserve">,</w:t>
      </w:r>
      <w:r>
        <w:t xml:space="preserve"> </w:t>
      </w:r>
      <w:r>
        <w:rPr>
          <w:iCs/>
          <w:i/>
        </w:rPr>
        <w:t xml:space="preserve">68</w:t>
      </w:r>
      <w:r>
        <w:t xml:space="preserve">(9), 1349–1357.</w:t>
      </w:r>
      <w:r>
        <w:t xml:space="preserve"> </w:t>
      </w:r>
      <w:hyperlink r:id="rId101">
        <w:r>
          <w:rPr>
            <w:rStyle w:val="Hyperlink"/>
          </w:rPr>
          <w:t xml:space="preserve">https://doi.org/10.1007/s12630-021-01992-6</w:t>
        </w:r>
      </w:hyperlink>
    </w:p>
    <w:bookmarkEnd w:id="102"/>
    <w:bookmarkStart w:id="103" w:name="ref-sendelbach2013alarm"/>
    <w:p>
      <w:pPr>
        <w:pStyle w:val="Bibliography"/>
      </w:pPr>
      <w:r>
        <w:t xml:space="preserve">Sendelbach, S., &amp; Funk, M. (2013). Alarm fatigue: A patient safety concern.</w:t>
      </w:r>
      <w:r>
        <w:t xml:space="preserve"> </w:t>
      </w:r>
      <w:r>
        <w:rPr>
          <w:iCs/>
          <w:i/>
        </w:rPr>
        <w:t xml:space="preserve">AACN Advanced Critical Care</w:t>
      </w:r>
      <w:r>
        <w:t xml:space="preserve">,</w:t>
      </w:r>
      <w:r>
        <w:t xml:space="preserve"> </w:t>
      </w:r>
      <w:r>
        <w:rPr>
          <w:iCs/>
          <w:i/>
        </w:rPr>
        <w:t xml:space="preserve">24</w:t>
      </w:r>
      <w:r>
        <w:t xml:space="preserve">(4), 378–386.</w:t>
      </w:r>
    </w:p>
    <w:bookmarkEnd w:id="103"/>
    <w:bookmarkStart w:id="104" w:name="ref-ward2018evaluating"/>
    <w:p>
      <w:pPr>
        <w:pStyle w:val="Bibliography"/>
      </w:pPr>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w:t>
      </w:r>
      <w:r>
        <w:t xml:space="preserve"> </w:t>
      </w:r>
      <w:r>
        <w:rPr>
          <w:iCs/>
          <w:i/>
        </w:rPr>
        <w:t xml:space="preserve">Anesthesia &amp; Analgesia</w:t>
      </w:r>
      <w:r>
        <w:t xml:space="preserve">.</w:t>
      </w:r>
    </w:p>
    <w:bookmarkEnd w:id="104"/>
    <w:bookmarkEnd w:id="105"/>
    <w:p>
      <w:r>
        <w:br w:type="page"/>
      </w:r>
    </w:p>
    <w:p>
      <w:pPr>
        <w:pStyle w:val="BodyText"/>
      </w:pPr>
      <w:r>
        <w:drawing>
          <wp:inline>
            <wp:extent cx="5943600" cy="5715722"/>
            <wp:effectExtent b="0" l="0" r="0" t="0"/>
            <wp:docPr descr="" title="" id="107" name="Picture"/>
            <a:graphic>
              <a:graphicData uri="http://schemas.openxmlformats.org/drawingml/2006/picture">
                <pic:pic>
                  <pic:nvPicPr>
                    <pic:cNvPr descr="consort.png" id="108" name="Picture"/>
                    <pic:cNvPicPr>
                      <a:picLocks noChangeArrowheads="1" noChangeAspect="1"/>
                    </pic:cNvPicPr>
                  </pic:nvPicPr>
                  <pic:blipFill>
                    <a:blip r:embed="rId106"/>
                    <a:stretch>
                      <a:fillRect/>
                    </a:stretch>
                  </pic:blipFill>
                  <pic:spPr bwMode="auto">
                    <a:xfrm>
                      <a:off x="0" y="0"/>
                      <a:ext cx="5943600" cy="5715722"/>
                    </a:xfrm>
                    <a:prstGeom prst="rect">
                      <a:avLst/>
                    </a:prstGeom>
                    <a:noFill/>
                    <a:ln w="9525">
                      <a:noFill/>
                      <a:headEnd/>
                      <a:tailEnd/>
                    </a:ln>
                  </pic:spPr>
                </pic:pic>
              </a:graphicData>
            </a:graphic>
          </wp:inline>
        </w:drawing>
      </w:r>
    </w:p>
    <w:p>
      <w:pPr>
        <w:pStyle w:val="BodyText"/>
      </w:pPr>
      <w:r>
        <w:rPr>
          <w:bCs/>
          <w:b/>
        </w:rPr>
        <w:t xml:space="preserve">Figure 2. CONSORT diagram</w:t>
      </w:r>
    </w:p>
    <w:p>
      <w:r>
        <w:br w:type="page"/>
      </w:r>
    </w:p>
    <w:p>
      <w:pPr>
        <w:pStyle w:val="BodyText"/>
      </w:pPr>
      <w:r>
        <w:drawing>
          <wp:inline>
            <wp:extent cx="5943600" cy="5943600"/>
            <wp:effectExtent b="0" l="0" r="0" t="0"/>
            <wp:docPr descr="" title="" id="110" name="Picture"/>
            <a:graphic>
              <a:graphicData uri="http://schemas.openxmlformats.org/drawingml/2006/picture">
                <pic:pic>
                  <pic:nvPicPr>
                    <pic:cNvPr descr="primary.svg" id="11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9"/>
                        </a:ext>
                      </a:extLst>
                    </a:blip>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rPr>
          <w:bCs/>
          <w:b/>
        </w:rPr>
        <w:t xml:space="preserve">Figure 2. Number of seconds in an alert state condition without intervention</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 Sample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848"/>
        <w:gridCol w:w="2532"/>
        <w:gridCol w:w="2471"/>
      </w:tblGrid>
      <w:tr>
        <w:trPr>
          <w:trHeight w:val="601"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disabled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175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IPI enabled</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215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 (years)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 (50, 72)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 (55, 71)</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 (39%)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129 (61%)</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midazolam (mg)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1.00 (1.00, 2.00)</w:t>
            </w:r>
          </w:p>
        </w:tc>
      </w:tr>
      <w:tr>
        <w:trPr>
          <w:trHeight w:val="62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fentanyl (mcg)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(50,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75 (50, 100)</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device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(0.9%)</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nasal prongs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173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 (99%)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duration (minutes)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(20,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(17, 53)</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Procedure 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Abdominal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(3.7%)</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Angiogram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(15%)</w:t>
            </w:r>
          </w:p>
        </w:tc>
      </w:tr>
      <w:tr>
        <w:trPr>
          <w:trHeight w:val="61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Angioplasty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(7.4%)</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Biopsy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Central venous cannula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(5.6%)</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Embolization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 (14%)</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Fistula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(1.4%)</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Gastric tube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 (20%)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Hemodialysis 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 (5.1%)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 (16%)</w:t>
            </w:r>
          </w:p>
        </w:tc>
      </w:tr>
      <w:tr>
        <w:trPr>
          <w:trHeight w:val="618"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Percutaneous transhepatic cholangio drain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(2.8%)</w:t>
            </w:r>
          </w:p>
        </w:tc>
      </w:tr>
      <w:tr>
        <w:trPr>
          <w:trHeight w:val="617" w:hRule="auto"/>
        </w:trPr>
        body24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Pulmonary angiogram</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 (0%)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(0.5%)</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Median (IQR); n (%)</w:t>
            </w:r>
          </w:p>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 Alarm settings used by nurses during the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threshold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threshold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Pulse rate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 beats per minute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120 beats per minute</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Respiratory rate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breaths per minute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 breaths per minute</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End-tidal carbon dioxide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mmHg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mmHg</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Oxygen saturation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breath detected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 seconds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Integrated pulmonary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3. Alarm performance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Negative binomial component</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Zero component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Outcome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ICC</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Total alarm duration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0.96 to 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0.56 to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appropriate alarms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 to 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 to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Number of inappropriate alarms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 to 122.95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to 20945.51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&lt;0.01</w:t>
            </w:r>
          </w:p>
        </w:tc>
      </w:tr>
      <w:tr>
        <w:trPr>
          <w:trHeight w:val="360" w:hRule="auto"/>
        </w:trPr>
        footer1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OR = Odds ratio; IRR = Incidence rate ratio; ICC = Intra-cluster correlation</w:t>
            </w:r>
          </w:p>
        </w:tc>
      </w:tr>
    </w:tbl>
    <w:bookmarkEnd w:id="112"/>
    <w:sectPr w:rsidR="00CB358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94D2E2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46983454"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57159"/>
    <w:pPr>
      <w:spacing w:line="480" w:lineRule="auto"/>
    </w:pPr>
    <w:rPr>
      <w:rFonts w:ascii="Calibri" w:hAnsi="Calibri"/>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DE7F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9" Target="media/rId109.svgz" /><Relationship Type="http://schemas.openxmlformats.org/officeDocument/2006/relationships/hyperlink" Id="rId93" Target="https://CRAN.R-project.org/package=GLMMadaptive" TargetMode="External" /><Relationship Type="http://schemas.openxmlformats.org/officeDocument/2006/relationships/hyperlink" Id="rId97" Target="https://doi.org/10.1007/s10877-016-9851-7" TargetMode="External" /><Relationship Type="http://schemas.openxmlformats.org/officeDocument/2006/relationships/hyperlink" Id="rId88"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7" Target="https://doi.org/10.1007/s12630-018-1230-z" TargetMode="External" /><Relationship Type="http://schemas.openxmlformats.org/officeDocument/2006/relationships/hyperlink" Id="rId101" Target="https://doi.org/10.1007/s12630-021-01992-6" TargetMode="External" /><Relationship Type="http://schemas.openxmlformats.org/officeDocument/2006/relationships/hyperlink" Id="rId83" Target="https://doi.org/10.1016/j.ajem.2023.05.043" TargetMode="External" /><Relationship Type="http://schemas.openxmlformats.org/officeDocument/2006/relationships/hyperlink" Id="rId72" Target="https://doi.org/10.1016/j.aucc.2013.05.003" TargetMode="External" /><Relationship Type="http://schemas.openxmlformats.org/officeDocument/2006/relationships/hyperlink" Id="rId95" Target="https://doi.org/10.1016/j.bja.2017.08.004" TargetMode="External" /><Relationship Type="http://schemas.openxmlformats.org/officeDocument/2006/relationships/hyperlink" Id="rId79" Target="https://doi.org/10.1055/a-1546-1473" TargetMode="External" /><Relationship Type="http://schemas.openxmlformats.org/officeDocument/2006/relationships/hyperlink" Id="rId81"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4"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70" Target="https://doi.org/10.1111/jan.12337" TargetMode="External" /><Relationship Type="http://schemas.openxmlformats.org/officeDocument/2006/relationships/hyperlink" Id="rId90" Target="https://doi.org/10.1213/ane.0000000000000371" TargetMode="External" /><Relationship Type="http://schemas.openxmlformats.org/officeDocument/2006/relationships/hyperlink" Id="rId85" Target="https://doi.org/10.4187/respcare.08656" TargetMode="External" /><Relationship Type="http://schemas.openxmlformats.org/officeDocument/2006/relationships/hyperlink" Id="rId20" Target="mailto:aaron.conway@utoronto.ca" TargetMode="External" /></Relationships>
</file>

<file path=word/_rels/footnotes.xml.rels><?xml version="1.0" encoding="UTF-8"?><Relationships xmlns="http://schemas.openxmlformats.org/package/2006/relationships"><Relationship Type="http://schemas.openxmlformats.org/officeDocument/2006/relationships/hyperlink" Id="rId93" Target="https://CRAN.R-project.org/package=GLMMadaptive" TargetMode="External" /><Relationship Type="http://schemas.openxmlformats.org/officeDocument/2006/relationships/hyperlink" Id="rId97" Target="https://doi.org/10.1007/s10877-016-9851-7" TargetMode="External" /><Relationship Type="http://schemas.openxmlformats.org/officeDocument/2006/relationships/hyperlink" Id="rId88" Target="https://doi.org/10.1007/s10877-020-00563-2" TargetMode="External" /><Relationship Type="http://schemas.openxmlformats.org/officeDocument/2006/relationships/hyperlink" Id="rId61" Target="https://doi.org/10.1007/s10877-020-00564-1" TargetMode="External" /><Relationship Type="http://schemas.openxmlformats.org/officeDocument/2006/relationships/hyperlink" Id="rId77" Target="https://doi.org/10.1007/s12630-018-1230-z" TargetMode="External" /><Relationship Type="http://schemas.openxmlformats.org/officeDocument/2006/relationships/hyperlink" Id="rId101" Target="https://doi.org/10.1007/s12630-021-01992-6" TargetMode="External" /><Relationship Type="http://schemas.openxmlformats.org/officeDocument/2006/relationships/hyperlink" Id="rId83" Target="https://doi.org/10.1016/j.ajem.2023.05.043" TargetMode="External" /><Relationship Type="http://schemas.openxmlformats.org/officeDocument/2006/relationships/hyperlink" Id="rId72" Target="https://doi.org/10.1016/j.aucc.2013.05.003" TargetMode="External" /><Relationship Type="http://schemas.openxmlformats.org/officeDocument/2006/relationships/hyperlink" Id="rId95" Target="https://doi.org/10.1016/j.bja.2017.08.004" TargetMode="External" /><Relationship Type="http://schemas.openxmlformats.org/officeDocument/2006/relationships/hyperlink" Id="rId79" Target="https://doi.org/10.1055/a-1546-1473" TargetMode="External" /><Relationship Type="http://schemas.openxmlformats.org/officeDocument/2006/relationships/hyperlink" Id="rId81" Target="https://doi.org/10.1093/ije/dyz237" TargetMode="External" /><Relationship Type="http://schemas.openxmlformats.org/officeDocument/2006/relationships/hyperlink" Id="rId64" Target="https://doi.org/10.1097/eja.0000000000001458" TargetMode="External" /><Relationship Type="http://schemas.openxmlformats.org/officeDocument/2006/relationships/hyperlink" Id="rId74" Target="https://doi.org/10.1097/mlr.0b013e3182408812" TargetMode="External" /><Relationship Type="http://schemas.openxmlformats.org/officeDocument/2006/relationships/hyperlink" Id="rId66" Target="https://doi.org/10.1111/anae.13378" TargetMode="External" /><Relationship Type="http://schemas.openxmlformats.org/officeDocument/2006/relationships/hyperlink" Id="rId70" Target="https://doi.org/10.1111/jan.12337" TargetMode="External" /><Relationship Type="http://schemas.openxmlformats.org/officeDocument/2006/relationships/hyperlink" Id="rId90" Target="https://doi.org/10.1213/ane.0000000000000371" TargetMode="External" /><Relationship Type="http://schemas.openxmlformats.org/officeDocument/2006/relationships/hyperlink" Id="rId85" Target="https://doi.org/10.4187/respcare.08656" TargetMode="External" /><Relationship Type="http://schemas.openxmlformats.org/officeDocument/2006/relationships/hyperlink" Id="rId20" Target="mailto:aaron.conway@utoronto.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and Sebastian Mafled6</dc:creator>
  <cp:keywords/>
  <dcterms:created xsi:type="dcterms:W3CDTF">2023-11-30T03:19:25Z</dcterms:created>
  <dcterms:modified xsi:type="dcterms:W3CDTF">2023-11-30T03:19:25Z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