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090BC" w14:textId="0FF00EE6" w:rsidR="008F38A6" w:rsidRPr="00324F7A" w:rsidRDefault="0014685E" w:rsidP="008F38A6">
      <w:pPr>
        <w:pStyle w:val="Heading2"/>
        <w:rPr>
          <w:rFonts w:ascii="Arial" w:eastAsia="Times New Roman" w:hAnsi="Arial" w:cs="Arial"/>
        </w:rPr>
      </w:pPr>
      <w:bookmarkStart w:id="0" w:name="SOF-02"/>
      <w:bookmarkEnd w:id="0"/>
      <w:r>
        <w:rPr>
          <w:rFonts w:ascii="Arial" w:eastAsia="Times New Roman" w:hAnsi="Arial" w:cs="Arial"/>
        </w:rPr>
        <w:t>Table 3.</w:t>
      </w:r>
      <w:r w:rsidR="008F38A6" w:rsidRPr="00324F7A">
        <w:rPr>
          <w:rFonts w:ascii="Arial" w:eastAsia="Times New Roman" w:hAnsi="Arial" w:cs="Arial"/>
        </w:rPr>
        <w:t xml:space="preserve"> Oral midazolam compared to oral chloral </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682"/>
        <w:gridCol w:w="1353"/>
        <w:gridCol w:w="2091"/>
        <w:gridCol w:w="1528"/>
        <w:gridCol w:w="1683"/>
        <w:gridCol w:w="1508"/>
        <w:gridCol w:w="2539"/>
      </w:tblGrid>
      <w:tr w:rsidR="008F38A6" w:rsidRPr="00324F7A" w14:paraId="11C54734"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277D6CD7" w14:textId="77777777" w:rsidR="008F38A6" w:rsidRPr="00324F7A" w:rsidRDefault="008F38A6" w:rsidP="009778A9">
            <w:pPr>
              <w:rPr>
                <w:rFonts w:ascii="Arial" w:hAnsi="Arial" w:cs="Arial"/>
                <w:sz w:val="27"/>
                <w:szCs w:val="27"/>
              </w:rPr>
            </w:pPr>
            <w:r w:rsidRPr="00324F7A">
              <w:rPr>
                <w:rFonts w:ascii="Arial" w:hAnsi="Arial" w:cs="Arial"/>
                <w:b/>
                <w:bCs/>
                <w:sz w:val="27"/>
                <w:szCs w:val="27"/>
              </w:rPr>
              <w:t>Oral midazolam compared to chloral hydrate for sedation before procedures</w:t>
            </w:r>
          </w:p>
        </w:tc>
      </w:tr>
      <w:tr w:rsidR="008F38A6" w:rsidRPr="00324F7A" w14:paraId="11172FBA"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58495A39" w14:textId="77777777" w:rsidR="008F38A6" w:rsidRPr="00324F7A" w:rsidRDefault="008F38A6" w:rsidP="009778A9">
            <w:pPr>
              <w:rPr>
                <w:rFonts w:ascii="Arial" w:hAnsi="Arial" w:cs="Arial"/>
                <w:sz w:val="27"/>
                <w:szCs w:val="27"/>
              </w:rPr>
            </w:pPr>
            <w:r w:rsidRPr="00324F7A">
              <w:rPr>
                <w:rFonts w:ascii="Arial" w:hAnsi="Arial" w:cs="Arial"/>
                <w:b/>
                <w:bCs/>
                <w:sz w:val="27"/>
                <w:szCs w:val="27"/>
              </w:rPr>
              <w:t>Patient or population:</w:t>
            </w:r>
            <w:r w:rsidRPr="00324F7A">
              <w:rPr>
                <w:rFonts w:ascii="Arial" w:hAnsi="Arial" w:cs="Arial"/>
                <w:sz w:val="27"/>
                <w:szCs w:val="27"/>
              </w:rPr>
              <w:t xml:space="preserve"> Children requiring sedation before procedures that require motion control, including echocardiography, lumbar puncture, micturating cystourethrograms, and neuroimaging</w:t>
            </w:r>
            <w:r w:rsidRPr="00324F7A">
              <w:rPr>
                <w:rFonts w:ascii="Arial" w:hAnsi="Arial" w:cs="Arial"/>
                <w:sz w:val="27"/>
                <w:szCs w:val="27"/>
              </w:rPr>
              <w:br/>
            </w:r>
            <w:r w:rsidRPr="00324F7A">
              <w:rPr>
                <w:rFonts w:ascii="Arial" w:hAnsi="Arial" w:cs="Arial"/>
                <w:b/>
                <w:bCs/>
                <w:sz w:val="27"/>
                <w:szCs w:val="27"/>
              </w:rPr>
              <w:t xml:space="preserve">Settings: </w:t>
            </w:r>
            <w:r w:rsidRPr="00324F7A">
              <w:rPr>
                <w:rFonts w:ascii="Arial" w:hAnsi="Arial" w:cs="Arial"/>
                <w:sz w:val="27"/>
                <w:szCs w:val="27"/>
              </w:rPr>
              <w:t>Paediatric ICU in USA, emergency departments in USA and Iran and Medical Imaging department in Turkey</w:t>
            </w:r>
            <w:r w:rsidRPr="00324F7A">
              <w:rPr>
                <w:rFonts w:ascii="Arial" w:hAnsi="Arial" w:cs="Arial"/>
                <w:sz w:val="27"/>
                <w:szCs w:val="27"/>
              </w:rPr>
              <w:br/>
            </w:r>
            <w:r w:rsidRPr="00324F7A">
              <w:rPr>
                <w:rFonts w:ascii="Arial" w:hAnsi="Arial" w:cs="Arial"/>
                <w:b/>
                <w:bCs/>
                <w:sz w:val="27"/>
                <w:szCs w:val="27"/>
              </w:rPr>
              <w:t>Intervention:</w:t>
            </w:r>
            <w:r w:rsidRPr="00324F7A">
              <w:rPr>
                <w:rFonts w:ascii="Arial" w:hAnsi="Arial" w:cs="Arial"/>
                <w:sz w:val="27"/>
                <w:szCs w:val="27"/>
              </w:rPr>
              <w:t xml:space="preserve"> Oral midazolam</w:t>
            </w:r>
            <w:r w:rsidRPr="00324F7A">
              <w:rPr>
                <w:rFonts w:ascii="Arial" w:hAnsi="Arial" w:cs="Arial"/>
                <w:sz w:val="27"/>
                <w:szCs w:val="27"/>
              </w:rPr>
              <w:br/>
            </w:r>
            <w:r w:rsidRPr="00324F7A">
              <w:rPr>
                <w:rFonts w:ascii="Arial" w:hAnsi="Arial" w:cs="Arial"/>
                <w:b/>
                <w:bCs/>
                <w:sz w:val="27"/>
                <w:szCs w:val="27"/>
              </w:rPr>
              <w:t xml:space="preserve">Comparison: </w:t>
            </w:r>
            <w:r w:rsidRPr="00324F7A">
              <w:rPr>
                <w:rFonts w:ascii="Arial" w:hAnsi="Arial" w:cs="Arial"/>
                <w:sz w:val="27"/>
                <w:szCs w:val="27"/>
              </w:rPr>
              <w:t>Oral chloral hydrate</w:t>
            </w:r>
          </w:p>
        </w:tc>
      </w:tr>
      <w:tr w:rsidR="008F38A6" w:rsidRPr="00324F7A" w14:paraId="175D310E" w14:textId="77777777" w:rsidTr="009778A9">
        <w:trPr>
          <w:tblCellSpacing w:w="15" w:type="dxa"/>
        </w:trPr>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418E9F14"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Outcomes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E0E0E0"/>
            <w:hideMark/>
          </w:tcPr>
          <w:p w14:paraId="17799810"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Illustrative comparative risks* (95%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2ECB5077"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Relative effect</w:t>
            </w:r>
            <w:r w:rsidRPr="00324F7A">
              <w:rPr>
                <w:rFonts w:ascii="Arial" w:hAnsi="Arial" w:cs="Arial"/>
                <w:b/>
                <w:bCs/>
                <w:sz w:val="27"/>
                <w:szCs w:val="27"/>
              </w:rPr>
              <w:br/>
              <w:t>(95%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48DAB6FA"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No of Participants</w:t>
            </w:r>
            <w:r w:rsidRPr="00324F7A">
              <w:rPr>
                <w:rFonts w:ascii="Arial" w:hAnsi="Arial" w:cs="Arial"/>
                <w:b/>
                <w:bCs/>
                <w:sz w:val="27"/>
                <w:szCs w:val="27"/>
              </w:rPr>
              <w:br/>
              <w:t>(studies)</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09AA752F"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Quality of the evidence</w:t>
            </w:r>
            <w:r w:rsidRPr="00324F7A">
              <w:rPr>
                <w:rFonts w:ascii="Arial" w:hAnsi="Arial" w:cs="Arial"/>
                <w:b/>
                <w:bCs/>
                <w:sz w:val="27"/>
                <w:szCs w:val="27"/>
              </w:rPr>
              <w:br/>
              <w:t>(GRADE)</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6B5E2FD0"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Comments</w:t>
            </w:r>
          </w:p>
        </w:tc>
      </w:tr>
      <w:tr w:rsidR="008F38A6" w:rsidRPr="00324F7A" w14:paraId="012CEA01"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D2FAE8A" w14:textId="77777777" w:rsidR="008F38A6" w:rsidRPr="00324F7A" w:rsidRDefault="008F38A6"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5947D6C6"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Assumed risk</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34074079"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Corresponding risk</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54133EE"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0172005D"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0D84AD88"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601E14C" w14:textId="77777777" w:rsidR="008F38A6" w:rsidRPr="00324F7A" w:rsidRDefault="008F38A6" w:rsidP="009778A9">
            <w:pPr>
              <w:rPr>
                <w:rFonts w:ascii="Arial" w:hAnsi="Arial" w:cs="Arial"/>
                <w:b/>
                <w:bCs/>
                <w:sz w:val="27"/>
                <w:szCs w:val="27"/>
              </w:rPr>
            </w:pPr>
          </w:p>
        </w:tc>
      </w:tr>
      <w:tr w:rsidR="008F38A6" w:rsidRPr="00324F7A" w14:paraId="3DC6DD9C"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319EBCD" w14:textId="77777777" w:rsidR="008F38A6" w:rsidRPr="00324F7A" w:rsidRDefault="008F38A6"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0477DD3C"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Chloral hydrate</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056F09E6" w14:textId="77777777" w:rsidR="008F38A6" w:rsidRPr="00324F7A" w:rsidRDefault="008F38A6" w:rsidP="009778A9">
            <w:pPr>
              <w:pStyle w:val="NormalWeb"/>
              <w:rPr>
                <w:rFonts w:ascii="Arial" w:hAnsi="Arial" w:cs="Arial"/>
                <w:b/>
                <w:bCs/>
                <w:sz w:val="27"/>
                <w:szCs w:val="27"/>
              </w:rPr>
            </w:pPr>
            <w:r w:rsidRPr="00324F7A">
              <w:rPr>
                <w:rFonts w:ascii="Arial" w:hAnsi="Arial" w:cs="Arial"/>
                <w:b/>
                <w:bCs/>
                <w:sz w:val="27"/>
                <w:szCs w:val="27"/>
              </w:rPr>
              <w:t>Oral midazolam</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0FDB7624"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14FFA09"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2438213F" w14:textId="77777777" w:rsidR="008F38A6" w:rsidRPr="00324F7A" w:rsidRDefault="008F38A6"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8603466" w14:textId="77777777" w:rsidR="008F38A6" w:rsidRPr="00324F7A" w:rsidRDefault="008F38A6" w:rsidP="009778A9">
            <w:pPr>
              <w:rPr>
                <w:rFonts w:ascii="Arial" w:hAnsi="Arial" w:cs="Arial"/>
                <w:b/>
                <w:bCs/>
                <w:sz w:val="27"/>
                <w:szCs w:val="27"/>
              </w:rPr>
            </w:pPr>
          </w:p>
        </w:tc>
      </w:tr>
      <w:tr w:rsidR="008F38A6" w:rsidRPr="00324F7A" w14:paraId="0C901610"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11307820" w14:textId="77777777" w:rsidR="008F38A6" w:rsidRPr="00324F7A" w:rsidRDefault="008F38A6" w:rsidP="009778A9">
            <w:pPr>
              <w:rPr>
                <w:rFonts w:ascii="Arial" w:hAnsi="Arial" w:cs="Arial"/>
                <w:sz w:val="27"/>
                <w:szCs w:val="27"/>
              </w:rPr>
            </w:pPr>
            <w:r w:rsidRPr="00324F7A">
              <w:rPr>
                <w:rFonts w:ascii="Arial" w:hAnsi="Arial" w:cs="Arial"/>
                <w:b/>
                <w:bCs/>
                <w:sz w:val="27"/>
                <w:szCs w:val="27"/>
              </w:rPr>
              <w:t>Level of sedation on sedation assessment scale</w:t>
            </w:r>
          </w:p>
          <w:p w14:paraId="0B7D1DEC" w14:textId="77777777" w:rsidR="008F38A6" w:rsidRPr="00324F7A" w:rsidRDefault="0014685E" w:rsidP="009778A9">
            <w:pPr>
              <w:rPr>
                <w:rFonts w:ascii="Arial" w:hAnsi="Arial" w:cs="Arial"/>
                <w:sz w:val="27"/>
                <w:szCs w:val="27"/>
              </w:rPr>
            </w:pPr>
            <w:hyperlink w:anchor="STD-Derakhshanfar-2013" w:history="1">
              <w:proofErr w:type="spellStart"/>
              <w:r w:rsidR="008F38A6" w:rsidRPr="00324F7A">
                <w:rPr>
                  <w:rStyle w:val="Hyperlink"/>
                  <w:rFonts w:ascii="Arial" w:hAnsi="Arial" w:cs="Arial"/>
                  <w:color w:val="auto"/>
                  <w:sz w:val="27"/>
                  <w:szCs w:val="27"/>
                </w:rPr>
                <w:t>Derakhshanfar</w:t>
              </w:r>
              <w:proofErr w:type="spellEnd"/>
              <w:r w:rsidR="008F38A6" w:rsidRPr="00324F7A">
                <w:rPr>
                  <w:rStyle w:val="Hyperlink"/>
                  <w:rFonts w:ascii="Arial" w:hAnsi="Arial" w:cs="Arial"/>
                  <w:color w:val="auto"/>
                  <w:sz w:val="27"/>
                  <w:szCs w:val="27"/>
                </w:rPr>
                <w:t xml:space="preserve"> 2013</w:t>
              </w:r>
            </w:hyperlink>
            <w:r w:rsidR="008F38A6" w:rsidRPr="00324F7A">
              <w:rPr>
                <w:rFonts w:ascii="Arial" w:hAnsi="Arial" w:cs="Arial"/>
                <w:sz w:val="27"/>
                <w:szCs w:val="27"/>
              </w:rPr>
              <w:t xml:space="preserve"> reported the number of patients reaching moderate sedation on Wheeler's sedation scale and </w:t>
            </w:r>
            <w:hyperlink w:anchor="STD-Salehi-2017" w:history="1">
              <w:r w:rsidR="008F38A6" w:rsidRPr="00324F7A">
                <w:rPr>
                  <w:rStyle w:val="Hyperlink"/>
                  <w:rFonts w:ascii="Arial" w:hAnsi="Arial" w:cs="Arial"/>
                  <w:color w:val="auto"/>
                  <w:sz w:val="27"/>
                  <w:szCs w:val="27"/>
                </w:rPr>
                <w:t>Salehi 2017</w:t>
              </w:r>
            </w:hyperlink>
            <w:r w:rsidR="008F38A6" w:rsidRPr="00324F7A">
              <w:rPr>
                <w:rFonts w:ascii="Arial" w:hAnsi="Arial" w:cs="Arial"/>
                <w:sz w:val="27"/>
                <w:szCs w:val="27"/>
              </w:rPr>
              <w:t> reported the number of patients reaching moderate sedation on the RASS scale. </w:t>
            </w:r>
          </w:p>
        </w:tc>
        <w:tc>
          <w:tcPr>
            <w:tcW w:w="0" w:type="auto"/>
            <w:tcBorders>
              <w:top w:val="single" w:sz="6" w:space="0" w:color="808080"/>
              <w:left w:val="single" w:sz="6" w:space="0" w:color="808080"/>
              <w:bottom w:val="single" w:sz="6" w:space="0" w:color="808080"/>
              <w:right w:val="single" w:sz="6" w:space="0" w:color="808080"/>
            </w:tcBorders>
            <w:hideMark/>
          </w:tcPr>
          <w:p w14:paraId="59F1A659" w14:textId="77777777" w:rsidR="008F38A6" w:rsidRPr="00324F7A" w:rsidRDefault="008F38A6" w:rsidP="009778A9">
            <w:pPr>
              <w:rPr>
                <w:rFonts w:ascii="Arial" w:hAnsi="Arial" w:cs="Arial"/>
                <w:sz w:val="27"/>
                <w:szCs w:val="27"/>
              </w:rPr>
            </w:pPr>
            <w:r w:rsidRPr="00324F7A">
              <w:rPr>
                <w:rFonts w:ascii="Arial" w:hAnsi="Arial" w:cs="Arial"/>
                <w:b/>
                <w:bCs/>
                <w:sz w:val="27"/>
                <w:szCs w:val="27"/>
              </w:rPr>
              <w:t>596 per 1000</w:t>
            </w:r>
          </w:p>
        </w:tc>
        <w:tc>
          <w:tcPr>
            <w:tcW w:w="0" w:type="auto"/>
            <w:tcBorders>
              <w:top w:val="single" w:sz="6" w:space="0" w:color="808080"/>
              <w:left w:val="single" w:sz="6" w:space="0" w:color="808080"/>
              <w:bottom w:val="single" w:sz="6" w:space="0" w:color="808080"/>
              <w:right w:val="single" w:sz="6" w:space="0" w:color="808080"/>
            </w:tcBorders>
            <w:hideMark/>
          </w:tcPr>
          <w:p w14:paraId="26878657" w14:textId="77777777" w:rsidR="008F38A6" w:rsidRPr="00324F7A" w:rsidRDefault="008F38A6" w:rsidP="009778A9">
            <w:pPr>
              <w:rPr>
                <w:rFonts w:ascii="Arial" w:hAnsi="Arial" w:cs="Arial"/>
                <w:sz w:val="27"/>
                <w:szCs w:val="27"/>
              </w:rPr>
            </w:pPr>
            <w:r w:rsidRPr="00324F7A">
              <w:rPr>
                <w:rFonts w:ascii="Arial" w:hAnsi="Arial" w:cs="Arial"/>
                <w:b/>
                <w:bCs/>
                <w:sz w:val="27"/>
                <w:szCs w:val="27"/>
              </w:rPr>
              <w:t>179 per 1,000</w:t>
            </w:r>
          </w:p>
          <w:p w14:paraId="3839818F" w14:textId="77777777" w:rsidR="008F38A6" w:rsidRPr="00324F7A" w:rsidRDefault="008F38A6" w:rsidP="009778A9">
            <w:pPr>
              <w:rPr>
                <w:rFonts w:ascii="Arial" w:hAnsi="Arial" w:cs="Arial"/>
                <w:sz w:val="27"/>
                <w:szCs w:val="27"/>
              </w:rPr>
            </w:pPr>
            <w:r w:rsidRPr="00324F7A">
              <w:rPr>
                <w:rFonts w:ascii="Arial" w:hAnsi="Arial" w:cs="Arial"/>
                <w:sz w:val="27"/>
                <w:szCs w:val="27"/>
              </w:rPr>
              <w:t>(66 to 489)</w:t>
            </w:r>
          </w:p>
        </w:tc>
        <w:tc>
          <w:tcPr>
            <w:tcW w:w="0" w:type="auto"/>
            <w:tcBorders>
              <w:top w:val="single" w:sz="6" w:space="0" w:color="808080"/>
              <w:left w:val="single" w:sz="6" w:space="0" w:color="808080"/>
              <w:bottom w:val="single" w:sz="6" w:space="0" w:color="808080"/>
              <w:right w:val="single" w:sz="6" w:space="0" w:color="808080"/>
            </w:tcBorders>
            <w:hideMark/>
          </w:tcPr>
          <w:p w14:paraId="112C2F82" w14:textId="77777777" w:rsidR="008F38A6" w:rsidRPr="00324F7A" w:rsidRDefault="008F38A6" w:rsidP="009778A9">
            <w:pPr>
              <w:rPr>
                <w:rFonts w:ascii="Arial" w:hAnsi="Arial" w:cs="Arial"/>
                <w:sz w:val="27"/>
                <w:szCs w:val="27"/>
              </w:rPr>
            </w:pPr>
            <w:r w:rsidRPr="00324F7A">
              <w:rPr>
                <w:rFonts w:ascii="Arial" w:hAnsi="Arial" w:cs="Arial"/>
                <w:b/>
                <w:bCs/>
                <w:sz w:val="27"/>
                <w:szCs w:val="27"/>
              </w:rPr>
              <w:t>RR 0.3 </w:t>
            </w:r>
            <w:r w:rsidRPr="00324F7A">
              <w:rPr>
                <w:rFonts w:ascii="Arial" w:hAnsi="Arial" w:cs="Arial"/>
                <w:sz w:val="27"/>
                <w:szCs w:val="27"/>
              </w:rPr>
              <w:t>(0.11 to 0.82)</w:t>
            </w:r>
          </w:p>
        </w:tc>
        <w:tc>
          <w:tcPr>
            <w:tcW w:w="0" w:type="auto"/>
            <w:tcBorders>
              <w:top w:val="single" w:sz="6" w:space="0" w:color="808080"/>
              <w:left w:val="single" w:sz="6" w:space="0" w:color="808080"/>
              <w:bottom w:val="single" w:sz="6" w:space="0" w:color="808080"/>
              <w:right w:val="single" w:sz="6" w:space="0" w:color="808080"/>
            </w:tcBorders>
            <w:hideMark/>
          </w:tcPr>
          <w:p w14:paraId="6727388F" w14:textId="77777777" w:rsidR="008F38A6" w:rsidRPr="00324F7A" w:rsidRDefault="008F38A6" w:rsidP="009778A9">
            <w:pPr>
              <w:rPr>
                <w:rFonts w:ascii="Arial" w:hAnsi="Arial" w:cs="Arial"/>
                <w:sz w:val="27"/>
                <w:szCs w:val="27"/>
              </w:rPr>
            </w:pPr>
            <w:r w:rsidRPr="00324F7A">
              <w:rPr>
                <w:rFonts w:ascii="Arial" w:hAnsi="Arial" w:cs="Arial"/>
                <w:sz w:val="27"/>
                <w:szCs w:val="27"/>
              </w:rPr>
              <w:t>228</w:t>
            </w:r>
          </w:p>
          <w:p w14:paraId="66B1B7D7" w14:textId="77777777" w:rsidR="008F38A6" w:rsidRPr="00324F7A" w:rsidRDefault="008F38A6" w:rsidP="009778A9">
            <w:pPr>
              <w:rPr>
                <w:rFonts w:ascii="Arial" w:hAnsi="Arial" w:cs="Arial"/>
                <w:sz w:val="27"/>
                <w:szCs w:val="27"/>
              </w:rPr>
            </w:pPr>
            <w:r w:rsidRPr="00324F7A">
              <w:rPr>
                <w:rFonts w:ascii="Arial" w:hAnsi="Arial" w:cs="Arial"/>
                <w:sz w:val="27"/>
                <w:szCs w:val="27"/>
              </w:rPr>
              <w:t>(2)</w:t>
            </w:r>
          </w:p>
        </w:tc>
        <w:tc>
          <w:tcPr>
            <w:tcW w:w="0" w:type="auto"/>
            <w:tcBorders>
              <w:top w:val="single" w:sz="6" w:space="0" w:color="808080"/>
              <w:left w:val="single" w:sz="6" w:space="0" w:color="808080"/>
              <w:bottom w:val="single" w:sz="6" w:space="0" w:color="808080"/>
              <w:right w:val="single" w:sz="6" w:space="0" w:color="808080"/>
            </w:tcBorders>
            <w:hideMark/>
          </w:tcPr>
          <w:p w14:paraId="4AE6908A" w14:textId="77777777" w:rsidR="008F38A6" w:rsidRPr="00324F7A" w:rsidRDefault="008F38A6" w:rsidP="009778A9">
            <w:pPr>
              <w:rPr>
                <w:rFonts w:ascii="Arial" w:hAnsi="Arial" w:cs="Arial"/>
                <w:sz w:val="27"/>
                <w:szCs w:val="27"/>
              </w:rPr>
            </w:pPr>
            <w:r w:rsidRPr="00324F7A">
              <w:rPr>
                <w:rFonts w:ascii="Arial" w:hAnsi="Arial" w:cs="Arial"/>
                <w:b/>
                <w:bCs/>
                <w:sz w:val="27"/>
                <w:szCs w:val="27"/>
              </w:rPr>
              <w:t>very low</w:t>
            </w:r>
            <w:r w:rsidRPr="00324F7A">
              <w:rPr>
                <w:rFonts w:ascii="Arial" w:hAnsi="Arial" w:cs="Arial"/>
                <w:sz w:val="27"/>
                <w:szCs w:val="27"/>
                <w:vertAlign w:val="superscript"/>
              </w:rPr>
              <w:t>1</w:t>
            </w:r>
          </w:p>
          <w:p w14:paraId="0A43EB62" w14:textId="77777777" w:rsidR="008F38A6" w:rsidRPr="00324F7A" w:rsidRDefault="008F38A6" w:rsidP="009778A9">
            <w:pPr>
              <w:rPr>
                <w:rFonts w:ascii="Arial" w:hAnsi="Arial" w:cs="Arial"/>
                <w:sz w:val="27"/>
                <w:szCs w:val="27"/>
              </w:rPr>
            </w:pPr>
            <w:r w:rsidRPr="00324F7A">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6AA9BBA2" w14:textId="77777777" w:rsidR="008F38A6" w:rsidRPr="00324F7A" w:rsidRDefault="008F38A6" w:rsidP="009778A9">
            <w:pPr>
              <w:rPr>
                <w:rFonts w:ascii="Arial" w:hAnsi="Arial" w:cs="Arial"/>
                <w:sz w:val="27"/>
                <w:szCs w:val="27"/>
              </w:rPr>
            </w:pPr>
          </w:p>
        </w:tc>
      </w:tr>
      <w:tr w:rsidR="008F38A6" w:rsidRPr="00324F7A" w14:paraId="70B358F4"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0EAB1FFC" w14:textId="77777777" w:rsidR="008F38A6" w:rsidRPr="00324F7A" w:rsidRDefault="008F38A6" w:rsidP="009778A9">
            <w:pPr>
              <w:rPr>
                <w:rFonts w:ascii="Arial" w:hAnsi="Arial" w:cs="Arial"/>
                <w:sz w:val="27"/>
                <w:szCs w:val="27"/>
              </w:rPr>
            </w:pPr>
            <w:r w:rsidRPr="00324F7A">
              <w:rPr>
                <w:rFonts w:ascii="Arial" w:hAnsi="Arial" w:cs="Arial"/>
                <w:b/>
                <w:bCs/>
                <w:sz w:val="27"/>
                <w:szCs w:val="27"/>
              </w:rPr>
              <w:t>Numeric rating of anxiety or number of participants</w:t>
            </w:r>
            <w:r w:rsidRPr="00324F7A">
              <w:rPr>
                <w:rFonts w:ascii="Arial" w:hAnsi="Arial" w:cs="Arial"/>
                <w:sz w:val="27"/>
                <w:szCs w:val="27"/>
              </w:rPr>
              <w:t xml:space="preserve"> </w:t>
            </w:r>
            <w:r w:rsidRPr="00324F7A">
              <w:rPr>
                <w:rFonts w:ascii="Arial" w:hAnsi="Arial" w:cs="Arial"/>
                <w:b/>
                <w:bCs/>
                <w:sz w:val="27"/>
                <w:szCs w:val="27"/>
              </w:rPr>
              <w:t>rated as anxious </w:t>
            </w:r>
          </w:p>
          <w:p w14:paraId="55F6B48D" w14:textId="77777777" w:rsidR="008F38A6" w:rsidRPr="00324F7A" w:rsidRDefault="008F38A6" w:rsidP="009778A9">
            <w:pPr>
              <w:rPr>
                <w:rFonts w:ascii="Arial" w:hAnsi="Arial" w:cs="Arial"/>
                <w:sz w:val="27"/>
                <w:szCs w:val="27"/>
              </w:rPr>
            </w:pPr>
            <w:r w:rsidRPr="00324F7A">
              <w:rPr>
                <w:rFonts w:ascii="Arial" w:hAnsi="Arial" w:cs="Arial"/>
                <w:sz w:val="27"/>
                <w:szCs w:val="27"/>
              </w:rPr>
              <w:t>(Numerical rating scale of 1 - 5 with lower scores indicating less anxiety)</w:t>
            </w:r>
          </w:p>
        </w:tc>
        <w:tc>
          <w:tcPr>
            <w:tcW w:w="0" w:type="auto"/>
            <w:tcBorders>
              <w:top w:val="single" w:sz="6" w:space="0" w:color="808080"/>
              <w:left w:val="single" w:sz="6" w:space="0" w:color="808080"/>
              <w:bottom w:val="single" w:sz="6" w:space="0" w:color="808080"/>
              <w:right w:val="single" w:sz="6" w:space="0" w:color="808080"/>
            </w:tcBorders>
            <w:hideMark/>
          </w:tcPr>
          <w:p w14:paraId="7479734A" w14:textId="77777777" w:rsidR="008F38A6" w:rsidRPr="00324F7A" w:rsidRDefault="008F38A6" w:rsidP="009778A9">
            <w:pPr>
              <w:rPr>
                <w:rFonts w:ascii="Arial" w:hAnsi="Arial" w:cs="Arial"/>
                <w:sz w:val="27"/>
                <w:szCs w:val="27"/>
              </w:rPr>
            </w:pPr>
            <w:r w:rsidRPr="00324F7A">
              <w:rPr>
                <w:rFonts w:ascii="Arial" w:hAnsi="Arial" w:cs="Arial"/>
                <w:sz w:val="27"/>
                <w:szCs w:val="27"/>
              </w:rPr>
              <w:t>2.5</w:t>
            </w:r>
          </w:p>
        </w:tc>
        <w:tc>
          <w:tcPr>
            <w:tcW w:w="0" w:type="auto"/>
            <w:tcBorders>
              <w:top w:val="single" w:sz="6" w:space="0" w:color="808080"/>
              <w:left w:val="single" w:sz="6" w:space="0" w:color="808080"/>
              <w:bottom w:val="single" w:sz="6" w:space="0" w:color="808080"/>
              <w:right w:val="single" w:sz="6" w:space="0" w:color="808080"/>
            </w:tcBorders>
            <w:hideMark/>
          </w:tcPr>
          <w:p w14:paraId="7248D790" w14:textId="77777777" w:rsidR="008F38A6" w:rsidRPr="00324F7A" w:rsidRDefault="008F38A6" w:rsidP="009778A9">
            <w:pPr>
              <w:rPr>
                <w:rFonts w:ascii="Arial" w:hAnsi="Arial" w:cs="Arial"/>
                <w:sz w:val="27"/>
                <w:szCs w:val="27"/>
              </w:rPr>
            </w:pPr>
            <w:r w:rsidRPr="00324F7A">
              <w:rPr>
                <w:rFonts w:ascii="Arial" w:hAnsi="Arial" w:cs="Arial"/>
                <w:sz w:val="27"/>
                <w:szCs w:val="27"/>
              </w:rPr>
              <w:t xml:space="preserve">MD was </w:t>
            </w:r>
            <w:r w:rsidRPr="00324F7A">
              <w:rPr>
                <w:rFonts w:ascii="Arial" w:hAnsi="Arial" w:cs="Arial"/>
                <w:b/>
                <w:bCs/>
                <w:sz w:val="27"/>
                <w:szCs w:val="27"/>
              </w:rPr>
              <w:t>0.77 lower</w:t>
            </w:r>
            <w:r w:rsidRPr="00324F7A">
              <w:rPr>
                <w:rFonts w:ascii="Arial" w:hAnsi="Arial" w:cs="Arial"/>
                <w:b/>
                <w:bCs/>
                <w:sz w:val="27"/>
                <w:szCs w:val="27"/>
                <w:vertAlign w:val="superscript"/>
              </w:rPr>
              <w:t>2</w:t>
            </w:r>
          </w:p>
          <w:p w14:paraId="6F82AEEA" w14:textId="77777777" w:rsidR="008F38A6" w:rsidRPr="00324F7A" w:rsidRDefault="008F38A6" w:rsidP="009778A9">
            <w:pPr>
              <w:rPr>
                <w:rFonts w:ascii="Arial" w:hAnsi="Arial" w:cs="Arial"/>
                <w:sz w:val="27"/>
                <w:szCs w:val="27"/>
              </w:rPr>
            </w:pPr>
            <w:r w:rsidRPr="00324F7A">
              <w:rPr>
                <w:rFonts w:ascii="Arial" w:hAnsi="Arial" w:cs="Arial"/>
                <w:sz w:val="27"/>
                <w:szCs w:val="27"/>
              </w:rPr>
              <w:t>(2.2 lower to 0.68 higher)</w:t>
            </w:r>
          </w:p>
        </w:tc>
        <w:tc>
          <w:tcPr>
            <w:tcW w:w="0" w:type="auto"/>
            <w:tcBorders>
              <w:top w:val="single" w:sz="6" w:space="0" w:color="808080"/>
              <w:left w:val="single" w:sz="6" w:space="0" w:color="808080"/>
              <w:bottom w:val="single" w:sz="6" w:space="0" w:color="808080"/>
              <w:right w:val="single" w:sz="6" w:space="0" w:color="808080"/>
            </w:tcBorders>
            <w:hideMark/>
          </w:tcPr>
          <w:p w14:paraId="037D2DBD" w14:textId="77777777" w:rsidR="008F38A6" w:rsidRPr="00324F7A" w:rsidRDefault="008F38A6"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74506055" w14:textId="77777777" w:rsidR="008F38A6" w:rsidRPr="00324F7A" w:rsidRDefault="008F38A6" w:rsidP="009778A9">
            <w:pPr>
              <w:rPr>
                <w:rFonts w:ascii="Arial" w:hAnsi="Arial" w:cs="Arial"/>
                <w:sz w:val="27"/>
                <w:szCs w:val="27"/>
              </w:rPr>
            </w:pPr>
            <w:r w:rsidRPr="00324F7A">
              <w:rPr>
                <w:rFonts w:ascii="Arial" w:hAnsi="Arial" w:cs="Arial"/>
                <w:sz w:val="27"/>
                <w:szCs w:val="27"/>
              </w:rPr>
              <w:t>88</w:t>
            </w:r>
            <w:r w:rsidRPr="00324F7A">
              <w:rPr>
                <w:rFonts w:ascii="Arial" w:hAnsi="Arial" w:cs="Arial"/>
                <w:sz w:val="27"/>
                <w:szCs w:val="27"/>
              </w:rPr>
              <w:br/>
              <w:t>(2)</w:t>
            </w:r>
          </w:p>
        </w:tc>
        <w:tc>
          <w:tcPr>
            <w:tcW w:w="0" w:type="auto"/>
            <w:tcBorders>
              <w:top w:val="single" w:sz="6" w:space="0" w:color="808080"/>
              <w:left w:val="single" w:sz="6" w:space="0" w:color="808080"/>
              <w:bottom w:val="single" w:sz="6" w:space="0" w:color="808080"/>
              <w:right w:val="single" w:sz="6" w:space="0" w:color="808080"/>
            </w:tcBorders>
            <w:hideMark/>
          </w:tcPr>
          <w:p w14:paraId="4A8C9151" w14:textId="77777777" w:rsidR="008F38A6" w:rsidRPr="00324F7A" w:rsidRDefault="008F38A6" w:rsidP="009778A9">
            <w:pPr>
              <w:rPr>
                <w:rFonts w:ascii="Arial" w:hAnsi="Arial" w:cs="Arial"/>
                <w:sz w:val="27"/>
                <w:szCs w:val="27"/>
              </w:rPr>
            </w:pPr>
            <w:r w:rsidRPr="00324F7A">
              <w:rPr>
                <w:rFonts w:ascii="Arial" w:hAnsi="Arial" w:cs="Arial"/>
                <w:b/>
                <w:bCs/>
                <w:sz w:val="27"/>
                <w:szCs w:val="27"/>
              </w:rPr>
              <w:t>low</w:t>
            </w:r>
            <w:r w:rsidRPr="00324F7A">
              <w:rPr>
                <w:rFonts w:ascii="Arial" w:hAnsi="Arial" w:cs="Arial"/>
                <w:b/>
                <w:bCs/>
                <w:sz w:val="27"/>
                <w:szCs w:val="27"/>
                <w:vertAlign w:val="superscript"/>
              </w:rPr>
              <w:t>3</w:t>
            </w:r>
          </w:p>
          <w:p w14:paraId="0DAFB4C2" w14:textId="77777777" w:rsidR="008F38A6" w:rsidRPr="00324F7A" w:rsidRDefault="008F38A6" w:rsidP="009778A9">
            <w:pPr>
              <w:rPr>
                <w:rFonts w:ascii="Arial" w:hAnsi="Arial" w:cs="Arial"/>
                <w:sz w:val="27"/>
                <w:szCs w:val="27"/>
              </w:rPr>
            </w:pPr>
            <w:r w:rsidRPr="00324F7A">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28B63245" w14:textId="77777777" w:rsidR="008F38A6" w:rsidRPr="00324F7A" w:rsidRDefault="008F38A6" w:rsidP="009778A9">
            <w:pPr>
              <w:rPr>
                <w:rFonts w:ascii="Arial" w:hAnsi="Arial" w:cs="Arial"/>
                <w:sz w:val="27"/>
                <w:szCs w:val="27"/>
              </w:rPr>
            </w:pPr>
            <w:r w:rsidRPr="00324F7A">
              <w:rPr>
                <w:rFonts w:ascii="Arial" w:hAnsi="Arial" w:cs="Arial"/>
                <w:sz w:val="27"/>
                <w:szCs w:val="27"/>
              </w:rPr>
              <w:t>The assumed and corresponding risks were estimated from the SMD, which was -0.26 (95% CI = -0.75 to 0.23).</w:t>
            </w:r>
          </w:p>
        </w:tc>
      </w:tr>
      <w:tr w:rsidR="008F38A6" w:rsidRPr="00324F7A" w14:paraId="4D50BF36"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2B688B51" w14:textId="77777777" w:rsidR="008F38A6" w:rsidRPr="00324F7A" w:rsidRDefault="008F38A6" w:rsidP="009778A9">
            <w:pPr>
              <w:rPr>
                <w:rFonts w:ascii="Arial" w:hAnsi="Arial" w:cs="Arial"/>
                <w:sz w:val="27"/>
                <w:szCs w:val="27"/>
              </w:rPr>
            </w:pPr>
            <w:r w:rsidRPr="00324F7A">
              <w:rPr>
                <w:rFonts w:ascii="Arial" w:hAnsi="Arial" w:cs="Arial"/>
                <w:b/>
                <w:bCs/>
                <w:sz w:val="27"/>
                <w:szCs w:val="27"/>
              </w:rPr>
              <w:lastRenderedPageBreak/>
              <w:t xml:space="preserve">Proportion of incomplete procedures or where there was difficulty performing the procedures </w:t>
            </w:r>
          </w:p>
        </w:tc>
        <w:tc>
          <w:tcPr>
            <w:tcW w:w="0" w:type="auto"/>
            <w:tcBorders>
              <w:top w:val="single" w:sz="6" w:space="0" w:color="808080"/>
              <w:left w:val="single" w:sz="6" w:space="0" w:color="808080"/>
              <w:bottom w:val="single" w:sz="6" w:space="0" w:color="808080"/>
              <w:right w:val="single" w:sz="6" w:space="0" w:color="808080"/>
            </w:tcBorders>
            <w:hideMark/>
          </w:tcPr>
          <w:p w14:paraId="64B573DF" w14:textId="77777777" w:rsidR="008F38A6" w:rsidRPr="00324F7A" w:rsidRDefault="008F38A6" w:rsidP="009778A9">
            <w:pPr>
              <w:rPr>
                <w:rFonts w:ascii="Arial" w:hAnsi="Arial" w:cs="Arial"/>
                <w:sz w:val="27"/>
                <w:szCs w:val="27"/>
              </w:rPr>
            </w:pPr>
            <w:r w:rsidRPr="00324F7A">
              <w:rPr>
                <w:rFonts w:ascii="Arial" w:hAnsi="Arial" w:cs="Arial"/>
                <w:b/>
                <w:bCs/>
                <w:sz w:val="27"/>
                <w:szCs w:val="27"/>
              </w:rPr>
              <w:t>56 per 1000</w:t>
            </w:r>
          </w:p>
        </w:tc>
        <w:tc>
          <w:tcPr>
            <w:tcW w:w="0" w:type="auto"/>
            <w:tcBorders>
              <w:top w:val="single" w:sz="6" w:space="0" w:color="808080"/>
              <w:left w:val="single" w:sz="6" w:space="0" w:color="808080"/>
              <w:bottom w:val="single" w:sz="6" w:space="0" w:color="808080"/>
              <w:right w:val="single" w:sz="6" w:space="0" w:color="808080"/>
            </w:tcBorders>
            <w:hideMark/>
          </w:tcPr>
          <w:p w14:paraId="202B1CDD" w14:textId="77777777" w:rsidR="008F38A6" w:rsidRPr="00324F7A" w:rsidRDefault="008F38A6" w:rsidP="009778A9">
            <w:pPr>
              <w:rPr>
                <w:rFonts w:ascii="Arial" w:hAnsi="Arial" w:cs="Arial"/>
                <w:sz w:val="27"/>
                <w:szCs w:val="27"/>
              </w:rPr>
            </w:pPr>
            <w:r w:rsidRPr="00324F7A">
              <w:rPr>
                <w:rFonts w:ascii="Arial" w:hAnsi="Arial" w:cs="Arial"/>
                <w:b/>
                <w:bCs/>
                <w:sz w:val="27"/>
                <w:szCs w:val="27"/>
              </w:rPr>
              <w:t>226 per 1000</w:t>
            </w:r>
            <w:r w:rsidRPr="00324F7A">
              <w:rPr>
                <w:rFonts w:ascii="Arial" w:hAnsi="Arial" w:cs="Arial"/>
                <w:sz w:val="27"/>
                <w:szCs w:val="27"/>
              </w:rPr>
              <w:br/>
              <w:t>(108 to 474)</w:t>
            </w:r>
          </w:p>
        </w:tc>
        <w:tc>
          <w:tcPr>
            <w:tcW w:w="0" w:type="auto"/>
            <w:tcBorders>
              <w:top w:val="single" w:sz="6" w:space="0" w:color="808080"/>
              <w:left w:val="single" w:sz="6" w:space="0" w:color="808080"/>
              <w:bottom w:val="single" w:sz="6" w:space="0" w:color="808080"/>
              <w:right w:val="single" w:sz="6" w:space="0" w:color="808080"/>
            </w:tcBorders>
            <w:hideMark/>
          </w:tcPr>
          <w:p w14:paraId="30FEFE83" w14:textId="77777777" w:rsidR="008F38A6" w:rsidRPr="00324F7A" w:rsidRDefault="008F38A6" w:rsidP="009778A9">
            <w:pPr>
              <w:rPr>
                <w:rFonts w:ascii="Arial" w:hAnsi="Arial" w:cs="Arial"/>
                <w:sz w:val="27"/>
                <w:szCs w:val="27"/>
              </w:rPr>
            </w:pPr>
            <w:r w:rsidRPr="00324F7A">
              <w:rPr>
                <w:rFonts w:ascii="Arial" w:hAnsi="Arial" w:cs="Arial"/>
                <w:b/>
                <w:bCs/>
                <w:sz w:val="27"/>
                <w:szCs w:val="27"/>
              </w:rPr>
              <w:t xml:space="preserve">RR 4.01 </w:t>
            </w:r>
            <w:r w:rsidRPr="00324F7A">
              <w:rPr>
                <w:rFonts w:ascii="Arial" w:hAnsi="Arial" w:cs="Arial"/>
                <w:sz w:val="27"/>
                <w:szCs w:val="27"/>
              </w:rPr>
              <w:br/>
              <w:t>(1.92 to 8.4)</w:t>
            </w:r>
          </w:p>
        </w:tc>
        <w:tc>
          <w:tcPr>
            <w:tcW w:w="0" w:type="auto"/>
            <w:tcBorders>
              <w:top w:val="single" w:sz="6" w:space="0" w:color="808080"/>
              <w:left w:val="single" w:sz="6" w:space="0" w:color="808080"/>
              <w:bottom w:val="single" w:sz="6" w:space="0" w:color="808080"/>
              <w:right w:val="single" w:sz="6" w:space="0" w:color="808080"/>
            </w:tcBorders>
            <w:hideMark/>
          </w:tcPr>
          <w:p w14:paraId="4176B238" w14:textId="77777777" w:rsidR="008F38A6" w:rsidRPr="00324F7A" w:rsidRDefault="008F38A6" w:rsidP="009778A9">
            <w:pPr>
              <w:rPr>
                <w:rFonts w:ascii="Arial" w:hAnsi="Arial" w:cs="Arial"/>
                <w:sz w:val="27"/>
                <w:szCs w:val="27"/>
              </w:rPr>
            </w:pPr>
            <w:r w:rsidRPr="00324F7A">
              <w:rPr>
                <w:rFonts w:ascii="Arial" w:hAnsi="Arial" w:cs="Arial"/>
                <w:sz w:val="27"/>
                <w:szCs w:val="27"/>
              </w:rPr>
              <w:t>268</w:t>
            </w:r>
            <w:r w:rsidRPr="00324F7A">
              <w:rPr>
                <w:rFonts w:ascii="Arial" w:hAnsi="Arial" w:cs="Arial"/>
                <w:sz w:val="27"/>
                <w:szCs w:val="27"/>
              </w:rPr>
              <w:br/>
              <w:t>(4)</w:t>
            </w:r>
          </w:p>
        </w:tc>
        <w:tc>
          <w:tcPr>
            <w:tcW w:w="0" w:type="auto"/>
            <w:tcBorders>
              <w:top w:val="single" w:sz="6" w:space="0" w:color="808080"/>
              <w:left w:val="single" w:sz="6" w:space="0" w:color="808080"/>
              <w:bottom w:val="single" w:sz="6" w:space="0" w:color="808080"/>
              <w:right w:val="single" w:sz="6" w:space="0" w:color="808080"/>
            </w:tcBorders>
            <w:hideMark/>
          </w:tcPr>
          <w:p w14:paraId="019FE4E4" w14:textId="77777777" w:rsidR="008F38A6" w:rsidRPr="00324F7A" w:rsidRDefault="008F38A6" w:rsidP="009778A9">
            <w:pPr>
              <w:rPr>
                <w:rFonts w:ascii="Arial" w:hAnsi="Arial" w:cs="Arial"/>
                <w:sz w:val="27"/>
                <w:szCs w:val="27"/>
              </w:rPr>
            </w:pPr>
            <w:r w:rsidRPr="00324F7A">
              <w:rPr>
                <w:rFonts w:ascii="Arial" w:hAnsi="Arial" w:cs="Arial"/>
                <w:b/>
                <w:bCs/>
                <w:sz w:val="27"/>
                <w:szCs w:val="27"/>
              </w:rPr>
              <w:t>moderate</w:t>
            </w:r>
            <w:r w:rsidRPr="00324F7A">
              <w:rPr>
                <w:rFonts w:ascii="Arial" w:hAnsi="Arial" w:cs="Arial"/>
                <w:b/>
                <w:bCs/>
                <w:sz w:val="27"/>
                <w:szCs w:val="27"/>
                <w:vertAlign w:val="superscript"/>
              </w:rPr>
              <w:t>4</w:t>
            </w:r>
          </w:p>
          <w:p w14:paraId="6E1CAA6F" w14:textId="77777777" w:rsidR="008F38A6" w:rsidRPr="00324F7A" w:rsidRDefault="008F38A6" w:rsidP="009778A9">
            <w:pPr>
              <w:rPr>
                <w:rFonts w:ascii="Arial" w:hAnsi="Arial" w:cs="Arial"/>
                <w:sz w:val="27"/>
                <w:szCs w:val="27"/>
              </w:rPr>
            </w:pPr>
            <w:r w:rsidRPr="00324F7A">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5CC35996" w14:textId="77777777" w:rsidR="008F38A6" w:rsidRPr="00324F7A" w:rsidRDefault="008F38A6" w:rsidP="009778A9">
            <w:pPr>
              <w:rPr>
                <w:rFonts w:ascii="Arial" w:hAnsi="Arial" w:cs="Arial"/>
                <w:sz w:val="27"/>
                <w:szCs w:val="27"/>
              </w:rPr>
            </w:pPr>
          </w:p>
        </w:tc>
      </w:tr>
      <w:tr w:rsidR="008F38A6" w:rsidRPr="00324F7A" w14:paraId="102AF7B9"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DC44DCA" w14:textId="77777777" w:rsidR="008F38A6" w:rsidRPr="00324F7A" w:rsidRDefault="008F38A6" w:rsidP="009778A9">
            <w:pPr>
              <w:rPr>
                <w:rFonts w:ascii="Arial" w:hAnsi="Arial" w:cs="Arial"/>
                <w:sz w:val="27"/>
                <w:szCs w:val="27"/>
              </w:rPr>
            </w:pPr>
            <w:r w:rsidRPr="00324F7A">
              <w:rPr>
                <w:rFonts w:ascii="Arial" w:hAnsi="Arial" w:cs="Arial"/>
                <w:b/>
                <w:bCs/>
                <w:sz w:val="27"/>
                <w:szCs w:val="27"/>
              </w:rPr>
              <w:t xml:space="preserve">Discomfort/Pain </w:t>
            </w:r>
            <w:r w:rsidRPr="00324F7A">
              <w:rPr>
                <w:rFonts w:ascii="Arial" w:hAnsi="Arial" w:cs="Arial"/>
                <w:sz w:val="27"/>
                <w:szCs w:val="27"/>
              </w:rPr>
              <w:t>(as defined/measured by the authors of the trial)</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EE909AF" w14:textId="77777777" w:rsidR="008F38A6" w:rsidRPr="00324F7A" w:rsidRDefault="008F38A6"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D256D78" w14:textId="77777777" w:rsidR="008F38A6" w:rsidRPr="00324F7A" w:rsidRDefault="008F38A6"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FE567D8" w14:textId="77777777" w:rsidR="008F38A6" w:rsidRPr="00324F7A" w:rsidRDefault="008F38A6"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ECD7560" w14:textId="77777777" w:rsidR="008F38A6" w:rsidRPr="00324F7A" w:rsidRDefault="008F38A6"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B1CCEA6" w14:textId="77777777" w:rsidR="008F38A6" w:rsidRPr="00324F7A" w:rsidRDefault="008F38A6"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B3089FF" w14:textId="77777777" w:rsidR="008F38A6" w:rsidRPr="00324F7A" w:rsidRDefault="008F38A6" w:rsidP="009778A9">
            <w:pPr>
              <w:rPr>
                <w:rFonts w:ascii="Arial" w:hAnsi="Arial" w:cs="Arial"/>
                <w:sz w:val="27"/>
                <w:szCs w:val="27"/>
              </w:rPr>
            </w:pPr>
            <w:r w:rsidRPr="00324F7A">
              <w:rPr>
                <w:rFonts w:ascii="Arial" w:hAnsi="Arial" w:cs="Arial"/>
                <w:sz w:val="27"/>
                <w:szCs w:val="27"/>
              </w:rPr>
              <w:t>No studies reported on this outcome.</w:t>
            </w:r>
          </w:p>
        </w:tc>
      </w:tr>
      <w:tr w:rsidR="008F38A6" w:rsidRPr="00324F7A" w14:paraId="2ACA43B3"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5B6E1FE4" w14:textId="77777777" w:rsidR="008F38A6" w:rsidRPr="00324F7A" w:rsidRDefault="008F38A6" w:rsidP="009778A9">
            <w:pPr>
              <w:rPr>
                <w:rFonts w:ascii="Arial" w:hAnsi="Arial" w:cs="Arial"/>
                <w:sz w:val="27"/>
                <w:szCs w:val="27"/>
              </w:rPr>
            </w:pPr>
            <w:r w:rsidRPr="00324F7A">
              <w:rPr>
                <w:rFonts w:ascii="Arial" w:hAnsi="Arial" w:cs="Arial"/>
                <w:sz w:val="27"/>
                <w:szCs w:val="27"/>
              </w:rPr>
              <w:t xml:space="preserve">*The basis for the </w:t>
            </w:r>
            <w:r w:rsidRPr="00324F7A">
              <w:rPr>
                <w:rFonts w:ascii="Arial" w:hAnsi="Arial" w:cs="Arial"/>
                <w:b/>
                <w:bCs/>
                <w:sz w:val="27"/>
                <w:szCs w:val="27"/>
              </w:rPr>
              <w:t>assumed risk</w:t>
            </w:r>
            <w:r w:rsidRPr="00324F7A">
              <w:rPr>
                <w:rFonts w:ascii="Arial" w:hAnsi="Arial" w:cs="Arial"/>
                <w:sz w:val="27"/>
                <w:szCs w:val="27"/>
              </w:rPr>
              <w:t xml:space="preserve"> is the control group risk across studies or the average risk for pooled data and the control group risk for single studies. The </w:t>
            </w:r>
            <w:r w:rsidRPr="00324F7A">
              <w:rPr>
                <w:rFonts w:ascii="Arial" w:hAnsi="Arial" w:cs="Arial"/>
                <w:b/>
                <w:bCs/>
                <w:sz w:val="27"/>
                <w:szCs w:val="27"/>
              </w:rPr>
              <w:t>corresponding risk</w:t>
            </w:r>
            <w:r w:rsidRPr="00324F7A">
              <w:rPr>
                <w:rFonts w:ascii="Arial" w:hAnsi="Arial" w:cs="Arial"/>
                <w:sz w:val="27"/>
                <w:szCs w:val="27"/>
              </w:rPr>
              <w:t xml:space="preserve"> (and its 95% confidence interval) is based on the assumed risk in the comparison group and the </w:t>
            </w:r>
            <w:r w:rsidRPr="00324F7A">
              <w:rPr>
                <w:rFonts w:ascii="Arial" w:hAnsi="Arial" w:cs="Arial"/>
                <w:b/>
                <w:bCs/>
                <w:sz w:val="27"/>
                <w:szCs w:val="27"/>
              </w:rPr>
              <w:t>relative effect</w:t>
            </w:r>
            <w:r w:rsidRPr="00324F7A">
              <w:rPr>
                <w:rFonts w:ascii="Arial" w:hAnsi="Arial" w:cs="Arial"/>
                <w:sz w:val="27"/>
                <w:szCs w:val="27"/>
              </w:rPr>
              <w:t xml:space="preserve"> of the intervention (and its 95% CI).</w:t>
            </w:r>
            <w:r w:rsidRPr="00324F7A">
              <w:rPr>
                <w:rFonts w:ascii="Arial" w:hAnsi="Arial" w:cs="Arial"/>
                <w:sz w:val="27"/>
                <w:szCs w:val="27"/>
              </w:rPr>
              <w:br/>
            </w:r>
            <w:r w:rsidRPr="00324F7A">
              <w:rPr>
                <w:rFonts w:ascii="Arial" w:hAnsi="Arial" w:cs="Arial"/>
                <w:b/>
                <w:bCs/>
                <w:sz w:val="27"/>
                <w:szCs w:val="27"/>
              </w:rPr>
              <w:t>CI:</w:t>
            </w:r>
            <w:r w:rsidRPr="00324F7A">
              <w:rPr>
                <w:rFonts w:ascii="Arial" w:hAnsi="Arial" w:cs="Arial"/>
                <w:sz w:val="27"/>
                <w:szCs w:val="27"/>
              </w:rPr>
              <w:t xml:space="preserve"> Confidence interval; </w:t>
            </w:r>
            <w:r w:rsidRPr="00324F7A">
              <w:rPr>
                <w:rFonts w:ascii="Arial" w:hAnsi="Arial" w:cs="Arial"/>
                <w:b/>
                <w:bCs/>
                <w:sz w:val="27"/>
                <w:szCs w:val="27"/>
              </w:rPr>
              <w:t>RR:</w:t>
            </w:r>
            <w:r w:rsidRPr="00324F7A">
              <w:rPr>
                <w:rFonts w:ascii="Arial" w:hAnsi="Arial" w:cs="Arial"/>
                <w:sz w:val="27"/>
                <w:szCs w:val="27"/>
              </w:rPr>
              <w:t xml:space="preserve"> Risk ratio.</w:t>
            </w:r>
          </w:p>
        </w:tc>
      </w:tr>
      <w:tr w:rsidR="008F38A6" w:rsidRPr="00324F7A" w14:paraId="409124EE"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2C93E3A6" w14:textId="77777777" w:rsidR="008F38A6" w:rsidRPr="00324F7A" w:rsidRDefault="008F38A6" w:rsidP="009778A9">
            <w:pPr>
              <w:rPr>
                <w:rFonts w:ascii="Arial" w:hAnsi="Arial" w:cs="Arial"/>
                <w:sz w:val="27"/>
                <w:szCs w:val="27"/>
              </w:rPr>
            </w:pPr>
            <w:r w:rsidRPr="00324F7A">
              <w:rPr>
                <w:rFonts w:ascii="Arial" w:hAnsi="Arial" w:cs="Arial"/>
                <w:sz w:val="27"/>
                <w:szCs w:val="27"/>
              </w:rPr>
              <w:t>GRADE Working Group grades of evidence</w:t>
            </w:r>
            <w:r w:rsidRPr="00324F7A">
              <w:rPr>
                <w:rFonts w:ascii="Arial" w:hAnsi="Arial" w:cs="Arial"/>
                <w:sz w:val="27"/>
                <w:szCs w:val="27"/>
              </w:rPr>
              <w:br/>
            </w:r>
            <w:r w:rsidRPr="00324F7A">
              <w:rPr>
                <w:rFonts w:ascii="Arial" w:hAnsi="Arial" w:cs="Arial"/>
                <w:b/>
                <w:bCs/>
                <w:sz w:val="27"/>
                <w:szCs w:val="27"/>
              </w:rPr>
              <w:t>High quality:</w:t>
            </w:r>
            <w:r w:rsidRPr="00324F7A">
              <w:rPr>
                <w:rFonts w:ascii="Arial" w:hAnsi="Arial" w:cs="Arial"/>
                <w:sz w:val="27"/>
                <w:szCs w:val="27"/>
              </w:rPr>
              <w:t xml:space="preserve"> Further research is very unlikely to change our confidence in the estimate of effect.</w:t>
            </w:r>
            <w:r w:rsidRPr="00324F7A">
              <w:rPr>
                <w:rFonts w:ascii="Arial" w:hAnsi="Arial" w:cs="Arial"/>
                <w:sz w:val="27"/>
                <w:szCs w:val="27"/>
              </w:rPr>
              <w:br/>
            </w:r>
            <w:r w:rsidRPr="00324F7A">
              <w:rPr>
                <w:rFonts w:ascii="Arial" w:hAnsi="Arial" w:cs="Arial"/>
                <w:b/>
                <w:bCs/>
                <w:sz w:val="27"/>
                <w:szCs w:val="27"/>
              </w:rPr>
              <w:t>Moderate quality:</w:t>
            </w:r>
            <w:r w:rsidRPr="00324F7A">
              <w:rPr>
                <w:rFonts w:ascii="Arial" w:hAnsi="Arial" w:cs="Arial"/>
                <w:sz w:val="27"/>
                <w:szCs w:val="27"/>
              </w:rPr>
              <w:t xml:space="preserve"> Further research is likely to have an important impact on our confidence in the estimate of effect and may change the estimate.</w:t>
            </w:r>
            <w:r w:rsidRPr="00324F7A">
              <w:rPr>
                <w:rFonts w:ascii="Arial" w:hAnsi="Arial" w:cs="Arial"/>
                <w:sz w:val="27"/>
                <w:szCs w:val="27"/>
              </w:rPr>
              <w:br/>
            </w:r>
            <w:r w:rsidRPr="00324F7A">
              <w:rPr>
                <w:rFonts w:ascii="Arial" w:hAnsi="Arial" w:cs="Arial"/>
                <w:b/>
                <w:bCs/>
                <w:sz w:val="27"/>
                <w:szCs w:val="27"/>
              </w:rPr>
              <w:t>Low quality:</w:t>
            </w:r>
            <w:r w:rsidRPr="00324F7A">
              <w:rPr>
                <w:rFonts w:ascii="Arial" w:hAnsi="Arial" w:cs="Arial"/>
                <w:sz w:val="27"/>
                <w:szCs w:val="27"/>
              </w:rPr>
              <w:t xml:space="preserve"> Further research is very likely to have an important impact on our confidence in the estimate of effect and is likely to change the estimate.</w:t>
            </w:r>
            <w:r w:rsidRPr="00324F7A">
              <w:rPr>
                <w:rFonts w:ascii="Arial" w:hAnsi="Arial" w:cs="Arial"/>
                <w:sz w:val="27"/>
                <w:szCs w:val="27"/>
              </w:rPr>
              <w:br/>
            </w:r>
            <w:r w:rsidRPr="00324F7A">
              <w:rPr>
                <w:rFonts w:ascii="Arial" w:hAnsi="Arial" w:cs="Arial"/>
                <w:b/>
                <w:bCs/>
                <w:sz w:val="27"/>
                <w:szCs w:val="27"/>
              </w:rPr>
              <w:t>Very low quality:</w:t>
            </w:r>
            <w:r w:rsidRPr="00324F7A">
              <w:rPr>
                <w:rFonts w:ascii="Arial" w:hAnsi="Arial" w:cs="Arial"/>
                <w:sz w:val="27"/>
                <w:szCs w:val="27"/>
              </w:rPr>
              <w:t xml:space="preserve"> We are very uncertain about the estimate.</w:t>
            </w:r>
            <w:r w:rsidRPr="00324F7A">
              <w:rPr>
                <w:rFonts w:ascii="Arial" w:hAnsi="Arial" w:cs="Arial"/>
                <w:sz w:val="27"/>
                <w:szCs w:val="27"/>
              </w:rPr>
              <w:br/>
            </w:r>
            <w:r w:rsidRPr="00324F7A">
              <w:rPr>
                <w:rFonts w:ascii="Arial" w:hAnsi="Arial" w:cs="Arial"/>
                <w:sz w:val="27"/>
                <w:szCs w:val="27"/>
              </w:rPr>
              <w:br/>
              <w:t> </w:t>
            </w:r>
          </w:p>
        </w:tc>
      </w:tr>
    </w:tbl>
    <w:p w14:paraId="1B429F32" w14:textId="77777777" w:rsidR="008F38A6" w:rsidRPr="00324F7A" w:rsidRDefault="008F38A6" w:rsidP="008F38A6">
      <w:pPr>
        <w:pStyle w:val="Heading6"/>
        <w:rPr>
          <w:rFonts w:ascii="Arial" w:eastAsia="Times New Roman" w:hAnsi="Arial" w:cs="Arial"/>
        </w:rPr>
      </w:pPr>
      <w:r w:rsidRPr="00324F7A">
        <w:rPr>
          <w:rFonts w:ascii="Arial" w:eastAsia="Times New Roman" w:hAnsi="Arial" w:cs="Arial"/>
        </w:rPr>
        <w:t>Footnotes</w:t>
      </w:r>
    </w:p>
    <w:p w14:paraId="65E207BF" w14:textId="77777777" w:rsidR="008F38A6" w:rsidRPr="00324F7A" w:rsidRDefault="008F38A6" w:rsidP="008F38A6">
      <w:pPr>
        <w:pStyle w:val="NormalWeb"/>
        <w:rPr>
          <w:rFonts w:ascii="Arial" w:hAnsi="Arial" w:cs="Arial"/>
          <w:sz w:val="22"/>
          <w:szCs w:val="22"/>
        </w:rPr>
      </w:pPr>
      <w:r w:rsidRPr="00324F7A">
        <w:rPr>
          <w:rFonts w:ascii="Arial" w:hAnsi="Arial" w:cs="Arial"/>
          <w:sz w:val="22"/>
          <w:szCs w:val="22"/>
          <w:vertAlign w:val="superscript"/>
        </w:rPr>
        <w:t>1</w:t>
      </w:r>
      <w:r w:rsidRPr="00324F7A">
        <w:rPr>
          <w:rFonts w:ascii="Arial" w:hAnsi="Arial" w:cs="Arial"/>
          <w:sz w:val="22"/>
          <w:szCs w:val="22"/>
        </w:rPr>
        <w:t>Downgraded three levels due to concerns about risk of bias (both studies had unclear and high risk of bias for multiple domains), inconsistency (although the effect estimates for both studies indicated midazolam was less likely to result in moderate sedation, the I</w:t>
      </w:r>
      <w:r w:rsidRPr="00324F7A">
        <w:rPr>
          <w:rFonts w:ascii="Arial" w:hAnsi="Arial" w:cs="Arial"/>
          <w:sz w:val="22"/>
          <w:szCs w:val="22"/>
          <w:vertAlign w:val="superscript"/>
        </w:rPr>
        <w:t xml:space="preserve">2 </w:t>
      </w:r>
      <w:r w:rsidRPr="00324F7A">
        <w:rPr>
          <w:rFonts w:ascii="Arial" w:hAnsi="Arial" w:cs="Arial"/>
          <w:sz w:val="22"/>
          <w:szCs w:val="22"/>
        </w:rPr>
        <w:t>value was high) and imprecision (wide confidence intervals indicating the effect could be either very large or small).</w:t>
      </w:r>
    </w:p>
    <w:p w14:paraId="2B500846" w14:textId="77777777" w:rsidR="008F38A6" w:rsidRPr="00324F7A" w:rsidRDefault="008F38A6" w:rsidP="008F38A6">
      <w:pPr>
        <w:pStyle w:val="NormalWeb"/>
        <w:rPr>
          <w:rFonts w:ascii="Arial" w:hAnsi="Arial" w:cs="Arial"/>
          <w:sz w:val="22"/>
          <w:szCs w:val="22"/>
        </w:rPr>
      </w:pPr>
      <w:r w:rsidRPr="00324F7A">
        <w:rPr>
          <w:rFonts w:ascii="Arial" w:hAnsi="Arial" w:cs="Arial"/>
          <w:sz w:val="22"/>
          <w:szCs w:val="22"/>
          <w:vertAlign w:val="superscript"/>
        </w:rPr>
        <w:t>2</w:t>
      </w:r>
      <w:r w:rsidRPr="00324F7A">
        <w:rPr>
          <w:rFonts w:ascii="Arial" w:hAnsi="Arial" w:cs="Arial"/>
          <w:sz w:val="22"/>
          <w:szCs w:val="22"/>
        </w:rPr>
        <w:t>Studies in this comparison used different instruments to measure anxiety. We used the SMD for meta-analysis. We selected the </w:t>
      </w:r>
      <w:hyperlink w:anchor="STD-D_x0027_Agostino-2000" w:history="1">
        <w:r w:rsidRPr="00324F7A">
          <w:rPr>
            <w:rStyle w:val="Hyperlink"/>
            <w:rFonts w:ascii="Arial" w:hAnsi="Arial" w:cs="Arial"/>
            <w:color w:val="auto"/>
            <w:sz w:val="22"/>
            <w:szCs w:val="22"/>
          </w:rPr>
          <w:t>D'Agostino 2000</w:t>
        </w:r>
      </w:hyperlink>
      <w:r w:rsidRPr="00324F7A">
        <w:rPr>
          <w:rFonts w:ascii="Arial" w:hAnsi="Arial" w:cs="Arial"/>
          <w:sz w:val="22"/>
          <w:szCs w:val="22"/>
        </w:rPr>
        <w:t> trial as our representative study in order to calculate the assumed risk and corresponding risk for the summary of findings table. The standard deviation for the placebo group in this study was 2.97, measured on a scale ranging from 1 to 5. </w:t>
      </w:r>
    </w:p>
    <w:p w14:paraId="385A2FC2" w14:textId="77777777" w:rsidR="008F38A6" w:rsidRPr="00324F7A" w:rsidRDefault="008F38A6" w:rsidP="008F38A6">
      <w:pPr>
        <w:pStyle w:val="NormalWeb"/>
        <w:rPr>
          <w:rFonts w:ascii="Arial" w:hAnsi="Arial" w:cs="Arial"/>
          <w:sz w:val="22"/>
          <w:szCs w:val="22"/>
        </w:rPr>
      </w:pPr>
      <w:r w:rsidRPr="00324F7A">
        <w:rPr>
          <w:rFonts w:ascii="Arial" w:hAnsi="Arial" w:cs="Arial"/>
          <w:sz w:val="22"/>
          <w:szCs w:val="22"/>
          <w:vertAlign w:val="superscript"/>
        </w:rPr>
        <w:t>3</w:t>
      </w:r>
      <w:r w:rsidRPr="00324F7A">
        <w:rPr>
          <w:rFonts w:ascii="Arial" w:hAnsi="Arial" w:cs="Arial"/>
          <w:sz w:val="22"/>
          <w:szCs w:val="22"/>
        </w:rPr>
        <w:t xml:space="preserve">Downgraded three levels due to concerns about risk of bias (both studies had unclear and high risk of bias for multiple domains) and imprecision (optimal information size was not met </w:t>
      </w:r>
      <w:r w:rsidRPr="00324F7A">
        <w:rPr>
          <w:rFonts w:ascii="Cambria Math" w:hAnsi="Cambria Math" w:cs="Cambria Math"/>
          <w:sz w:val="22"/>
          <w:szCs w:val="22"/>
        </w:rPr>
        <w:t>‐</w:t>
      </w:r>
      <w:r w:rsidRPr="00324F7A">
        <w:rPr>
          <w:rFonts w:ascii="Arial" w:hAnsi="Arial" w:cs="Arial"/>
          <w:sz w:val="22"/>
          <w:szCs w:val="22"/>
        </w:rPr>
        <w:t xml:space="preserve"> only a small number of participants, wide confidence intervals crossing the line of no effect, and including the potential for both benefit and harm).</w:t>
      </w:r>
    </w:p>
    <w:p w14:paraId="76E70681" w14:textId="77777777" w:rsidR="008F38A6" w:rsidRPr="00324F7A" w:rsidRDefault="008F38A6" w:rsidP="008F38A6">
      <w:pPr>
        <w:pStyle w:val="NormalWeb"/>
        <w:rPr>
          <w:rFonts w:ascii="Arial" w:hAnsi="Arial" w:cs="Arial"/>
          <w:sz w:val="22"/>
          <w:szCs w:val="22"/>
        </w:rPr>
      </w:pPr>
      <w:r w:rsidRPr="00324F7A">
        <w:rPr>
          <w:rFonts w:ascii="Arial" w:hAnsi="Arial" w:cs="Arial"/>
          <w:sz w:val="22"/>
          <w:szCs w:val="22"/>
          <w:vertAlign w:val="superscript"/>
        </w:rPr>
        <w:t>4</w:t>
      </w:r>
      <w:r w:rsidRPr="00324F7A">
        <w:rPr>
          <w:rFonts w:ascii="Arial" w:hAnsi="Arial" w:cs="Arial"/>
          <w:sz w:val="22"/>
          <w:szCs w:val="22"/>
        </w:rPr>
        <w:t>Downgraded one level due to concerns about risk of bias (all studies had unclear and high risk of bias for multiple domains).</w:t>
      </w:r>
    </w:p>
    <w:p w14:paraId="25CAB9D2" w14:textId="009FB08B" w:rsidR="008F38A6" w:rsidRPr="008F38A6" w:rsidRDefault="008F38A6" w:rsidP="008F38A6">
      <w:pPr>
        <w:rPr>
          <w:rFonts w:ascii="Arial" w:eastAsia="Times New Roman" w:hAnsi="Arial" w:cs="Arial"/>
          <w:b/>
          <w:bCs/>
          <w:sz w:val="36"/>
          <w:szCs w:val="36"/>
        </w:rPr>
      </w:pPr>
      <w:bookmarkStart w:id="1" w:name="SOF-03"/>
      <w:bookmarkEnd w:id="1"/>
      <w:r w:rsidRPr="00324F7A">
        <w:rPr>
          <w:rFonts w:ascii="Arial" w:eastAsia="Times New Roman" w:hAnsi="Arial" w:cs="Arial"/>
        </w:rPr>
        <w:br w:type="page"/>
      </w:r>
    </w:p>
    <w:p w14:paraId="7D112C14" w14:textId="614A5529" w:rsidR="00D25FF7" w:rsidRPr="008F38A6" w:rsidRDefault="00D25FF7" w:rsidP="008F38A6"/>
    <w:sectPr w:rsidR="00D25FF7" w:rsidRPr="008F38A6" w:rsidSect="0070655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0"/>
    <w:rsid w:val="0014685E"/>
    <w:rsid w:val="00324F7A"/>
    <w:rsid w:val="004B793F"/>
    <w:rsid w:val="006163A9"/>
    <w:rsid w:val="006F39E4"/>
    <w:rsid w:val="00706550"/>
    <w:rsid w:val="008F38A6"/>
    <w:rsid w:val="00A24F4A"/>
    <w:rsid w:val="00B41684"/>
    <w:rsid w:val="00D25FF7"/>
    <w:rsid w:val="00E614DA"/>
    <w:rsid w:val="00EE25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C20"/>
  <w15:chartTrackingRefBased/>
  <w15:docId w15:val="{08FC97A3-8FC9-4D49-A427-EC35A174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A6"/>
  </w:style>
  <w:style w:type="paragraph" w:styleId="Heading1">
    <w:name w:val="heading 1"/>
    <w:basedOn w:val="Normal"/>
    <w:link w:val="Heading1Char"/>
    <w:uiPriority w:val="9"/>
    <w:qFormat/>
    <w:rsid w:val="00706550"/>
    <w:pPr>
      <w:spacing w:after="90"/>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06550"/>
    <w:pPr>
      <w:spacing w:after="90"/>
      <w:outlineLvl w:val="1"/>
    </w:pPr>
    <w:rPr>
      <w:rFonts w:ascii="Times New Roman" w:eastAsiaTheme="minorEastAsia" w:hAnsi="Times New Roman" w:cs="Times New Roman"/>
      <w:b/>
      <w:bCs/>
      <w:sz w:val="36"/>
      <w:szCs w:val="36"/>
    </w:rPr>
  </w:style>
  <w:style w:type="paragraph" w:styleId="Heading6">
    <w:name w:val="heading 6"/>
    <w:basedOn w:val="Normal"/>
    <w:link w:val="Heading6Char"/>
    <w:uiPriority w:val="9"/>
    <w:qFormat/>
    <w:rsid w:val="00706550"/>
    <w:pPr>
      <w:spacing w:after="90"/>
      <w:outlineLvl w:val="5"/>
    </w:pPr>
    <w:rPr>
      <w:rFonts w:ascii="Times New Roman" w:eastAsiaTheme="minorEastAsia" w:hAnsi="Times New Roman" w:cs="Times New Roman"/>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character" w:customStyle="1" w:styleId="Heading1Char">
    <w:name w:val="Heading 1 Char"/>
    <w:basedOn w:val="DefaultParagraphFont"/>
    <w:link w:val="Heading1"/>
    <w:uiPriority w:val="9"/>
    <w:rsid w:val="0070655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06550"/>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706550"/>
    <w:rPr>
      <w:rFonts w:ascii="Times New Roman" w:eastAsiaTheme="minorEastAsia" w:hAnsi="Times New Roman" w:cs="Times New Roman"/>
      <w:i/>
      <w:iCs/>
      <w:sz w:val="27"/>
      <w:szCs w:val="27"/>
    </w:rPr>
  </w:style>
  <w:style w:type="paragraph" w:styleId="NormalWeb">
    <w:name w:val="Normal (Web)"/>
    <w:basedOn w:val="Normal"/>
    <w:uiPriority w:val="99"/>
    <w:semiHidden/>
    <w:unhideWhenUsed/>
    <w:rsid w:val="00706550"/>
    <w:pPr>
      <w:spacing w:after="120"/>
    </w:pPr>
    <w:rPr>
      <w:rFonts w:ascii="Times New Roman" w:eastAsiaTheme="minorEastAsia" w:hAnsi="Times New Roman" w:cs="Times New Roman"/>
    </w:rPr>
  </w:style>
  <w:style w:type="character" w:styleId="Hyperlink">
    <w:name w:val="Hyperlink"/>
    <w:basedOn w:val="DefaultParagraphFont"/>
    <w:uiPriority w:val="99"/>
    <w:semiHidden/>
    <w:unhideWhenUsed/>
    <w:rsid w:val="0070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4</cp:revision>
  <dcterms:created xsi:type="dcterms:W3CDTF">2020-09-15T20:43:00Z</dcterms:created>
  <dcterms:modified xsi:type="dcterms:W3CDTF">2020-09-15T20:47:00Z</dcterms:modified>
</cp:coreProperties>
</file>