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1AAD" w:rsidRDefault="0004766D">
      <w:pPr>
        <w:pStyle w:val="Title"/>
      </w:pPr>
      <w:r>
        <w:t>Development and validation of the nursing confidence in managing sedation complications scale</w:t>
      </w:r>
    </w:p>
    <w:p w:rsidR="00381AAD" w:rsidRDefault="0004766D">
      <w:pPr>
        <w:pStyle w:val="Author"/>
      </w:pPr>
      <w:r>
        <w:t>Aaron Conway PhD</w:t>
      </w:r>
      <w:r>
        <w:rPr>
          <w:vertAlign w:val="superscript"/>
        </w:rPr>
        <w:t>1,2,3,✉</w:t>
      </w:r>
      <w:r>
        <w:t>, Kristina Chang MScN</w:t>
      </w:r>
      <w:r>
        <w:rPr>
          <w:vertAlign w:val="superscript"/>
        </w:rPr>
        <w:t>1</w:t>
      </w:r>
      <w:r>
        <w:t>, Navpreet Kamboj BScN</w:t>
      </w:r>
      <w:r>
        <w:rPr>
          <w:vertAlign w:val="superscript"/>
        </w:rPr>
        <w:t>2</w:t>
      </w:r>
      <w:r>
        <w:t>, Shahvand Masihi</w:t>
      </w:r>
      <w:r>
        <w:rPr>
          <w:vertAlign w:val="superscript"/>
        </w:rPr>
        <w:t>6</w:t>
      </w:r>
      <w:r>
        <w:t>, Sebastian Mafeld</w:t>
      </w:r>
      <w:r>
        <w:rPr>
          <w:vertAlign w:val="superscript"/>
        </w:rPr>
        <w:t>6</w:t>
      </w:r>
      <w:r>
        <w:t>, and Joanna Sutherland MBBS</w:t>
      </w:r>
      <w:r>
        <w:rPr>
          <w:vertAlign w:val="superscript"/>
        </w:rPr>
        <w:t>4,5</w:t>
      </w:r>
    </w:p>
    <w:p w:rsidR="00381AAD" w:rsidRDefault="0004766D">
      <w:pPr>
        <w:pStyle w:val="FirstParagraph"/>
      </w:pPr>
      <w:r>
        <w:rPr>
          <w:vertAlign w:val="superscript"/>
        </w:rPr>
        <w:t>1</w:t>
      </w:r>
      <w:r>
        <w:t xml:space="preserve"> </w:t>
      </w:r>
      <w:r>
        <w:t>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University of Technology (QUT), Brisbane, Australia</w:t>
      </w:r>
      <w:r>
        <w:br/>
      </w:r>
      <w:r>
        <w:rPr>
          <w:vertAlign w:val="superscript"/>
        </w:rPr>
        <w:t>4</w:t>
      </w:r>
      <w:r>
        <w:t xml:space="preserve"> Rural Clinical Sc</w:t>
      </w:r>
      <w:r>
        <w:t>hool, University of New South Wales, Coffs Harbour, NSW, Australia</w:t>
      </w:r>
      <w:r>
        <w:br/>
      </w:r>
      <w:r>
        <w:rPr>
          <w:vertAlign w:val="superscript"/>
        </w:rPr>
        <w:t>5</w:t>
      </w:r>
      <w:r>
        <w:t xml:space="preserve"> Department of Anaesthesia, Coffs Harbour Health Campus, Coffs Harbour, NSW, Australia</w:t>
      </w:r>
      <w:r>
        <w:br/>
      </w:r>
      <w:r>
        <w:rPr>
          <w:vertAlign w:val="superscript"/>
        </w:rPr>
        <w:t>6</w:t>
      </w:r>
      <w:r>
        <w:t xml:space="preserve"> Interventional Radiology, JDMI, Toronto General Hospital</w:t>
      </w:r>
    </w:p>
    <w:p w:rsidR="00381AAD" w:rsidRDefault="0004766D">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rsidR="00381AAD" w:rsidRDefault="0004766D">
      <w:r>
        <w:br w:type="page"/>
      </w:r>
    </w:p>
    <w:p w:rsidR="00381AAD" w:rsidRDefault="0004766D">
      <w:pPr>
        <w:pStyle w:val="Heading2"/>
      </w:pPr>
      <w:bookmarkStart w:id="0" w:name="abstract"/>
      <w:r>
        <w:lastRenderedPageBreak/>
        <w:t>Abstract</w:t>
      </w:r>
      <w:bookmarkEnd w:id="0"/>
    </w:p>
    <w:p w:rsidR="00381AAD" w:rsidRDefault="0004766D">
      <w:pPr>
        <w:pStyle w:val="Heading3"/>
      </w:pPr>
      <w:bookmarkStart w:id="1" w:name="introduction"/>
      <w:r>
        <w:t>Introduction</w:t>
      </w:r>
      <w:bookmarkEnd w:id="1"/>
    </w:p>
    <w:p w:rsidR="00381AAD" w:rsidRDefault="0004766D">
      <w:pPr>
        <w:pStyle w:val="Heading3"/>
      </w:pPr>
      <w:bookmarkStart w:id="2" w:name="methods"/>
      <w:r>
        <w:t>Methods</w:t>
      </w:r>
      <w:bookmarkEnd w:id="2"/>
    </w:p>
    <w:p w:rsidR="00381AAD" w:rsidRDefault="0004766D">
      <w:pPr>
        <w:pStyle w:val="Heading3"/>
      </w:pPr>
      <w:bookmarkStart w:id="3" w:name="results"/>
      <w:r>
        <w:t>Results</w:t>
      </w:r>
      <w:bookmarkEnd w:id="3"/>
    </w:p>
    <w:p w:rsidR="00381AAD" w:rsidRDefault="0004766D">
      <w:pPr>
        <w:pStyle w:val="Heading3"/>
      </w:pPr>
      <w:bookmarkStart w:id="4" w:name="conclusion"/>
      <w:r>
        <w:t>Conclusion</w:t>
      </w:r>
      <w:bookmarkEnd w:id="4"/>
    </w:p>
    <w:p w:rsidR="00381AAD" w:rsidRDefault="0004766D">
      <w:pPr>
        <w:pStyle w:val="FirstParagraph"/>
      </w:pPr>
      <w:r>
        <w:t>Keywords: deep sedat</w:t>
      </w:r>
      <w:r>
        <w:t>ion, conscious sedation, patient safety, self-efficacy, nursing, scale development, item response theory</w:t>
      </w:r>
    </w:p>
    <w:p w:rsidR="00381AAD" w:rsidRDefault="0004766D">
      <w:r>
        <w:br w:type="page"/>
      </w:r>
    </w:p>
    <w:p w:rsidR="00381AAD" w:rsidRDefault="0004766D">
      <w:pPr>
        <w:pStyle w:val="Heading2"/>
      </w:pPr>
      <w:bookmarkStart w:id="5" w:name="declarations"/>
      <w:r>
        <w:lastRenderedPageBreak/>
        <w:t>Declarations</w:t>
      </w:r>
      <w:bookmarkEnd w:id="5"/>
    </w:p>
    <w:p w:rsidR="00381AAD" w:rsidRDefault="0004766D">
      <w:pPr>
        <w:pStyle w:val="FirstParagraph"/>
      </w:pPr>
      <w:r>
        <w:t xml:space="preserve">Availability of data and material (data transparency): All data used is available </w:t>
      </w:r>
      <w:hyperlink r:id="rId9">
        <w:r>
          <w:rPr>
            <w:rStyle w:val="Hyperlink"/>
          </w:rPr>
          <w:t>here</w:t>
        </w:r>
      </w:hyperlink>
      <w:r>
        <w:t>.</w:t>
      </w:r>
    </w:p>
    <w:p w:rsidR="00381AAD" w:rsidRDefault="0004766D">
      <w:pPr>
        <w:pStyle w:val="BodyText"/>
      </w:pPr>
      <w:r>
        <w:t xml:space="preserve">Code availability: Code to reproduce the analyses is available </w:t>
      </w:r>
      <w:hyperlink r:id="rId10">
        <w:r>
          <w:rPr>
            <w:rStyle w:val="Hyperlink"/>
          </w:rPr>
          <w:t>here</w:t>
        </w:r>
      </w:hyperlink>
      <w:r>
        <w:t xml:space="preserve"> and is archived </w:t>
      </w:r>
      <w:r>
        <w:fldChar w:fldCharType="begin"/>
      </w:r>
      <w:r>
        <w:instrText xml:space="preserve"> HYPERLINK \h </w:instrText>
      </w:r>
      <w:r>
        <w:fldChar w:fldCharType="separate"/>
      </w:r>
      <w:r w:rsidR="005D1BFA">
        <w:rPr>
          <w:b/>
          <w:bCs/>
        </w:rPr>
        <w:t>Error! Hyperlink reference not valid.</w:t>
      </w:r>
      <w:r>
        <w:rPr>
          <w:rStyle w:val="Hyperlink"/>
        </w:rPr>
        <w:fldChar w:fldCharType="end"/>
      </w:r>
      <w:r>
        <w:t>.</w:t>
      </w:r>
    </w:p>
    <w:p w:rsidR="00381AAD" w:rsidRDefault="0004766D">
      <w:pPr>
        <w:pStyle w:val="BodyText"/>
      </w:pPr>
      <w:r>
        <w:t>Abbreviated title: Nursing confidence in managing sedation complications scale</w:t>
      </w:r>
    </w:p>
    <w:p w:rsidR="00381AAD" w:rsidRDefault="0004766D">
      <w:pPr>
        <w:pStyle w:val="BodyText"/>
      </w:pPr>
      <w:r>
        <w:t xml:space="preserve">Funding </w:t>
      </w:r>
      <w:r>
        <w:t>statement: Support was provided solely from institutional and/or departmental sources.</w:t>
      </w:r>
    </w:p>
    <w:p w:rsidR="00381AAD" w:rsidRDefault="0004766D">
      <w:pPr>
        <w:pStyle w:val="BodyText"/>
      </w:pPr>
      <w:r>
        <w:t>Conflicts of interest: The authors declare no competing interests.</w:t>
      </w:r>
    </w:p>
    <w:p w:rsidR="00381AAD" w:rsidRDefault="0004766D">
      <w:pPr>
        <w:pStyle w:val="BodyText"/>
      </w:pPr>
      <w:r>
        <w:t>Author contributions: AC: Study design, data analysis and wrote manuscript; KC: Revised the manuscript</w:t>
      </w:r>
      <w:r>
        <w:t xml:space="preserve"> for important intellectual content; NK: Revised the manuscript for important intellectual content; JS: Study design, data collection, revised the manuscript for important intellectual content.</w:t>
      </w:r>
    </w:p>
    <w:p w:rsidR="00381AAD" w:rsidRDefault="0004766D">
      <w:r>
        <w:br w:type="page"/>
      </w:r>
    </w:p>
    <w:p w:rsidR="00381AAD" w:rsidRDefault="0004766D">
      <w:pPr>
        <w:pStyle w:val="Heading2"/>
      </w:pPr>
      <w:bookmarkStart w:id="6" w:name="introduction-1"/>
      <w:r>
        <w:lastRenderedPageBreak/>
        <w:t>Introduction</w:t>
      </w:r>
      <w:bookmarkEnd w:id="6"/>
    </w:p>
    <w:p w:rsidR="00381AAD" w:rsidRDefault="0004766D">
      <w:pPr>
        <w:pStyle w:val="FirstParagraph"/>
      </w:pPr>
      <w:r>
        <w:t>Sedative and analgesic medications can be admin</w:t>
      </w:r>
      <w:r>
        <w:t>istered to manage pain, discomfort and anxiety or distress during medical procedures that do not require general anaesthesia. This practice is referred to as procedural sedation and analgesia (PSA) (Apfelbaum et al., 2018). It is common for nurses to admin</w:t>
      </w:r>
      <w:r>
        <w:t>ister the sedative and analgesic medications according to prescription from the medical practitioner performing the procedure and to monitor the patient (termed nurse-administered PSA) (Conway et al., 2014). However, complications are known to arise during</w:t>
      </w:r>
      <w:r>
        <w:t xml:space="preserve"> PSA due to side effects of sedative and analgesic medications (Apfelbaum et al., 2018). For example, the sedative medications typically used can cause the passage of air into the lungs to become partially obstructed. The analgesic medications used (typica</w:t>
      </w:r>
      <w:r>
        <w:t>lly the opioids) can also cause the breathing rate to become irregular. If such complications are not detected and corrective interventions applied, the level of oxygen circulating in the blood can drop to a level that is insufficient for the body’s requir</w:t>
      </w:r>
      <w:r>
        <w:t>ements (a condition known as hypoxaemia). If severe enough and left uncorrected, hypoxaemia can result in permanent damage to vital organs, such as the brain and heart, potentially causing serious adverse evnts, such as permanent neurological disability or</w:t>
      </w:r>
      <w:r>
        <w:t xml:space="preserve"> death. Intervening at or soon after the onset of complications can prevent these adverse events from occurring. Therefore, prompt detection and treatment of sedation-related complications is vital to ensure patient safety during procedures performed with </w:t>
      </w:r>
      <w:r>
        <w:t>PSA (Bhananker et al., 2006).</w:t>
      </w:r>
    </w:p>
    <w:p w:rsidR="00381AAD" w:rsidRDefault="0004766D">
      <w:pPr>
        <w:pStyle w:val="BodyText"/>
      </w:pPr>
      <w:r>
        <w:lastRenderedPageBreak/>
        <w:t>Self-efficacy is a measure of one’s beliefs in their capability to produce given attainments (Bandura, 1995). Previous research has demonstrated that people will exert maximal effort and persist despite failure if they believe</w:t>
      </w:r>
      <w:r>
        <w:t xml:space="preserve"> they are capable in completing a given task (Bandura et al., 1999). In the healthcare context, it has been shown that clinicians who lack confidence in their abilities do not take needed actions for their patients (Johnson and Kurtz, 2001). Therefore, it </w:t>
      </w:r>
      <w:r>
        <w:t>is possible that nurses may not take actions to manage sedation-related complications if they lack confidence in their abilities to complete the necessary tasks. Despite clear relevance, there has been no research about nurses’ self-efficacy in managing th</w:t>
      </w:r>
      <w:r>
        <w:t>e complications that arise due to side effects of sedation and analgesic medications administered during medical procedures. For this reason, the aim of this study is to develop an instrument that measures nurses’ self-efficacy in managing complications th</w:t>
      </w:r>
      <w:r>
        <w:t>at are known to arise due to side effects of sedative and analgesic medications administered during medical procedures. We have named this instrument the Nursing Confidence in Managing Sedation Complications Scale (NC-MSCS). Once validated, the NC-MSCS cou</w:t>
      </w:r>
      <w:r>
        <w:t>ld be used in practice to inform the development and evaluation of nursing education programs about the management of complications during sedation. The scale could also be used in the research context as an instrument to compare the effectiveness of diffe</w:t>
      </w:r>
      <w:r>
        <w:t>rent nursing education programs about procedural sedation in improving nursing confidence. Self-efficacy is an individual’s perception of their ability to be successful in a given endeavour people tend to undertake behaviors within their range of self-effi</w:t>
      </w:r>
      <w:r>
        <w:t>cacy and avoid those they perceive would exceed their ability.</w:t>
      </w:r>
    </w:p>
    <w:p w:rsidR="00381AAD" w:rsidRDefault="0004766D">
      <w:pPr>
        <w:pStyle w:val="Heading2"/>
      </w:pPr>
      <w:bookmarkStart w:id="7" w:name="methods-1"/>
      <w:r>
        <w:lastRenderedPageBreak/>
        <w:t>Methods</w:t>
      </w:r>
      <w:bookmarkEnd w:id="7"/>
    </w:p>
    <w:p w:rsidR="00381AAD" w:rsidRDefault="0004766D">
      <w:pPr>
        <w:pStyle w:val="FirstParagraph"/>
      </w:pPr>
      <w:r>
        <w:t>The NC-MSCS was developed and validated through three phases. Content validity of the items was evaluated in the first phase with input from an expert panel of clinicians with expertise</w:t>
      </w:r>
      <w:r>
        <w:t xml:space="preserve"> in procedural sedation. In the second phase, a survey study was undertaken for item reduction and to evaluate the structural validity of the scale. In the third phase, responsiveness was evaluated using a pre-test post-test design.</w:t>
      </w:r>
    </w:p>
    <w:p w:rsidR="00381AAD" w:rsidRDefault="0004766D">
      <w:pPr>
        <w:pStyle w:val="Heading3"/>
      </w:pPr>
      <w:bookmarkStart w:id="8" w:name="participants"/>
      <w:r>
        <w:t>Participants</w:t>
      </w:r>
      <w:bookmarkEnd w:id="8"/>
    </w:p>
    <w:p w:rsidR="00381AAD" w:rsidRDefault="0004766D">
      <w:pPr>
        <w:pStyle w:val="Heading4"/>
      </w:pPr>
      <w:bookmarkStart w:id="9" w:name="expert-panel"/>
      <w:r>
        <w:t>Expert panel</w:t>
      </w:r>
      <w:bookmarkEnd w:id="9"/>
    </w:p>
    <w:p w:rsidR="00381AAD" w:rsidRDefault="0004766D">
      <w:pPr>
        <w:pStyle w:val="FirstParagraph"/>
      </w:pPr>
      <w:r>
        <w:t xml:space="preserve">Clinicians who were known to the authors as having expertise in the area of nurse-administered sedation were invited to participate. These included senior clinicians who have developed education programs or competency assessments for the administration of </w:t>
      </w:r>
      <w:r>
        <w:t>procedural sedation and analgesia or researchers who have published on the topic.</w:t>
      </w:r>
    </w:p>
    <w:p w:rsidR="00381AAD" w:rsidRDefault="0004766D">
      <w:pPr>
        <w:pStyle w:val="Heading4"/>
      </w:pPr>
      <w:bookmarkStart w:id="10" w:name="online-survey"/>
      <w:r>
        <w:t>Online survey</w:t>
      </w:r>
      <w:bookmarkEnd w:id="10"/>
    </w:p>
    <w:p w:rsidR="00381AAD" w:rsidRDefault="0004766D">
      <w:pPr>
        <w:pStyle w:val="FirstParagraph"/>
      </w:pPr>
      <w:r>
        <w:t>Inclusion criteria for this phase of the study were nurses who administer, or monitors patients who have received, procedural sedation and analgesia during a me</w:t>
      </w:r>
      <w:r>
        <w:t>dical procedure. An invitation to participate with a link to an online survey was distributed through Interventional Nursing Council of the Cardiac Society of Australia and New Zealand, Australian College of Operating Room Nurses, Medical Imaging Nurses As</w:t>
      </w:r>
      <w:r>
        <w:t>sociation, Gastroenterological Nurses College of Australia, Thoracic Society of Australia and New Zealand Respiratory Nurses Special Interest Group and the College of Emergency Nursing Australia.</w:t>
      </w:r>
    </w:p>
    <w:p w:rsidR="00381AAD" w:rsidRDefault="0004766D">
      <w:pPr>
        <w:pStyle w:val="Heading4"/>
      </w:pPr>
      <w:bookmarkStart w:id="11" w:name="pre-test-post-test-study"/>
      <w:r>
        <w:lastRenderedPageBreak/>
        <w:t>Pre-test post-test study</w:t>
      </w:r>
      <w:bookmarkEnd w:id="11"/>
    </w:p>
    <w:p w:rsidR="00381AAD" w:rsidRDefault="0004766D">
      <w:pPr>
        <w:pStyle w:val="FirstParagraph"/>
      </w:pPr>
      <w:r>
        <w:t>Nurses who were undergoing a one-da</w:t>
      </w:r>
      <w:r>
        <w:t>y procedural sedation education session delivered by one of the authors (JS) were invited to participate.</w:t>
      </w:r>
    </w:p>
    <w:p w:rsidR="00381AAD" w:rsidRDefault="0004766D">
      <w:pPr>
        <w:pStyle w:val="Heading3"/>
      </w:pPr>
      <w:bookmarkStart w:id="12" w:name="measurement-tools"/>
      <w:r>
        <w:t>Measurement tools</w:t>
      </w:r>
      <w:bookmarkEnd w:id="12"/>
    </w:p>
    <w:p w:rsidR="00381AAD" w:rsidRDefault="0004766D">
      <w:pPr>
        <w:pStyle w:val="Heading4"/>
      </w:pPr>
      <w:bookmarkStart w:id="13" w:name="expert-panel-1"/>
      <w:r>
        <w:t>Expert panel</w:t>
      </w:r>
      <w:bookmarkEnd w:id="13"/>
    </w:p>
    <w:p w:rsidR="00381AAD" w:rsidRDefault="0004766D">
      <w:pPr>
        <w:pStyle w:val="FirstParagraph"/>
      </w:pPr>
      <w:r>
        <w:t>An initial bank of items for potential inclusion in the NC-MSCS was created. Items were chosen based on the authors’ cl</w:t>
      </w:r>
      <w:r>
        <w:t>inical experience as well as from clinical practice guidelines for procedural sedation (Apfelbaum et al., 2018; Conway et al., 2014, 2013a, 2013b; Sutherland et al., 2020). Each item was prefixed with the phrase, ‘I am confident I am able to…". Responses w</w:t>
      </w:r>
      <w:r>
        <w:t>ere measured on a 7-point scale, ranging from ’strongly disagree’ to ‘strongly agree’.</w:t>
      </w:r>
    </w:p>
    <w:p w:rsidR="00381AAD" w:rsidRDefault="0004766D">
      <w:pPr>
        <w:pStyle w:val="BodyText"/>
      </w:pPr>
      <w:r>
        <w:t>The initial bank of items for the NC-MSCS were assessed for relevance using a 4-point scale (1=not relevant; 2=somewhat relevant; 3=quite relevant; 4=highly relevant). I</w:t>
      </w:r>
      <w:r>
        <w:t>n addition, there was free-text space for the expert panel participants to provide suggestions to increase clarity of the wording of the items and to suggest additional items. The draft bank of items comprised four conceptual domains with a total of 37 ite</w:t>
      </w:r>
      <w:r>
        <w:t>ms. Domain one included 6 items that measure nurses’ confidence in identifying patients who are at greater risk of a sedation-related complication based on a pre-procedural assessment. Domain two included 14 items that measure nurses’ confidence in identif</w:t>
      </w:r>
      <w:r>
        <w:t xml:space="preserve">ying and responding to sedation-related complications. Domain three included 11 items that measure nurses’ confidence in identify the situations in which different interventions to treat sedation-related complications may be required. Domain four </w:t>
      </w:r>
      <w:r>
        <w:lastRenderedPageBreak/>
        <w:t xml:space="preserve">included </w:t>
      </w:r>
      <w:r>
        <w:t>7 items that measures nurses’ confidence in the technical skills required for interventions to treat sedation-related complications.</w:t>
      </w:r>
    </w:p>
    <w:p w:rsidR="00381AAD" w:rsidRDefault="0004766D">
      <w:pPr>
        <w:pStyle w:val="Heading4"/>
      </w:pPr>
      <w:bookmarkStart w:id="14" w:name="online-survey-1"/>
      <w:r>
        <w:t>Online survey</w:t>
      </w:r>
      <w:bookmarkEnd w:id="14"/>
    </w:p>
    <w:p w:rsidR="00381AAD" w:rsidRDefault="0004766D">
      <w:pPr>
        <w:pStyle w:val="FirstParagraph"/>
      </w:pPr>
      <w:r>
        <w:rPr>
          <w:i/>
        </w:rPr>
        <w:t>NC-MSCS:</w:t>
      </w:r>
      <w:r>
        <w:t xml:space="preserve"> The items identified by the expert panel as being relevant to the measurement of nursing confidence </w:t>
      </w:r>
      <w:r>
        <w:t>in managing the complications of sedation were included in the survey. They were presented to respondents participating in the online survey in a random order.</w:t>
      </w:r>
    </w:p>
    <w:p w:rsidR="00381AAD" w:rsidRDefault="0004766D">
      <w:pPr>
        <w:pStyle w:val="BodyText"/>
      </w:pPr>
      <w:r>
        <w:rPr>
          <w:i/>
        </w:rPr>
        <w:t>Sedation experience and education:</w:t>
      </w:r>
      <w:r>
        <w:t xml:space="preserve"> Nurses were asked a series of questions in order to ascertain</w:t>
      </w:r>
      <w:r>
        <w:t xml:space="preserve"> the extent of the experience and education in aspects related to the management of sedation-related complications.</w:t>
      </w:r>
    </w:p>
    <w:p w:rsidR="00381AAD" w:rsidRDefault="0004766D">
      <w:pPr>
        <w:pStyle w:val="BodyText"/>
      </w:pPr>
      <w:r>
        <w:rPr>
          <w:i/>
        </w:rPr>
        <w:t>General Self-efficacy:</w:t>
      </w:r>
      <w:r>
        <w:t xml:space="preserve"> The New General Self-efficacy scale (NGSE) was also included in the online survey (Chen et al., 2001). It consists of</w:t>
      </w:r>
      <w:r>
        <w:t xml:space="preserve"> 8 items that has demonstrated high reliability, discriminant validity and predictive validity (Chen et al., 2001). The NGSE scale is scored on a 5-point scale from strongly disagree (1) to strongly agree (5).</w:t>
      </w:r>
    </w:p>
    <w:p w:rsidR="00381AAD" w:rsidRDefault="0004766D">
      <w:pPr>
        <w:pStyle w:val="Heading4"/>
      </w:pPr>
      <w:bookmarkStart w:id="15" w:name="pre-test-post-test-study-1"/>
      <w:r>
        <w:t>Pre-test post-test study</w:t>
      </w:r>
      <w:bookmarkEnd w:id="15"/>
    </w:p>
    <w:p w:rsidR="00381AAD" w:rsidRDefault="0004766D">
      <w:pPr>
        <w:pStyle w:val="FirstParagraph"/>
      </w:pPr>
      <w:r>
        <w:t>Time was allocated at</w:t>
      </w:r>
      <w:r>
        <w:t xml:space="preserve"> the start and end of the education session to allow those nurses who chose to take part in the study to complete the NC-MSCS. In addition to the NC-MSCS, participants responded to a set of items designed to ascertain the extent of their experience and edu</w:t>
      </w:r>
      <w:r>
        <w:t xml:space="preserve">cation in aspects related to the management of sedation-related complications. Participants were also asked to rate the extent to which their overall </w:t>
      </w:r>
      <w:r>
        <w:lastRenderedPageBreak/>
        <w:t xml:space="preserve">knowledge and confidence changed from before to after the sedation training, using a 7-point rating scale </w:t>
      </w:r>
      <w:r>
        <w:t>from (1) greatly decreased to (7) greatly increased.</w:t>
      </w:r>
    </w:p>
    <w:p w:rsidR="00381AAD" w:rsidRDefault="0004766D">
      <w:pPr>
        <w:pStyle w:val="Heading3"/>
      </w:pPr>
      <w:bookmarkStart w:id="16" w:name="X020e123dd040e2655a10921e1eae28946fc76cf"/>
      <w:r>
        <w:t>Statistical considerations and data analysis</w:t>
      </w:r>
      <w:bookmarkEnd w:id="16"/>
    </w:p>
    <w:p w:rsidR="00381AAD" w:rsidRDefault="0004766D">
      <w:pPr>
        <w:pStyle w:val="Heading4"/>
      </w:pPr>
      <w:bookmarkStart w:id="17" w:name="sample-size-considerations"/>
      <w:r>
        <w:t>Sample size considerations</w:t>
      </w:r>
      <w:bookmarkEnd w:id="17"/>
    </w:p>
    <w:p w:rsidR="00381AAD" w:rsidRDefault="0004766D">
      <w:pPr>
        <w:pStyle w:val="FirstParagraph"/>
      </w:pPr>
      <w:r>
        <w:t>We aimed to recruit 8-10 participants for the expert panel survey, as has been recommended for content validation.(Polit et al., 20</w:t>
      </w:r>
      <w:r>
        <w:t>07) We aimed to recruit 200 participants for the nurse survey. A sample of this size met a recommended minimum necessary sample size for factor analysis (assuming the variables-to-factors ratio was not lower than 5) (Mundfrom et al., 2005). For the pre-tes</w:t>
      </w:r>
      <w:r>
        <w:t>t post-test phase of the study, the total number of participants was limited by the number of nurses participating in the education sessions. Therefore, no specific power analysis was performed in order to calculate the sample size.</w:t>
      </w:r>
    </w:p>
    <w:p w:rsidR="00381AAD" w:rsidRDefault="0004766D">
      <w:pPr>
        <w:pStyle w:val="Heading4"/>
      </w:pPr>
      <w:bookmarkStart w:id="18" w:name="statistical-methods"/>
      <w:r>
        <w:t>Statistical methods</w:t>
      </w:r>
      <w:bookmarkEnd w:id="18"/>
    </w:p>
    <w:p w:rsidR="00381AAD" w:rsidRDefault="0004766D">
      <w:pPr>
        <w:pStyle w:val="FirstParagraph"/>
      </w:pPr>
      <w:r>
        <w:t>For</w:t>
      </w:r>
      <w:r>
        <w:t xml:space="preserve"> the expert panel survey, ratings of the relevance of items were used to compute the content validity index for each item by averaging the proportion of respondents that rated the item as a 3 or 4 (i.e. ‘quite relevant’ or ‘highly relevant’)(Polit et al., </w:t>
      </w:r>
      <w:r>
        <w:t>2007). Items with a content validity index of less than 0.78 were considered for revision and those with very low index values were considered for deletion(Polit et al., 2007). In addition, the research team revised the wording of items based on panel memb</w:t>
      </w:r>
      <w:r>
        <w:t>ers’ responses regarding the clarity of items.</w:t>
      </w:r>
    </w:p>
    <w:p w:rsidR="00381AAD" w:rsidRDefault="0004766D">
      <w:pPr>
        <w:pStyle w:val="BodyText"/>
      </w:pPr>
      <w:r>
        <w:lastRenderedPageBreak/>
        <w:t xml:space="preserve">For item reduction and examination of the structural validation of the NC-MSCS, the following analyses were undertaken using nurses’ responses from the online survey. Ordinary least squares estimations with a </w:t>
      </w:r>
      <w:r>
        <w:t>matrix of polychoric correlations was generated for an exploratory factor analysis due to the use of ordinal response variables (Gaskin and Happell, 2014). Parallel analysis was used to determine the optimal number of factors for extraction and principal a</w:t>
      </w:r>
      <w:r>
        <w:t>xis factoring with promax rotation was used for factor extraction. Internal consistency, calculated using Cronbach’s alpha coefficient, was calculated to examine the reliability of the scale. There was less than 2% missing data for all scale items. We impu</w:t>
      </w:r>
      <w:r>
        <w:t>ted missing values using expectation maximization (Fox-Wasylyshyn and El-Masri, 2005).</w:t>
      </w:r>
    </w:p>
    <w:p w:rsidR="00381AAD" w:rsidRDefault="0004766D">
      <w:pPr>
        <w:pStyle w:val="BodyText"/>
      </w:pPr>
      <w:r>
        <w:t>Construct validity was evaluated by using multivariable linear regression to identify associations between scores on the NC-MSCS and nurses’ experience and education reg</w:t>
      </w:r>
      <w:r>
        <w:t>arding sedation. We hypothesised that higher scores on the NC-MSCS would be associated with:</w:t>
      </w:r>
    </w:p>
    <w:p w:rsidR="00381AAD" w:rsidRDefault="0004766D">
      <w:pPr>
        <w:pStyle w:val="Compact"/>
        <w:numPr>
          <w:ilvl w:val="0"/>
          <w:numId w:val="5"/>
        </w:numPr>
      </w:pPr>
      <w:r>
        <w:t>nurses who reported more years of experience administering sedation</w:t>
      </w:r>
    </w:p>
    <w:p w:rsidR="00381AAD" w:rsidRDefault="0004766D">
      <w:pPr>
        <w:pStyle w:val="Compact"/>
        <w:numPr>
          <w:ilvl w:val="0"/>
          <w:numId w:val="5"/>
        </w:numPr>
      </w:pPr>
      <w:r>
        <w:t>nurses who reported more years of experience in nursing</w:t>
      </w:r>
    </w:p>
    <w:p w:rsidR="00381AAD" w:rsidRDefault="0004766D">
      <w:pPr>
        <w:pStyle w:val="Compact"/>
        <w:numPr>
          <w:ilvl w:val="0"/>
          <w:numId w:val="5"/>
        </w:numPr>
      </w:pPr>
      <w:r>
        <w:t>nurses who worked in departments that p</w:t>
      </w:r>
      <w:r>
        <w:t>rovided formal education in sedation</w:t>
      </w:r>
    </w:p>
    <w:p w:rsidR="00381AAD" w:rsidRDefault="0004766D">
      <w:pPr>
        <w:pStyle w:val="Compact"/>
        <w:numPr>
          <w:ilvl w:val="0"/>
          <w:numId w:val="5"/>
        </w:numPr>
      </w:pPr>
      <w:r>
        <w:t>nurses who were certified in ALS</w:t>
      </w:r>
    </w:p>
    <w:p w:rsidR="00381AAD" w:rsidRDefault="0004766D">
      <w:pPr>
        <w:pStyle w:val="Compact"/>
        <w:numPr>
          <w:ilvl w:val="0"/>
          <w:numId w:val="5"/>
        </w:numPr>
      </w:pPr>
      <w:r>
        <w:t>nurses who administered sedation more frequently</w:t>
      </w:r>
    </w:p>
    <w:p w:rsidR="00381AAD" w:rsidRDefault="0004766D">
      <w:pPr>
        <w:pStyle w:val="Compact"/>
        <w:numPr>
          <w:ilvl w:val="0"/>
          <w:numId w:val="5"/>
        </w:numPr>
      </w:pPr>
      <w:r>
        <w:t>nurses who have higher ratings for general self-efficacy (measured using the NGSE) (Chen et al., 2001)</w:t>
      </w:r>
    </w:p>
    <w:p w:rsidR="00381AAD" w:rsidRDefault="0004766D">
      <w:pPr>
        <w:pStyle w:val="Compact"/>
        <w:numPr>
          <w:ilvl w:val="0"/>
          <w:numId w:val="5"/>
        </w:numPr>
      </w:pPr>
      <w:r>
        <w:t>nurses who rated their knowledge about sedation higher</w:t>
      </w:r>
    </w:p>
    <w:p w:rsidR="00381AAD" w:rsidRDefault="0004766D">
      <w:pPr>
        <w:pStyle w:val="Compact"/>
        <w:numPr>
          <w:ilvl w:val="0"/>
          <w:numId w:val="5"/>
        </w:numPr>
      </w:pPr>
      <w:r>
        <w:lastRenderedPageBreak/>
        <w:t>nurses who worked in critical care (emergency department/ICU/PACU) or anaesthesia.</w:t>
      </w:r>
    </w:p>
    <w:p w:rsidR="00381AAD" w:rsidRDefault="0004766D">
      <w:pPr>
        <w:pStyle w:val="FirstParagraph"/>
      </w:pPr>
      <w:r>
        <w:t>To evaluate responsiveness, analyses focused on testing the hypothesis that there would be a positive correlation betw</w:t>
      </w:r>
      <w:r>
        <w:t>een the change in participants NC-MSCS scores and changes in participant ratings of their overall knowledge and confidence in managing sedation complications from before to after undertaking a training course in sedation. Linear regression was used to dete</w:t>
      </w:r>
      <w:r>
        <w:t>rmine the association between total NC-MSCS scores with participants’ ratings of overall knowledge and confidence in managing PSA complications as well as change in knowledge and confidence from pre to post training in sedation and general self-efficacy sc</w:t>
      </w:r>
      <w:r>
        <w:t>ale scores. We used Tufte Slopegraph to visually display the change in NC-MSCS scores from the pre to post time-points, and used bootstrap estimation (5000 resamples) to calculate the mean difference with 95% confidence intervals (Ho et al., 2019). A stand</w:t>
      </w:r>
      <w:r>
        <w:t>ardized response mean (mean change divided by the standard deviation of the change score) was also calculated.</w:t>
      </w:r>
    </w:p>
    <w:p w:rsidR="00381AAD" w:rsidRDefault="0004766D">
      <w:pPr>
        <w:pStyle w:val="Heading2"/>
      </w:pPr>
      <w:bookmarkStart w:id="19" w:name="results-1"/>
      <w:r>
        <w:t>Results</w:t>
      </w:r>
      <w:bookmarkEnd w:id="19"/>
    </w:p>
    <w:p w:rsidR="00381AAD" w:rsidRDefault="0004766D">
      <w:pPr>
        <w:pStyle w:val="Heading3"/>
      </w:pPr>
      <w:bookmarkStart w:id="20" w:name="content-validity"/>
      <w:r>
        <w:t>Content validity</w:t>
      </w:r>
      <w:bookmarkEnd w:id="20"/>
    </w:p>
    <w:p w:rsidR="00381AAD" w:rsidRDefault="0004766D">
      <w:pPr>
        <w:pStyle w:val="FirstParagraph"/>
      </w:pPr>
      <w:r>
        <w:t>We received responses from nine participants for the expert panel. Pre-specified criteria for content validity was met w</w:t>
      </w:r>
      <w:r>
        <w:t>ith the item-content validity index being higher than 0.78 for 34 items and the scale content validity index was 0.91.</w:t>
      </w:r>
    </w:p>
    <w:p w:rsidR="00381AAD" w:rsidRDefault="0004766D">
      <w:pPr>
        <w:pStyle w:val="Heading3"/>
      </w:pPr>
      <w:bookmarkStart w:id="21" w:name="structural-validity"/>
      <w:r>
        <w:lastRenderedPageBreak/>
        <w:t>Structural validity</w:t>
      </w:r>
      <w:bookmarkEnd w:id="21"/>
    </w:p>
    <w:p w:rsidR="00381AAD" w:rsidRDefault="0004766D">
      <w:pPr>
        <w:pStyle w:val="FirstParagraph"/>
      </w:pPr>
      <w:r>
        <w:t xml:space="preserve">Usable data for the analyses was obtained from 228 nurses. Demographic characteristics are presented in Table </w:t>
      </w:r>
      <w:hyperlink w:anchor="tab1">
        <w:r>
          <w:fldChar w:fldCharType="begin"/>
        </w:r>
        <w:r>
          <w:instrText xml:space="preserve"> REF tab1 \h</w:instrText>
        </w:r>
        <w:r w:rsidR="005D1BFA">
          <w:fldChar w:fldCharType="separate"/>
        </w:r>
        <w:r w:rsidR="005D1BFA">
          <w:rPr>
            <w:noProof/>
          </w:rPr>
          <w:t>1</w:t>
        </w:r>
        <w:r>
          <w:fldChar w:fldCharType="end"/>
        </w:r>
      </w:hyperlink>
      <w:r>
        <w:t>. The majority of the sample was highly experienced both in terms of total years in nursing and the number of years experience with procedural sedation.</w:t>
      </w:r>
    </w:p>
    <w:p w:rsidR="00381AAD" w:rsidRDefault="0004766D">
      <w:pPr>
        <w:pStyle w:val="BodyText"/>
      </w:pPr>
      <w:r>
        <w:t>Before the mai</w:t>
      </w:r>
      <w:r>
        <w:t xml:space="preserve">n analysis, the appropriateness of factor analysis was considered. The Kaiser-Meyer-Olkin measure of sampling adequacy was high at 0.95. Examination of the scree plot (Figure </w:t>
      </w:r>
      <w:hyperlink w:anchor="scree">
        <w:r>
          <w:fldChar w:fldCharType="begin"/>
        </w:r>
        <w:r>
          <w:instrText xml:space="preserve"> REF scree \h</w:instrText>
        </w:r>
        <w:r w:rsidR="005D1BFA">
          <w:fldChar w:fldCharType="separate"/>
        </w:r>
        <w:r w:rsidR="005D1BFA">
          <w:rPr>
            <w:noProof/>
          </w:rPr>
          <w:t>1</w:t>
        </w:r>
        <w:r>
          <w:fldChar w:fldCharType="end"/>
        </w:r>
      </w:hyperlink>
      <w:r>
        <w:t>) and parallel analysis indicated that a 3-factor solution was appropriate. Items that did not meet criteria were deleted one at a time with factor analyis repeated after each item deletion. We repeated this process until all items retained had a factor lo</w:t>
      </w:r>
      <w:r>
        <w:t xml:space="preserve">ading of at least 0.40 and loaded on one coherent factor. The original scale was reduced from 34 to 18 items (Figure </w:t>
      </w:r>
      <w:hyperlink w:anchor="facanalysis">
        <w:r>
          <w:fldChar w:fldCharType="begin"/>
        </w:r>
        <w:r>
          <w:instrText xml:space="preserve"> REF facanalysis \h</w:instrText>
        </w:r>
        <w:r w:rsidR="005D1BFA">
          <w:fldChar w:fldCharType="separate"/>
        </w:r>
        <w:r w:rsidR="005D1BFA">
          <w:rPr>
            <w:noProof/>
          </w:rPr>
          <w:t>2</w:t>
        </w:r>
        <w:r>
          <w:fldChar w:fldCharType="end"/>
        </w:r>
      </w:hyperlink>
      <w:r>
        <w:t>). Eight items were re</w:t>
      </w:r>
      <w:r>
        <w:t>moved because there were high loadings (&gt;.35) on more than one subscale, with loading differences &lt;.15. A further eight items were removed because the items did not load on a conceptually consistent subscale. For example, the item “I am confident I am able</w:t>
      </w:r>
      <w:r>
        <w:t xml:space="preserve"> to identify laryngospasm”, loaded with items related to risk assessment. Subscales were named 1) Risk assessment; 2) Identifying and responding to cardiorespiratory complications; 3) Technical airway skills. The subscales together accounted for 65.6% of t</w:t>
      </w:r>
      <w:r>
        <w:t xml:space="preserve">he variance in the scale. Cronbach’s alpha for the 18-item scale (Cronbach’s </w:t>
      </w:r>
      <w:r>
        <w:t>𝛂</w:t>
      </w:r>
      <w:r>
        <w:t xml:space="preserve"> 0.95) and each subscale was high (Cronbach’s </w:t>
      </w:r>
      <w:r>
        <w:t>𝛂</w:t>
      </w:r>
      <w:r>
        <w:t xml:space="preserve"> &gt;0.85). The minimum score for the 18-item NC-MSCS is 18 and maximum is 126. The distribution of scores is presented in Figure </w:t>
      </w:r>
      <w:hyperlink w:anchor="dist">
        <w:r>
          <w:fldChar w:fldCharType="begin"/>
        </w:r>
        <w:r>
          <w:instrText xml:space="preserve"> REF dist \h</w:instrText>
        </w:r>
        <w:r w:rsidR="005D1BFA">
          <w:fldChar w:fldCharType="separate"/>
        </w:r>
        <w:r w:rsidR="005D1BFA">
          <w:rPr>
            <w:noProof/>
          </w:rPr>
          <w:t>3</w:t>
        </w:r>
        <w:r>
          <w:fldChar w:fldCharType="end"/>
        </w:r>
      </w:hyperlink>
      <w:r>
        <w:t>. The technical airway skills and identifying and responding to cardiorespiratory complications subscales were heavily right-skewed.</w:t>
      </w:r>
    </w:p>
    <w:p w:rsidR="00381AAD" w:rsidRDefault="0004766D">
      <w:pPr>
        <w:pStyle w:val="Heading3"/>
      </w:pPr>
      <w:bookmarkStart w:id="22" w:name="construct-validity"/>
      <w:r>
        <w:lastRenderedPageBreak/>
        <w:t>Construct validity</w:t>
      </w:r>
      <w:bookmarkEnd w:id="22"/>
    </w:p>
    <w:p w:rsidR="00381AAD" w:rsidRDefault="0004766D">
      <w:pPr>
        <w:pStyle w:val="FirstParagraph"/>
      </w:pPr>
      <w:r>
        <w:t>Construct</w:t>
      </w:r>
      <w:r>
        <w:t xml:space="preserve"> validity was established with significant differences (p&lt;0.001) in NC-MSCS scores relative to years of nursing experience and specialty area of practice (critical care/anaesthesia nurses reported higher NC-MSCS scores than procedural/operating theatre nur</w:t>
      </w:r>
      <w:r>
        <w:t xml:space="preserve">ses) (Table </w:t>
      </w:r>
      <w:hyperlink w:anchor="construct">
        <w:r>
          <w:fldChar w:fldCharType="begin"/>
        </w:r>
        <w:r>
          <w:instrText xml:space="preserve"> REF construct \h</w:instrText>
        </w:r>
        <w:r w:rsidR="005D1BFA">
          <w:fldChar w:fldCharType="separate"/>
        </w:r>
        <w:r w:rsidR="005D1BFA">
          <w:rPr>
            <w:noProof/>
          </w:rPr>
          <w:t>2</w:t>
        </w:r>
        <w:r>
          <w:fldChar w:fldCharType="end"/>
        </w:r>
      </w:hyperlink>
      <w:r>
        <w:t>). Statistically significant positive correlations between NC-MSCS scores and participant ratings of knowledge and confidence in man</w:t>
      </w:r>
      <w:r>
        <w:t>aging procedural sedation as well as perceived general self-efficacy were also observed (Figure 1).</w:t>
      </w:r>
    </w:p>
    <w:p w:rsidR="00381AAD" w:rsidRDefault="0004766D">
      <w:pPr>
        <w:pStyle w:val="Heading3"/>
      </w:pPr>
      <w:bookmarkStart w:id="23" w:name="responsiveness"/>
      <w:r>
        <w:t>Responsiveness</w:t>
      </w:r>
      <w:bookmarkEnd w:id="23"/>
    </w:p>
    <w:p w:rsidR="00381AAD" w:rsidRDefault="0004766D">
      <w:pPr>
        <w:pStyle w:val="FirstParagraph"/>
      </w:pPr>
      <w:r>
        <w:t>A total of 31 participated in the pre-test post-test study. Characteristics for participants included in this phase of the study are displaye</w:t>
      </w:r>
      <w:r>
        <w:t xml:space="preserve">d in Table </w:t>
      </w:r>
      <w:hyperlink w:anchor="resptable">
        <w:r>
          <w:fldChar w:fldCharType="begin"/>
        </w:r>
        <w:r>
          <w:instrText xml:space="preserve"> REF resptable \h</w:instrText>
        </w:r>
        <w:r w:rsidR="005D1BFA">
          <w:fldChar w:fldCharType="separate"/>
        </w:r>
        <w:r w:rsidR="005D1BFA">
          <w:rPr>
            <w:noProof/>
          </w:rPr>
          <w:t>3</w:t>
        </w:r>
        <w:r>
          <w:fldChar w:fldCharType="end"/>
        </w:r>
      </w:hyperlink>
      <w:r>
        <w:t>. On average, participants had approximately 4 years of experience administering sedation but reported only infrequently being require</w:t>
      </w:r>
      <w:r>
        <w:t xml:space="preserve">d to administer or monitor patients who have received procedural sedation in a typical working week. Score distributions for each subscale and the total scale for the pre-test are presented in Figure </w:t>
      </w:r>
      <w:hyperlink w:anchor="predist">
        <w:r>
          <w:fldChar w:fldCharType="begin"/>
        </w:r>
        <w:r>
          <w:instrText xml:space="preserve"> REF predist \h</w:instrText>
        </w:r>
        <w:r w:rsidR="005D1BFA">
          <w:fldChar w:fldCharType="separate"/>
        </w:r>
        <w:r w:rsidR="005D1BFA">
          <w:rPr>
            <w:noProof/>
          </w:rPr>
          <w:t>4</w:t>
        </w:r>
        <w:r>
          <w:fldChar w:fldCharType="end"/>
        </w:r>
      </w:hyperlink>
      <w:r>
        <w:t xml:space="preserve">. The change in NC-MSCS scores, displayed in Figure </w:t>
      </w:r>
      <w:hyperlink w:anchor="change">
        <w:r>
          <w:fldChar w:fldCharType="begin"/>
        </w:r>
        <w:r>
          <w:instrText xml:space="preserve"> REF change \h</w:instrText>
        </w:r>
        <w:r w:rsidR="005D1BFA">
          <w:fldChar w:fldCharType="separate"/>
        </w:r>
        <w:r w:rsidR="005D1BFA">
          <w:rPr>
            <w:noProof/>
          </w:rPr>
          <w:t>5</w:t>
        </w:r>
        <w:r>
          <w:fldChar w:fldCharType="end"/>
        </w:r>
      </w:hyperlink>
      <w:r>
        <w:t>, increased significantly from pre to post-training</w:t>
      </w:r>
      <w:r>
        <w:t xml:space="preserve"> in sedation (mean difference = 31.8; 95% CI = 24.4 to 39). In addition, the change in NC-MSCS scores were positively correlated with the change in participants’ ratings of overall confidence and knowledge about management of PSA complications (Figure </w:t>
      </w:r>
      <w:hyperlink w:anchor="reg">
        <w:r>
          <w:fldChar w:fldCharType="begin"/>
        </w:r>
        <w:r>
          <w:instrText xml:space="preserve"> REF reg \h</w:instrText>
        </w:r>
        <w:r w:rsidR="005D1BFA">
          <w:fldChar w:fldCharType="separate"/>
        </w:r>
        <w:r w:rsidR="005D1BFA">
          <w:rPr>
            <w:noProof/>
          </w:rPr>
          <w:t>6</w:t>
        </w:r>
        <w:r>
          <w:fldChar w:fldCharType="end"/>
        </w:r>
      </w:hyperlink>
      <w:r>
        <w:t>). The standardized response mean, adjusted for the correlation between pre and post measurements, was 1.3.</w:t>
      </w:r>
    </w:p>
    <w:p w:rsidR="00381AAD" w:rsidRDefault="0004766D">
      <w:pPr>
        <w:pStyle w:val="Heading2"/>
      </w:pPr>
      <w:bookmarkStart w:id="24" w:name="discussion"/>
      <w:r>
        <w:lastRenderedPageBreak/>
        <w:t>Discussion</w:t>
      </w:r>
      <w:bookmarkEnd w:id="24"/>
    </w:p>
    <w:p w:rsidR="00381AAD" w:rsidRDefault="0004766D">
      <w:pPr>
        <w:pStyle w:val="FirstParagraph"/>
      </w:pPr>
      <w:r>
        <w:t>The aim of this study was to develop a scale to</w:t>
      </w:r>
      <w:r>
        <w:t xml:space="preserve"> measure nursing confidence in managing sedation-related complications. A large sample of nurses with diverse clinical experience across the numerous specialties in which sedation is frequently used participated in the study. This provided the opportunity </w:t>
      </w:r>
      <w:r>
        <w:t>to eliminate redundancy from an inital comprehensive item pool, which was created by the authors of this study but refined by an expert panel using a rigorous process for establishing content validity (Polit et al., 2007). The resultant 18-item NC-MSCS dem</w:t>
      </w:r>
      <w:r>
        <w:t>onstrated a robust 3-factor structure with high internal consistency overall, as well as for each subscale measuring the domains of confidence in risk assessment, identification and responses to cardiorespiratory complications and application of airway int</w:t>
      </w:r>
      <w:r>
        <w:t>erventions. Importantly, the scale was able to distinguish between-group differences based on specialty expertise. Nurses who worked in critical care areas (defined as ICU, emergency or anaesthesia/recovery) reported considerably higher levels of confidenc</w:t>
      </w:r>
      <w:r>
        <w:t xml:space="preserve">e in managing sedation-related complications compared with nurses who worked in other specialties (eg. cardiac cath lab, radiology, endoscopy surgery). Effect sizes for associations between NC-MSCS and years of experience in nursing, general self-efficacy </w:t>
      </w:r>
      <w:r>
        <w:t>and general knowledge about managing sedation-related complications were statistically significant but very small.</w:t>
      </w:r>
    </w:p>
    <w:p w:rsidR="00381AAD" w:rsidRDefault="0004766D">
      <w:pPr>
        <w:pStyle w:val="BodyText"/>
      </w:pPr>
      <w:r>
        <w:t>The NC-MSCS does not attempt to measure overcomplicated activities or tasks that go beyond nurses’ knowledge or competences related to admini</w:t>
      </w:r>
      <w:r>
        <w:t xml:space="preserve">stering and monitoring procedural sedation, which have been outlined in clinical practice guideline statements </w:t>
      </w:r>
      <w:r>
        <w:lastRenderedPageBreak/>
        <w:t>from professional societies (Apfelbaum et al., 2018; Conway et al., 2013a). The 18-item NC-MSCS offers a very quick and simple tool for measuring</w:t>
      </w:r>
      <w:r>
        <w:t xml:space="preserve"> self-efficacy in performing such aspects of procedural sedation management. Although no prior research has specifically examined the effect of low levels on confidence toward the optimal management of sedation-related complications, research from other si</w:t>
      </w:r>
      <w:r>
        <w:t xml:space="preserve">milar clinical contexts provides some insight. For example, research in the resuscitation context has consistently demonstrated that lack of confidence is a barrier to achieving good quality cardiopulmonary resuscitation (Roh et al., 2012; Vaillancourt et </w:t>
      </w:r>
      <w:r>
        <w:t xml:space="preserve">al., 2013). Therefore, the NC-MSCS could be a useful tool for self-reflection, or to guide and inform sedation training initiatives and to inform formal competency assessment activities. An online version of the complete scale can be accessed and scored </w:t>
      </w:r>
      <w:hyperlink r:id="rId11">
        <w:r>
          <w:rPr>
            <w:rStyle w:val="Hyperlink"/>
          </w:rPr>
          <w:t>here</w:t>
        </w:r>
      </w:hyperlink>
      <w:r>
        <w:t>.</w:t>
      </w:r>
    </w:p>
    <w:p w:rsidR="00381AAD" w:rsidRDefault="0004766D">
      <w:pPr>
        <w:pStyle w:val="BodyText"/>
      </w:pPr>
      <w:r>
        <w:t>The right-skewed distribution of subscale scores in the online survey should be noted. We used polychoric correlations for the exploratory factor analysis, which is the recommended approach for skewed data (Eijk and Rose, 2015; Gaskin and Happell, 2014). A</w:t>
      </w:r>
      <w:r>
        <w:t>lthough the potential for a ceiling effect should not be ruled out, it is reassuring that the distribution of scores in the pre-sedation training group was not right-skewed. It is likely the higher ratings for items within these particular subscales that w</w:t>
      </w:r>
      <w:r>
        <w:t>ere observed in the online survey were associated with specific characteristics of the sample, such as participants’ years of experience in nursing and the clinical settings in which the participants practiced (e.g. critical care setting versus procedural/</w:t>
      </w:r>
      <w:r>
        <w:t>medical settings).</w:t>
      </w:r>
    </w:p>
    <w:p w:rsidR="00381AAD" w:rsidRDefault="0004766D">
      <w:pPr>
        <w:pStyle w:val="BodyText"/>
      </w:pPr>
      <w:r>
        <w:t>The sample for the online survey was highly experienced and reported high levels of confidence in managing sedation complications. A convenience sampling approach and recruitment of participants through professional nursing organizations</w:t>
      </w:r>
      <w:r>
        <w:t xml:space="preserve"> is the likely </w:t>
      </w:r>
      <w:r>
        <w:lastRenderedPageBreak/>
        <w:t>reason for. The sample is therefore not entirely representative of the broader population of nurses who are involved in the management of procedural sedation. Prior research has identified that although sampling through professional organiza</w:t>
      </w:r>
      <w:r>
        <w:t>tions is a convenient approach to access a more broadly geographically distributed sample, it does not adequately represent the characteristics of the population (Gillespie et al., 2010). Conducting confirmatory factor analysis with a different sample of n</w:t>
      </w:r>
      <w:r>
        <w:t>urses would be useful to determine if the factor structure we identified is robust to sampling procedures.</w:t>
      </w:r>
    </w:p>
    <w:p w:rsidR="00381AAD" w:rsidRDefault="0004766D">
      <w:pPr>
        <w:pStyle w:val="BodyText"/>
      </w:pPr>
      <w:r>
        <w:t>If adjusted for the correlation between pre and post measurements, Cohen’s rule-of-thumb thresholds for interpreting effect size can be applied for t</w:t>
      </w:r>
      <w:r>
        <w:t>he standardized response mean, which was one statistic we used to assess responsiveness of the NC-MSCS (Cohen, 2013; Sivan, 2009). Results indicate there was a large improvement in confidence in the pre-test post-test study (SRMadj 1.3). In addition, there</w:t>
      </w:r>
      <w:r>
        <w:t xml:space="preserve"> was a positive and strong relationship between changes in the NC-MSCS from pre to post training with perceived changes in overall knowledge and confidence. It is reassuring that the NC-MSCS was able to detect a change in participants’ confidence after und</w:t>
      </w:r>
      <w:r>
        <w:t>ertaking a formal education session in management of sedation. Undertaking further investigations, such as test-retest reliability to determine the minimal detectable difference in NC-MSCS scores, would be required in order for this scale to be used with c</w:t>
      </w:r>
      <w:r>
        <w:t>onfidence as a measure to judge the effectiveness of particular sedation training programs/modes of sedation training. For example, considering the not insignificant costs associated with in-person training, there may be advantages to delivering all or par</w:t>
      </w:r>
      <w:r>
        <w:t xml:space="preserve">t of sedation education using more affordable and accessible online virtual </w:t>
      </w:r>
      <w:r>
        <w:lastRenderedPageBreak/>
        <w:t>modalities (Tobin et al., 2013). One way the efficacy of these alternative approaches could be compared would be to use the NC-MSCS as an outcome measure.</w:t>
      </w:r>
    </w:p>
    <w:p w:rsidR="00381AAD" w:rsidRDefault="0004766D">
      <w:pPr>
        <w:pStyle w:val="BodyText"/>
      </w:pPr>
      <w:r>
        <w:t>In many institutions, con</w:t>
      </w:r>
      <w:r>
        <w:t>siderable time and effort is directed towards annual compentency assessments for a variety of aspects of clinical care. Competency in procedural sedation is one such area. The timeframe for such assessments, however, seems to be arbitrarily set and there i</w:t>
      </w:r>
      <w:r>
        <w:t>s limited consideration of tailoring assessment to nurses individual capabilitlies and education needs. Application of the NC-MSCS in education practice could be useful as a tool to stratify more experienced nurses to receive either further education and t</w:t>
      </w:r>
      <w:r>
        <w:t>raining in sedation (low confidence) or straight to simulation testing to ensure inaccurate calibration (high confidence but poor performance) is not an issue.</w:t>
      </w:r>
    </w:p>
    <w:p w:rsidR="00381AAD" w:rsidRDefault="0004766D">
      <w:pPr>
        <w:pStyle w:val="Heading3"/>
      </w:pPr>
      <w:bookmarkStart w:id="25" w:name="limitations"/>
      <w:r>
        <w:t>Limitations</w:t>
      </w:r>
      <w:bookmarkEnd w:id="25"/>
    </w:p>
    <w:p w:rsidR="00381AAD" w:rsidRDefault="0004766D">
      <w:pPr>
        <w:pStyle w:val="FirstParagraph"/>
      </w:pPr>
      <w:r>
        <w:t>Respondents in the online survey were relatively homogenous in regard to having a la</w:t>
      </w:r>
      <w:r>
        <w:t xml:space="preserve">rge amount of experience in sedation as well as being highly experienced nurses. We recommend future testing of the NC-MSCS in samples with greater heterogeneity. The use of a professional organisations gives rise to selection bias. A convenience sampling </w:t>
      </w:r>
      <w:r>
        <w:t>approach was used for the pre-test post-test study. As such, selection bias may have influenced the results of the analyses conducted to evaluate the responsiveness of the NC-MSCS. Further psychometric testing to establish criterion-related validity and te</w:t>
      </w:r>
      <w:r>
        <w:t>st–retest reliability would strengthen confidence in the usefullness of the NC-MSCS.</w:t>
      </w:r>
    </w:p>
    <w:p w:rsidR="00381AAD" w:rsidRDefault="0004766D">
      <w:pPr>
        <w:pStyle w:val="Heading3"/>
      </w:pPr>
      <w:bookmarkStart w:id="26" w:name="conclusion-1"/>
      <w:r>
        <w:lastRenderedPageBreak/>
        <w:t>Conclusion</w:t>
      </w:r>
      <w:bookmarkEnd w:id="26"/>
    </w:p>
    <w:p w:rsidR="00381AAD" w:rsidRDefault="0004766D">
      <w:pPr>
        <w:pStyle w:val="FirstParagraph"/>
      </w:pPr>
      <w:r>
        <w:t xml:space="preserve">Self-efficacy is a strong predictor of the level of accomplishment that individuals attain (Bandura et al., 1999). Nurses may fail to apply their knowledge and </w:t>
      </w:r>
      <w:r>
        <w:t>skills successfully unless they have an adequate level of self-efficacy in tasks related to management of procedural sedation. The psychometric properties of the NC-MSCS appear encouraging. Further testing of the instrument is required in different samples</w:t>
      </w:r>
      <w:r>
        <w:t xml:space="preserve"> to provide further evidence of validity and to determine the minimal important difference. A particularly important further test of the validity of the NC-MSCS will be to determine if higher levels of confidence (as assessed by the scale) are associated w</w:t>
      </w:r>
      <w:r>
        <w:t>ith safer patient care. This scale could be used to guide and inform education and training of nurses as well as complement formal competency assessment.</w:t>
      </w:r>
    </w:p>
    <w:p w:rsidR="00381AAD" w:rsidRDefault="0004766D">
      <w:r>
        <w:br w:type="page"/>
      </w:r>
    </w:p>
    <w:p w:rsidR="00381AAD" w:rsidRDefault="0004766D">
      <w:pPr>
        <w:pStyle w:val="Heading2"/>
      </w:pPr>
      <w:bookmarkStart w:id="27" w:name="references"/>
      <w:r>
        <w:lastRenderedPageBreak/>
        <w:t>References</w:t>
      </w:r>
      <w:bookmarkEnd w:id="27"/>
    </w:p>
    <w:p w:rsidR="00381AAD" w:rsidRDefault="0004766D">
      <w:pPr>
        <w:pStyle w:val="Bibliography"/>
      </w:pPr>
      <w:bookmarkStart w:id="28" w:name="ref-apfelbaum2018practice"/>
      <w:bookmarkStart w:id="29" w:name="refs"/>
      <w:r>
        <w:t xml:space="preserve">Apfelbaum, J., Gross, J., Connis, R., Agarkar, M., Arnold, D., Coté, C., Tung, A., 2018. </w:t>
      </w:r>
      <w:r>
        <w:t>Practice guidelines for moderate procedural sedation and analgesia 2018: A report by the american society of anesthesiologists task force on moderate procedural sedation and analgesia, the american association of oral and maxillofacial surgeons, american c</w:t>
      </w:r>
      <w:r>
        <w:t>ollege of radiology, american dental association, american society of dentist anesthesiologists, and society of interventional radiology. Anesthesiology 128, 437–79.</w:t>
      </w:r>
    </w:p>
    <w:p w:rsidR="00381AAD" w:rsidRDefault="0004766D">
      <w:pPr>
        <w:pStyle w:val="Bibliography"/>
      </w:pPr>
      <w:bookmarkStart w:id="30" w:name="ref-Bandura_1995"/>
      <w:bookmarkEnd w:id="28"/>
      <w:r>
        <w:t xml:space="preserve">Bandura, A., 1995. Exercise of personal and collective efficacy in changing societies, in: Self-Efficacy in Changing Societies. Cambridge University Press, pp. 1–45. </w:t>
      </w:r>
      <w:hyperlink r:id="rId12">
        <w:r>
          <w:rPr>
            <w:rStyle w:val="Hyperlink"/>
          </w:rPr>
          <w:t>https://doi.org/10.1017/cb</w:t>
        </w:r>
        <w:r>
          <w:rPr>
            <w:rStyle w:val="Hyperlink"/>
          </w:rPr>
          <w:t>o9780511527692.003</w:t>
        </w:r>
      </w:hyperlink>
    </w:p>
    <w:p w:rsidR="00381AAD" w:rsidRDefault="0004766D">
      <w:pPr>
        <w:pStyle w:val="Bibliography"/>
      </w:pPr>
      <w:bookmarkStart w:id="31" w:name="ref-bandura1999self"/>
      <w:bookmarkEnd w:id="30"/>
      <w:r>
        <w:t>Bandura, A., Freeman, W., Lightsey, R., 1999. Self-efficacy: The exercise of control.</w:t>
      </w:r>
    </w:p>
    <w:p w:rsidR="00381AAD" w:rsidRDefault="0004766D">
      <w:pPr>
        <w:pStyle w:val="Bibliography"/>
      </w:pPr>
      <w:bookmarkStart w:id="32" w:name="ref-Bhananker_2006"/>
      <w:bookmarkEnd w:id="31"/>
      <w:r>
        <w:t>Bhananker, S.M., Posner, K.L., Cheney, F.W., Caplan, R.A., Lee, L.A., Domino, K.B., 2006. Injury and liability associated with monitored anesthesia car</w:t>
      </w:r>
      <w:r>
        <w:t xml:space="preserve">e. Anesthesiology 104, 228–234. </w:t>
      </w:r>
      <w:hyperlink r:id="rId13">
        <w:r>
          <w:rPr>
            <w:rStyle w:val="Hyperlink"/>
          </w:rPr>
          <w:t>https://doi.org/10.1097/00000542-200602000-00005</w:t>
        </w:r>
      </w:hyperlink>
    </w:p>
    <w:p w:rsidR="00381AAD" w:rsidRDefault="0004766D">
      <w:pPr>
        <w:pStyle w:val="Bibliography"/>
      </w:pPr>
      <w:bookmarkStart w:id="33" w:name="ref-chen2001"/>
      <w:bookmarkEnd w:id="32"/>
      <w:r>
        <w:t>Chen, G., Gully, S.M., Eden, D., 2001. Validation of a new general self-efficacy scale. Organizational Rese</w:t>
      </w:r>
      <w:r>
        <w:t xml:space="preserve">arch Methods 4, 62–83. </w:t>
      </w:r>
      <w:hyperlink r:id="rId14">
        <w:r>
          <w:rPr>
            <w:rStyle w:val="Hyperlink"/>
          </w:rPr>
          <w:t>https://doi.org/10.1177/109442810141004</w:t>
        </w:r>
      </w:hyperlink>
    </w:p>
    <w:p w:rsidR="00381AAD" w:rsidRDefault="0004766D">
      <w:pPr>
        <w:pStyle w:val="Bibliography"/>
      </w:pPr>
      <w:bookmarkStart w:id="34" w:name="ref-cohen2013statistical"/>
      <w:bookmarkEnd w:id="33"/>
      <w:r>
        <w:t>Cohen, J., 2013. Statistical power analysis for the behavioral sciences. Academic press.</w:t>
      </w:r>
    </w:p>
    <w:p w:rsidR="00381AAD" w:rsidRDefault="0004766D">
      <w:pPr>
        <w:pStyle w:val="Bibliography"/>
      </w:pPr>
      <w:bookmarkStart w:id="35" w:name="ref-Conway_2014"/>
      <w:bookmarkEnd w:id="34"/>
      <w:r>
        <w:t>Conway, A., Rolley, J., Page, K., Fulbrook, P</w:t>
      </w:r>
      <w:r>
        <w:t xml:space="preserve">., 2014. Trends in nurse-administered procedural sedation and analgesia across cardiac catheterisation laboratories in australia and new zealand: Results of an electronic survey. Australian Critical Care 27, 4–10. </w:t>
      </w:r>
      <w:hyperlink r:id="rId15">
        <w:r>
          <w:rPr>
            <w:rStyle w:val="Hyperlink"/>
          </w:rPr>
          <w:t>https://doi.org/10.1016/j.aucc.2013.05.003</w:t>
        </w:r>
      </w:hyperlink>
    </w:p>
    <w:p w:rsidR="00381AAD" w:rsidRDefault="0004766D">
      <w:pPr>
        <w:pStyle w:val="Bibliography"/>
      </w:pPr>
      <w:bookmarkStart w:id="36" w:name="ref-conway2013"/>
      <w:bookmarkEnd w:id="35"/>
      <w:r>
        <w:t>Conway, A., Rolley, J., Page, K., Fulbrook, P., 2013a. Clinical practice guidelines for nurse-administered procedural sedation and analgesia in the cardiac catheterization laboratory: A modifie</w:t>
      </w:r>
      <w:r>
        <w:t xml:space="preserve">d delphi study. Journal of Advanced Nursing 70, 1040–1053. </w:t>
      </w:r>
      <w:hyperlink r:id="rId16">
        <w:r>
          <w:rPr>
            <w:rStyle w:val="Hyperlink"/>
          </w:rPr>
          <w:t>https://doi.org/10.1111/jan.12337</w:t>
        </w:r>
      </w:hyperlink>
    </w:p>
    <w:p w:rsidR="00381AAD" w:rsidRDefault="0004766D">
      <w:pPr>
        <w:pStyle w:val="Bibliography"/>
      </w:pPr>
      <w:bookmarkStart w:id="37" w:name="ref-conway2013a"/>
      <w:bookmarkEnd w:id="36"/>
      <w:r>
        <w:lastRenderedPageBreak/>
        <w:t>Conway, A., Rolley, J., Page, K., Fulbrook, P., 2013b. Issues and challenges associated with nurse-administere</w:t>
      </w:r>
      <w:r>
        <w:t xml:space="preserve">d procedural sedation and analgesia in the cardiac catheterisation laboratory: A qualitative study. Journal of Clinical Nursing 23, 374–384. </w:t>
      </w:r>
      <w:hyperlink r:id="rId17">
        <w:r>
          <w:rPr>
            <w:rStyle w:val="Hyperlink"/>
          </w:rPr>
          <w:t>https://doi.org/10.1111/jocn.12147</w:t>
        </w:r>
      </w:hyperlink>
    </w:p>
    <w:p w:rsidR="00381AAD" w:rsidRDefault="0004766D">
      <w:pPr>
        <w:pStyle w:val="Bibliography"/>
      </w:pPr>
      <w:bookmarkStart w:id="38" w:name="ref-vandereijk2015"/>
      <w:bookmarkEnd w:id="37"/>
      <w:r>
        <w:t>Eijk, C. van der, Rose, J.</w:t>
      </w:r>
      <w:r>
        <w:t xml:space="preserve">, 2015. Risky business: Factor analysis of survey data – assessing the probability of incorrect dimensionalisation. PLOS ONE 10, e0118900. </w:t>
      </w:r>
      <w:hyperlink r:id="rId18">
        <w:r>
          <w:rPr>
            <w:rStyle w:val="Hyperlink"/>
          </w:rPr>
          <w:t>https://doi.org/10.1371/journal.pone.0118900</w:t>
        </w:r>
      </w:hyperlink>
    </w:p>
    <w:p w:rsidR="00381AAD" w:rsidRDefault="0004766D">
      <w:pPr>
        <w:pStyle w:val="Bibliography"/>
      </w:pPr>
      <w:bookmarkStart w:id="39" w:name="ref-fox-wasylyshyn2005"/>
      <w:bookmarkEnd w:id="38"/>
      <w:r>
        <w:t>Fox-Wasy</w:t>
      </w:r>
      <w:r>
        <w:t xml:space="preserve">lyshyn, S.M., El-Masri, M.M., 2005. Handling missing data in self-report measures. Research in Nursing &amp; Health 28, 488–495. </w:t>
      </w:r>
      <w:hyperlink r:id="rId19">
        <w:r>
          <w:rPr>
            <w:rStyle w:val="Hyperlink"/>
          </w:rPr>
          <w:t>https://doi.org/10.1002/nur.20100</w:t>
        </w:r>
      </w:hyperlink>
    </w:p>
    <w:p w:rsidR="00381AAD" w:rsidRDefault="0004766D">
      <w:pPr>
        <w:pStyle w:val="Bibliography"/>
      </w:pPr>
      <w:bookmarkStart w:id="40" w:name="ref-Gaskin_2014"/>
      <w:bookmarkEnd w:id="39"/>
      <w:r>
        <w:t>Gaskin, C.J., Happell, B., 2014. On explorat</w:t>
      </w:r>
      <w:r>
        <w:t xml:space="preserve">ory factor analysis: A review of recent evidence, an assessment of current practice, and recommendations for future use. International Journal of Nursing Studies 51, 511–521. </w:t>
      </w:r>
      <w:hyperlink r:id="rId20">
        <w:r>
          <w:rPr>
            <w:rStyle w:val="Hyperlink"/>
          </w:rPr>
          <w:t>https://doi.org</w:t>
        </w:r>
        <w:r>
          <w:rPr>
            <w:rStyle w:val="Hyperlink"/>
          </w:rPr>
          <w:t>/10.1016/j.ijnurstu.2013.10.005</w:t>
        </w:r>
      </w:hyperlink>
    </w:p>
    <w:p w:rsidR="00381AAD" w:rsidRDefault="0004766D">
      <w:pPr>
        <w:pStyle w:val="Bibliography"/>
      </w:pPr>
      <w:bookmarkStart w:id="41" w:name="ref-gillespie2010sampling"/>
      <w:bookmarkEnd w:id="40"/>
      <w:r>
        <w:t>Gillespie, B., Chaboyer, W., Wallis, M., 2010. Sampling from one nursing specialty group using two different approaches. Journal of Advanced Perioperative Care Vol 4.</w:t>
      </w:r>
    </w:p>
    <w:p w:rsidR="00381AAD" w:rsidRDefault="0004766D">
      <w:pPr>
        <w:pStyle w:val="Bibliography"/>
      </w:pPr>
      <w:bookmarkStart w:id="42" w:name="ref-ho2019"/>
      <w:bookmarkEnd w:id="41"/>
      <w:r>
        <w:t>Ho, J., Tumkaya, T., Aryal, S., Choi, H., Claridge-Chang,</w:t>
      </w:r>
      <w:r>
        <w:t xml:space="preserve"> A., 2019. Moving beyond p values: Data analysis with estimation graphics. Nature Methods 16, 565–566. </w:t>
      </w:r>
      <w:hyperlink r:id="rId21">
        <w:r>
          <w:rPr>
            <w:rStyle w:val="Hyperlink"/>
          </w:rPr>
          <w:t>https://doi.org/10.1038/s41592-019-0470-3</w:t>
        </w:r>
      </w:hyperlink>
    </w:p>
    <w:p w:rsidR="00381AAD" w:rsidRDefault="0004766D">
      <w:pPr>
        <w:pStyle w:val="Bibliography"/>
      </w:pPr>
      <w:bookmarkStart w:id="43" w:name="ref-Johnson_2001"/>
      <w:bookmarkEnd w:id="42"/>
      <w:r>
        <w:t>Johnson, S.M., Kurtz, M.E., 2001. Diminished use o</w:t>
      </w:r>
      <w:r>
        <w:t xml:space="preserve">f osteopathic manipulative treatment and its impact on the uniqueness of the osteopathic profession. Academic Medicine 76, 821–828. </w:t>
      </w:r>
      <w:hyperlink r:id="rId22">
        <w:r>
          <w:rPr>
            <w:rStyle w:val="Hyperlink"/>
          </w:rPr>
          <w:t>https://doi.org/10.1097/00001888-200108000-00016</w:t>
        </w:r>
      </w:hyperlink>
    </w:p>
    <w:p w:rsidR="00381AAD" w:rsidRDefault="0004766D">
      <w:pPr>
        <w:pStyle w:val="Bibliography"/>
      </w:pPr>
      <w:bookmarkStart w:id="44" w:name="ref-Mundfrom_2005"/>
      <w:bookmarkEnd w:id="43"/>
      <w:r>
        <w:t>Mundfro</w:t>
      </w:r>
      <w:r>
        <w:t xml:space="preserve">m, D.J., Shaw, D.G., Ke, T.L., 2005. Minimum sample size recommendations for conducting factor analyses. International Journal of Testing 5, 159–168. </w:t>
      </w:r>
      <w:hyperlink r:id="rId23">
        <w:r>
          <w:rPr>
            <w:rStyle w:val="Hyperlink"/>
          </w:rPr>
          <w:t>https://doi.org/10.1207/s15327574ijt0502_4</w:t>
        </w:r>
      </w:hyperlink>
    </w:p>
    <w:p w:rsidR="00381AAD" w:rsidRDefault="0004766D">
      <w:pPr>
        <w:pStyle w:val="Bibliography"/>
      </w:pPr>
      <w:bookmarkStart w:id="45" w:name="ref-Polit_2007"/>
      <w:bookmarkEnd w:id="44"/>
      <w:r>
        <w:t xml:space="preserve">Polit, D.F., Beck, C.T., Owen, S.V., 2007. Is the CVI an acceptable indicator of content validity? Appraisal and recommendations. Research in Nursing &amp; Health 30, 459–467. </w:t>
      </w:r>
      <w:hyperlink r:id="rId24">
        <w:r>
          <w:rPr>
            <w:rStyle w:val="Hyperlink"/>
          </w:rPr>
          <w:t>https://doi.org/10.1002/nur.20199</w:t>
        </w:r>
      </w:hyperlink>
    </w:p>
    <w:p w:rsidR="00381AAD" w:rsidRDefault="0004766D">
      <w:pPr>
        <w:pStyle w:val="Bibliography"/>
      </w:pPr>
      <w:bookmarkStart w:id="46" w:name="ref-roh2012"/>
      <w:bookmarkEnd w:id="45"/>
      <w:r>
        <w:lastRenderedPageBreak/>
        <w:t xml:space="preserve">Roh, Y.S., Issenberg, S.B., Chung, H.S., 2012. Ward nurses’ resuscitation of critical patients. Evaluation &amp; the Health Professions 37, 335–348. </w:t>
      </w:r>
      <w:hyperlink r:id="rId25">
        <w:r>
          <w:rPr>
            <w:rStyle w:val="Hyperlink"/>
          </w:rPr>
          <w:t>https</w:t>
        </w:r>
        <w:r>
          <w:rPr>
            <w:rStyle w:val="Hyperlink"/>
          </w:rPr>
          <w:t>://doi.org/10.1177/0163278712466408</w:t>
        </w:r>
      </w:hyperlink>
    </w:p>
    <w:p w:rsidR="00381AAD" w:rsidRDefault="0004766D">
      <w:pPr>
        <w:pStyle w:val="Bibliography"/>
      </w:pPr>
      <w:bookmarkStart w:id="47" w:name="ref-sivan2009"/>
      <w:bookmarkEnd w:id="46"/>
      <w:r>
        <w:t xml:space="preserve">Sivan, M., 2009. Interpreting effect size to estimate responsiveness of outcome measures. Stroke 40. </w:t>
      </w:r>
      <w:hyperlink r:id="rId26">
        <w:r>
          <w:rPr>
            <w:rStyle w:val="Hyperlink"/>
          </w:rPr>
          <w:t>https://doi.org/10.1161/strokeaha.109.566836</w:t>
        </w:r>
      </w:hyperlink>
    </w:p>
    <w:p w:rsidR="00381AAD" w:rsidRDefault="0004766D">
      <w:pPr>
        <w:pStyle w:val="Bibliography"/>
      </w:pPr>
      <w:bookmarkStart w:id="48" w:name="ref-sutherland2020"/>
      <w:bookmarkEnd w:id="47"/>
      <w:r>
        <w:t>Sutherland</w:t>
      </w:r>
      <w:r>
        <w:t xml:space="preserve">, J.R., Conway, A., Sanderson, E.L., 2020. Preprocedural assessment for patients anticipating sedation. Current Anesthesiology Reports 10, 35–42. </w:t>
      </w:r>
      <w:hyperlink r:id="rId27">
        <w:r>
          <w:rPr>
            <w:rStyle w:val="Hyperlink"/>
          </w:rPr>
          <w:t>https://doi.org/10.1007/s40140-020-00368-8</w:t>
        </w:r>
      </w:hyperlink>
    </w:p>
    <w:p w:rsidR="00381AAD" w:rsidRDefault="0004766D">
      <w:pPr>
        <w:pStyle w:val="Bibliography"/>
      </w:pPr>
      <w:bookmarkStart w:id="49" w:name="ref-tobin2013"/>
      <w:bookmarkEnd w:id="48"/>
      <w:r>
        <w:t>Tobin</w:t>
      </w:r>
      <w:r>
        <w:t xml:space="preserve">, C.D., Clark, C.A., McEvoy, M.D., Reves, J.G., Schaefer, J.J., Wolf, B.J., Reeves, S.T., 2013. An approach to moderate sedation simulation training. Simulation in Healthcare: The Journal of the Society for Simulation in Healthcare 8, 114–123. </w:t>
      </w:r>
      <w:hyperlink r:id="rId28">
        <w:r>
          <w:rPr>
            <w:rStyle w:val="Hyperlink"/>
          </w:rPr>
          <w:t>https://doi.org/10.1097/sih.0b013e3182786209</w:t>
        </w:r>
      </w:hyperlink>
    </w:p>
    <w:p w:rsidR="00381AAD" w:rsidRDefault="0004766D">
      <w:pPr>
        <w:pStyle w:val="Bibliography"/>
      </w:pPr>
      <w:bookmarkStart w:id="50" w:name="ref-vaillancourt2013"/>
      <w:bookmarkEnd w:id="49"/>
      <w:r>
        <w:t>Vaillancourt, C., Kasaboski, A., Charette, M., Islam, R., Osmond, M., Wells, G.A., Stiell, I.G., Brehaut, J.C., Grimshaw, J.M., 2013. Barriers and facilitators</w:t>
      </w:r>
      <w:r>
        <w:t xml:space="preserve"> to cpr training and performing cpr in an older population most likely to witness cardiac arrest: A national survey. Resuscitation 84, 1747–1752. </w:t>
      </w:r>
      <w:hyperlink r:id="rId29">
        <w:r>
          <w:rPr>
            <w:rStyle w:val="Hyperlink"/>
          </w:rPr>
          <w:t>https://doi.org/10.1016/j.resuscitation</w:t>
        </w:r>
        <w:r>
          <w:rPr>
            <w:rStyle w:val="Hyperlink"/>
          </w:rPr>
          <w:t>.2013.08.001</w:t>
        </w:r>
      </w:hyperlink>
    </w:p>
    <w:bookmarkEnd w:id="29"/>
    <w:bookmarkEnd w:id="50"/>
    <w:p w:rsidR="00381AAD" w:rsidRDefault="0004766D">
      <w:r>
        <w:br w:type="page"/>
      </w:r>
    </w:p>
    <w:p w:rsidR="00381AAD" w:rsidRDefault="0004766D">
      <w:pPr>
        <w:pStyle w:val="Heading2"/>
      </w:pPr>
      <w:bookmarkStart w:id="51" w:name="figure-legend"/>
      <w:r>
        <w:lastRenderedPageBreak/>
        <w:t>Figure legend</w:t>
      </w:r>
      <w:bookmarkEnd w:id="51"/>
    </w:p>
    <w:p w:rsidR="00381AAD" w:rsidRDefault="0004766D">
      <w:pPr>
        <w:pStyle w:val="FirstParagraph"/>
      </w:pPr>
      <w:r>
        <w:t xml:space="preserve">Fig. </w:t>
      </w:r>
      <w:hyperlink w:anchor="scree">
        <w:r>
          <w:fldChar w:fldCharType="begin"/>
        </w:r>
        <w:r>
          <w:instrText xml:space="preserve"> REF scree \h</w:instrText>
        </w:r>
        <w:r w:rsidR="005D1BFA">
          <w:fldChar w:fldCharType="separate"/>
        </w:r>
        <w:r w:rsidR="005D1BFA">
          <w:rPr>
            <w:noProof/>
          </w:rPr>
          <w:t>1</w:t>
        </w:r>
        <w:r>
          <w:fldChar w:fldCharType="end"/>
        </w:r>
      </w:hyperlink>
      <w:r>
        <w:t xml:space="preserve"> Scree plot from initial factor analysis of the Nursing-Confidence in Managing Sedation Complications Scale</w:t>
      </w:r>
    </w:p>
    <w:p w:rsidR="00381AAD" w:rsidRDefault="0004766D">
      <w:pPr>
        <w:pStyle w:val="BodyText"/>
      </w:pPr>
      <w:r>
        <w:t xml:space="preserve">Fig. </w:t>
      </w:r>
      <w:hyperlink w:anchor="facanalysis">
        <w:r>
          <w:fldChar w:fldCharType="begin"/>
        </w:r>
        <w:r>
          <w:instrText xml:space="preserve"> REF facanalysis \h</w:instrText>
        </w:r>
        <w:r w:rsidR="005D1BFA">
          <w:fldChar w:fldCharType="separate"/>
        </w:r>
        <w:r w:rsidR="005D1BFA">
          <w:rPr>
            <w:noProof/>
          </w:rPr>
          <w:t>2</w:t>
        </w:r>
        <w:r>
          <w:fldChar w:fldCharType="end"/>
        </w:r>
      </w:hyperlink>
      <w:r>
        <w:t xml:space="preserve"> Rotated factor loadings for the Nursing Confidence in Managing Sedation Complications Scale</w:t>
      </w:r>
    </w:p>
    <w:p w:rsidR="00381AAD" w:rsidRDefault="0004766D">
      <w:pPr>
        <w:pStyle w:val="BodyText"/>
      </w:pPr>
      <w:r>
        <w:t xml:space="preserve">Fig. </w:t>
      </w:r>
      <w:hyperlink w:anchor="dist">
        <w:r>
          <w:fldChar w:fldCharType="begin"/>
        </w:r>
        <w:r>
          <w:instrText xml:space="preserve"> REF dist \h</w:instrText>
        </w:r>
        <w:r w:rsidR="005D1BFA">
          <w:fldChar w:fldCharType="separate"/>
        </w:r>
        <w:r w:rsidR="005D1BFA">
          <w:rPr>
            <w:noProof/>
          </w:rPr>
          <w:t>3</w:t>
        </w:r>
        <w:r>
          <w:fldChar w:fldCharType="end"/>
        </w:r>
      </w:hyperlink>
      <w:r>
        <w:t xml:space="preserve"> Distribution of Nursing Confidence in Managing Sedation Complications Scale and subscale scores in the online survey</w:t>
      </w:r>
    </w:p>
    <w:p w:rsidR="00381AAD" w:rsidRDefault="0004766D">
      <w:pPr>
        <w:pStyle w:val="BodyText"/>
      </w:pPr>
      <w:r>
        <w:t xml:space="preserve">Fig. </w:t>
      </w:r>
      <w:hyperlink w:anchor="predist">
        <w:r>
          <w:fldChar w:fldCharType="begin"/>
        </w:r>
        <w:r>
          <w:instrText xml:space="preserve"> REF predist \h</w:instrText>
        </w:r>
        <w:r w:rsidR="005D1BFA">
          <w:fldChar w:fldCharType="separate"/>
        </w:r>
        <w:r w:rsidR="005D1BFA">
          <w:rPr>
            <w:noProof/>
          </w:rPr>
          <w:t>4</w:t>
        </w:r>
        <w:r>
          <w:fldChar w:fldCharType="end"/>
        </w:r>
      </w:hyperlink>
      <w:r>
        <w:t xml:space="preserve"> Pre-sedation training distribution of Nursing Confidence in Managing Sedation Complications Scale and subscale scores</w:t>
      </w:r>
    </w:p>
    <w:p w:rsidR="00381AAD" w:rsidRDefault="0004766D">
      <w:pPr>
        <w:pStyle w:val="BodyText"/>
      </w:pPr>
      <w:r>
        <w:t xml:space="preserve">Fig. </w:t>
      </w:r>
      <w:hyperlink w:anchor="change">
        <w:r>
          <w:fldChar w:fldCharType="begin"/>
        </w:r>
        <w:r>
          <w:instrText xml:space="preserve"> REF change \h</w:instrText>
        </w:r>
        <w:r w:rsidR="005D1BFA">
          <w:fldChar w:fldCharType="separate"/>
        </w:r>
        <w:r w:rsidR="005D1BFA">
          <w:rPr>
            <w:noProof/>
          </w:rPr>
          <w:t>5</w:t>
        </w:r>
        <w:r>
          <w:fldChar w:fldCharType="end"/>
        </w:r>
      </w:hyperlink>
      <w:r>
        <w:t xml:space="preserve"> Change in Nursing Confidence in Managing Sedation Complications Scale scores from pre to post-training</w:t>
      </w:r>
    </w:p>
    <w:p w:rsidR="00381AAD" w:rsidRDefault="0004766D">
      <w:pPr>
        <w:pStyle w:val="BodyText"/>
      </w:pPr>
      <w:r>
        <w:t xml:space="preserve">Fig. </w:t>
      </w:r>
      <w:hyperlink w:anchor="reg">
        <w:r>
          <w:fldChar w:fldCharType="begin"/>
        </w:r>
        <w:r>
          <w:instrText xml:space="preserve"> REF reg \h</w:instrText>
        </w:r>
        <w:r w:rsidR="005D1BFA">
          <w:fldChar w:fldCharType="separate"/>
        </w:r>
        <w:r w:rsidR="005D1BFA">
          <w:rPr>
            <w:noProof/>
          </w:rPr>
          <w:t>6</w:t>
        </w:r>
        <w:r>
          <w:fldChar w:fldCharType="end"/>
        </w:r>
      </w:hyperlink>
      <w:r>
        <w:t xml:space="preserve"> Association between change in Managing Sedation Complications Scale scores from pre to post-training with (A) change in overall rating of confidence in managing sedation; and (B) change in overall know</w:t>
      </w:r>
      <w:r>
        <w:t>ledge about sedation.</w:t>
      </w:r>
    </w:p>
    <w:p w:rsidR="00381AAD" w:rsidRDefault="0004766D">
      <w:r>
        <w:br w:type="page"/>
      </w:r>
    </w:p>
    <w:p w:rsidR="00381AAD" w:rsidRDefault="0004766D">
      <w:pPr>
        <w:pStyle w:val="TableCaption"/>
      </w:pPr>
      <w:r>
        <w:lastRenderedPageBreak/>
        <w:t xml:space="preserve">Table </w:t>
      </w:r>
      <w:bookmarkStart w:id="52" w:name="tab1"/>
      <w:r>
        <w:fldChar w:fldCharType="begin"/>
      </w:r>
      <w:r>
        <w:instrText>SEQ tab \* Arabic</w:instrText>
      </w:r>
      <w:r w:rsidR="005D1BFA">
        <w:fldChar w:fldCharType="separate"/>
      </w:r>
      <w:r w:rsidR="005D1BFA">
        <w:rPr>
          <w:noProof/>
        </w:rPr>
        <w:t>1</w:t>
      </w:r>
      <w:r>
        <w:fldChar w:fldCharType="end"/>
      </w:r>
      <w:bookmarkEnd w:id="52"/>
      <w:r>
        <w:t>: Participant characteristics for online survey</w:t>
      </w:r>
    </w:p>
    <w:tbl>
      <w:tblPr>
        <w:tblW w:w="7200" w:type="dxa"/>
        <w:jc w:val="center"/>
        <w:tblLayout w:type="fixed"/>
        <w:tblLook w:val="0420" w:firstRow="1" w:lastRow="0" w:firstColumn="0" w:lastColumn="0" w:noHBand="0" w:noVBand="1"/>
      </w:tblPr>
      <w:tblGrid>
        <w:gridCol w:w="5760"/>
        <w:gridCol w:w="1440"/>
      </w:tblGrid>
      <w:tr w:rsidR="00381AAD">
        <w:trPr>
          <w:cantSplit/>
          <w:tblHeader/>
          <w:jc w:val="center"/>
        </w:trPr>
        <w:tc>
          <w:tcPr>
            <w:tcW w:w="57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Characteristic</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N = 228</w:t>
            </w:r>
            <w:r>
              <w:rPr>
                <w:rFonts w:ascii="Arial" w:eastAsia="Arial" w:hAnsi="Arial" w:cs="Arial"/>
                <w:color w:val="111111"/>
                <w:sz w:val="22"/>
                <w:szCs w:val="22"/>
                <w:vertAlign w:val="superscript"/>
              </w:rPr>
              <w:t>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What is your specialty area of practice?</w:t>
            </w:r>
          </w:p>
        </w:tc>
        <w:tc>
          <w:tcPr>
            <w:tcW w:w="1440" w:type="dxa"/>
            <w:shd w:val="clear" w:color="auto" w:fill="FFFFFF"/>
            <w:tcMar>
              <w:top w:w="0" w:type="dxa"/>
              <w:left w:w="0" w:type="dxa"/>
              <w:bottom w:w="0" w:type="dxa"/>
              <w:right w:w="0" w:type="dxa"/>
            </w:tcMar>
            <w:vAlign w:val="center"/>
          </w:tcPr>
          <w:p w:rsidR="00381AAD" w:rsidRDefault="00381AAD">
            <w:pPr>
              <w:spacing w:before="40" w:after="40"/>
              <w:ind w:left="100" w:right="100"/>
              <w:jc w:val="center"/>
            </w:pP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CCL</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28 (12%)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Radiology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27 (12%)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Endoscopy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72 (32%)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Bronchoscopy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 (0.9%)</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Surgery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20 (8.8%)</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Office-based surgery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 (0.9%)</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Emergency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9 (4.0%)</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Anaesthesia/Recovery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27 (12%)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Other</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 (1.3%)</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ICU</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37 (16%)</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Years of experience in nursing</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28 (16, 35)</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34</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Are you currently certified in Advanced Life Support? (i.e. completed a course within the last 12 months)</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139 (61%)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Which type of hospital do you work in?</w:t>
            </w:r>
          </w:p>
        </w:tc>
        <w:tc>
          <w:tcPr>
            <w:tcW w:w="1440" w:type="dxa"/>
            <w:shd w:val="clear" w:color="auto" w:fill="FFFFFF"/>
            <w:tcMar>
              <w:top w:w="0" w:type="dxa"/>
              <w:left w:w="0" w:type="dxa"/>
              <w:bottom w:w="0" w:type="dxa"/>
              <w:right w:w="0" w:type="dxa"/>
            </w:tcMar>
            <w:vAlign w:val="center"/>
          </w:tcPr>
          <w:p w:rsidR="00381AAD" w:rsidRDefault="00381AAD">
            <w:pPr>
              <w:spacing w:before="40" w:after="40"/>
              <w:ind w:left="100" w:right="100"/>
              <w:jc w:val="center"/>
            </w:pP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Private</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81 (36%)</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lastRenderedPageBreak/>
              <w:t>Public</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144 (64%)</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Years of experience with procedural sedation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14 (8, 20)</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44</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How frequently do you either administer, or monitor patients who have received, procedural sedation and analgesia (conscious sedation) in a typical working week?</w:t>
            </w:r>
          </w:p>
        </w:tc>
        <w:tc>
          <w:tcPr>
            <w:tcW w:w="1440" w:type="dxa"/>
            <w:shd w:val="clear" w:color="auto" w:fill="FFFFFF"/>
            <w:tcMar>
              <w:top w:w="0" w:type="dxa"/>
              <w:left w:w="0" w:type="dxa"/>
              <w:bottom w:w="0" w:type="dxa"/>
              <w:right w:w="0" w:type="dxa"/>
            </w:tcMar>
            <w:vAlign w:val="center"/>
          </w:tcPr>
          <w:p w:rsidR="00381AAD" w:rsidRDefault="00381AAD">
            <w:pPr>
              <w:spacing w:before="40" w:after="40"/>
              <w:ind w:left="100" w:right="100"/>
              <w:jc w:val="center"/>
            </w:pP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Never</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6 (2.6%)</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Rarely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13 (5.7%)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Sometimes</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38 (17%)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Often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106 (47%)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Always</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64 (28%)</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Received education about sedation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88 (39%)</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Unit/hospital has a policy about sedation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142 (62%)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Required to undergo competency assessment in sedation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49 (21%)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Rate your overall knowledge in identifying and treating sedation-related complications (0='No knowledge' to 100='Very knowledgable')</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80 (70, 90)</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lastRenderedPageBreak/>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Rate your overall degree of confidence in identifying and treating sedation-related complications (0='No confidence' to 100='Very confident')</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80 (70, 90)</w:t>
            </w:r>
          </w:p>
        </w:tc>
      </w:tr>
      <w:tr w:rsidR="00381AAD">
        <w:trPr>
          <w:cantSplit/>
          <w:jc w:val="center"/>
        </w:trPr>
        <w:tc>
          <w:tcPr>
            <w:tcW w:w="576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16</w:t>
            </w:r>
          </w:p>
        </w:tc>
      </w:tr>
      <w:tr w:rsidR="00381AAD">
        <w:trPr>
          <w:cantSplit/>
          <w:jc w:val="center"/>
        </w:trPr>
        <w:tc>
          <w:tcPr>
            <w:tcW w:w="7200" w:type="dxa"/>
            <w:gridSpan w:val="2"/>
            <w:shd w:val="clear" w:color="auto" w:fill="FFFFFF"/>
            <w:tcMar>
              <w:top w:w="0" w:type="dxa"/>
              <w:left w:w="0" w:type="dxa"/>
              <w:bottom w:w="0" w:type="dxa"/>
              <w:right w:w="0" w:type="dxa"/>
            </w:tcMar>
            <w:vAlign w:val="center"/>
          </w:tcPr>
          <w:p w:rsidR="00381AAD" w:rsidRDefault="0004766D">
            <w:pPr>
              <w:spacing w:after="0"/>
            </w:pPr>
            <w:r>
              <w:rPr>
                <w:rFonts w:ascii="Arial" w:eastAsia="Arial" w:hAnsi="Arial" w:cs="Arial"/>
                <w:color w:val="000000"/>
                <w:sz w:val="20"/>
                <w:szCs w:val="20"/>
                <w:vertAlign w:val="superscript"/>
              </w:rPr>
              <w:t>1</w:t>
            </w:r>
            <w:r>
              <w:rPr>
                <w:rFonts w:ascii="Arial" w:eastAsia="Arial" w:hAnsi="Arial" w:cs="Arial"/>
                <w:color w:val="000000"/>
                <w:sz w:val="20"/>
                <w:szCs w:val="20"/>
              </w:rPr>
              <w:t>Statistics presented: n (%); median (IQR)</w:t>
            </w:r>
          </w:p>
        </w:tc>
      </w:tr>
    </w:tbl>
    <w:p w:rsidR="00381AAD" w:rsidRDefault="0004766D">
      <w:r>
        <w:br w:type="page"/>
      </w:r>
    </w:p>
    <w:p w:rsidR="00381AAD" w:rsidRDefault="0004766D">
      <w:pPr>
        <w:pStyle w:val="TableCaption"/>
      </w:pPr>
      <w:r>
        <w:lastRenderedPageBreak/>
        <w:t xml:space="preserve">Table </w:t>
      </w:r>
      <w:bookmarkStart w:id="53" w:name="construct"/>
      <w:r>
        <w:fldChar w:fldCharType="begin"/>
      </w:r>
      <w:r>
        <w:instrText>SEQ tab \* Arabic</w:instrText>
      </w:r>
      <w:r w:rsidR="005D1BFA">
        <w:fldChar w:fldCharType="separate"/>
      </w:r>
      <w:r w:rsidR="005D1BFA">
        <w:rPr>
          <w:noProof/>
        </w:rPr>
        <w:t>2</w:t>
      </w:r>
      <w:r>
        <w:fldChar w:fldCharType="end"/>
      </w:r>
      <w:bookmarkEnd w:id="53"/>
      <w:r>
        <w:t xml:space="preserve">: </w:t>
      </w:r>
      <w:r>
        <w:t>Multivariable regression model of associations between NC-MSCS score and participant characteristics</w:t>
      </w:r>
    </w:p>
    <w:tbl>
      <w:tblPr>
        <w:tblW w:w="8640" w:type="dxa"/>
        <w:jc w:val="center"/>
        <w:tblLayout w:type="fixed"/>
        <w:tblLook w:val="0420" w:firstRow="1" w:lastRow="0" w:firstColumn="0" w:lastColumn="0" w:noHBand="0" w:noVBand="1"/>
      </w:tblPr>
      <w:tblGrid>
        <w:gridCol w:w="4320"/>
        <w:gridCol w:w="1080"/>
        <w:gridCol w:w="1080"/>
        <w:gridCol w:w="1080"/>
        <w:gridCol w:w="1080"/>
      </w:tblGrid>
      <w:tr w:rsidR="00381AAD">
        <w:trPr>
          <w:cantSplit/>
          <w:tblHeader/>
          <w:jc w:val="center"/>
        </w:trPr>
        <w:tc>
          <w:tcPr>
            <w:tcW w:w="43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Variable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𝛃</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p-value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Lower 95% CI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Upper 95% CI</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(Intercept)</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88.749</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0.000</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69.220</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108.278</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Years in nursing</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0.376</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0.000</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0.179</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0.574</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Years of experience administering sedation</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0.027</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0.846</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-0.245</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0.299</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Frequency of administering sedation in a typical working week</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0.035</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0.974</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-2.081</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2.151</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Trained in Advanced Life Support</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-2.588</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0.207</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-6.626</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1.450</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Received education about sedation</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1.403</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0.483</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-2.543</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5.348</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New General Self-efficacy Score</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-1.181</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0.000</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-1.704</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-0.658</w:t>
            </w:r>
          </w:p>
        </w:tc>
      </w:tr>
      <w:tr w:rsidR="00381AAD">
        <w:trPr>
          <w:cantSplit/>
          <w:jc w:val="center"/>
        </w:trPr>
        <w:tc>
          <w:tcPr>
            <w:tcW w:w="432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 xml:space="preserve">                             Works in a critical care environment</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8.792</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0.000</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4.630</w:t>
            </w:r>
          </w:p>
        </w:tc>
        <w:tc>
          <w:tcPr>
            <w:tcW w:w="1080" w:type="dxa"/>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12.953</w:t>
            </w:r>
          </w:p>
        </w:tc>
      </w:tr>
      <w:tr w:rsidR="00381AAD">
        <w:trPr>
          <w:cantSplit/>
          <w:jc w:val="center"/>
        </w:trPr>
        <w:tc>
          <w:tcPr>
            <w:tcW w:w="432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Perceived knowledge about managing sedation-related complications</w:t>
            </w:r>
          </w:p>
        </w:tc>
        <w:tc>
          <w:tcPr>
            <w:tcW w:w="108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0.26</w:t>
            </w:r>
            <w:r>
              <w:rPr>
                <w:rFonts w:ascii="Arial" w:eastAsia="Arial" w:hAnsi="Arial" w:cs="Arial"/>
                <w:color w:val="111111"/>
                <w:sz w:val="22"/>
                <w:szCs w:val="22"/>
              </w:rPr>
              <w:t>2</w:t>
            </w:r>
          </w:p>
        </w:tc>
        <w:tc>
          <w:tcPr>
            <w:tcW w:w="108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0.000</w:t>
            </w:r>
          </w:p>
        </w:tc>
        <w:tc>
          <w:tcPr>
            <w:tcW w:w="108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0.138</w:t>
            </w:r>
          </w:p>
        </w:tc>
        <w:tc>
          <w:tcPr>
            <w:tcW w:w="108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right"/>
            </w:pPr>
            <w:r>
              <w:rPr>
                <w:rFonts w:ascii="Arial" w:eastAsia="Arial" w:hAnsi="Arial" w:cs="Arial"/>
                <w:color w:val="111111"/>
                <w:sz w:val="22"/>
                <w:szCs w:val="22"/>
              </w:rPr>
              <w:t>0.386</w:t>
            </w:r>
          </w:p>
        </w:tc>
      </w:tr>
    </w:tbl>
    <w:p w:rsidR="00381AAD" w:rsidRDefault="0004766D">
      <w:r>
        <w:br w:type="page"/>
      </w:r>
    </w:p>
    <w:p w:rsidR="00381AAD" w:rsidRDefault="0004766D">
      <w:pPr>
        <w:pStyle w:val="TableCaption"/>
      </w:pPr>
      <w:r>
        <w:lastRenderedPageBreak/>
        <w:t xml:space="preserve">Table </w:t>
      </w:r>
      <w:bookmarkStart w:id="54" w:name="resptable"/>
      <w:r>
        <w:fldChar w:fldCharType="begin"/>
      </w:r>
      <w:r>
        <w:instrText>SEQ tab \* Arabic</w:instrText>
      </w:r>
      <w:r w:rsidR="005D1BFA">
        <w:fldChar w:fldCharType="separate"/>
      </w:r>
      <w:r w:rsidR="005D1BFA">
        <w:rPr>
          <w:noProof/>
        </w:rPr>
        <w:t>3</w:t>
      </w:r>
      <w:r>
        <w:fldChar w:fldCharType="end"/>
      </w:r>
      <w:bookmarkEnd w:id="54"/>
      <w:r>
        <w:t>: Participant characteristics for pre-test post-test study</w:t>
      </w:r>
    </w:p>
    <w:tbl>
      <w:tblPr>
        <w:tblW w:w="7200" w:type="dxa"/>
        <w:jc w:val="center"/>
        <w:tblLayout w:type="fixed"/>
        <w:tblLook w:val="0420" w:firstRow="1" w:lastRow="0" w:firstColumn="0" w:lastColumn="0" w:noHBand="0" w:noVBand="1"/>
      </w:tblPr>
      <w:tblGrid>
        <w:gridCol w:w="5760"/>
        <w:gridCol w:w="1440"/>
      </w:tblGrid>
      <w:tr w:rsidR="00381AAD">
        <w:trPr>
          <w:cantSplit/>
          <w:tblHeader/>
          <w:jc w:val="center"/>
        </w:trPr>
        <w:tc>
          <w:tcPr>
            <w:tcW w:w="57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Characteristic</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N = 31</w:t>
            </w:r>
            <w:r>
              <w:rPr>
                <w:rFonts w:ascii="Arial" w:eastAsia="Arial" w:hAnsi="Arial" w:cs="Arial"/>
                <w:color w:val="111111"/>
                <w:sz w:val="22"/>
                <w:szCs w:val="22"/>
                <w:vertAlign w:val="superscript"/>
              </w:rPr>
              <w:t>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Specialty</w:t>
            </w:r>
          </w:p>
        </w:tc>
        <w:tc>
          <w:tcPr>
            <w:tcW w:w="1440" w:type="dxa"/>
            <w:shd w:val="clear" w:color="auto" w:fill="FFFFFF"/>
            <w:tcMar>
              <w:top w:w="0" w:type="dxa"/>
              <w:left w:w="0" w:type="dxa"/>
              <w:bottom w:w="0" w:type="dxa"/>
              <w:right w:w="0" w:type="dxa"/>
            </w:tcMar>
            <w:vAlign w:val="center"/>
          </w:tcPr>
          <w:p w:rsidR="00381AAD" w:rsidRDefault="00381AAD">
            <w:pPr>
              <w:spacing w:before="40" w:after="40"/>
              <w:ind w:left="100" w:right="100"/>
              <w:jc w:val="center"/>
            </w:pP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Anesthesia/Recovery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 (9.7%)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CCL</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12 (39%)</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Emergency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 (3.2%)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Endoscopy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 (3.2%)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ICU</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5 (16%)</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Medical ward</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6 (19%)</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Surgery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 (9.7%)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Years of experience in nursing</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6 (4, 12)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Years of experience with procedural sedation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4 (1, 6)</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Unknown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How frequently do you either administer, or monitor patients who have received, procedural sedation and analgesia (conscious sedation) in a typical working week?</w:t>
            </w:r>
          </w:p>
        </w:tc>
        <w:tc>
          <w:tcPr>
            <w:tcW w:w="1440" w:type="dxa"/>
            <w:shd w:val="clear" w:color="auto" w:fill="FFFFFF"/>
            <w:tcMar>
              <w:top w:w="0" w:type="dxa"/>
              <w:left w:w="0" w:type="dxa"/>
              <w:bottom w:w="0" w:type="dxa"/>
              <w:right w:w="0" w:type="dxa"/>
            </w:tcMar>
            <w:vAlign w:val="center"/>
          </w:tcPr>
          <w:p w:rsidR="00381AAD" w:rsidRDefault="00381AAD">
            <w:pPr>
              <w:spacing w:before="40" w:after="40"/>
              <w:ind w:left="100" w:right="100"/>
              <w:jc w:val="center"/>
            </w:pP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Always</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5 (16%)</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Never</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2 (6.5%)</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Often</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4 (13%)</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t>Rarely</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3 (9.7%)</w:t>
            </w:r>
          </w:p>
        </w:tc>
      </w:tr>
      <w:tr w:rsidR="00381AAD">
        <w:trPr>
          <w:cantSplit/>
          <w:jc w:val="center"/>
        </w:trPr>
        <w:tc>
          <w:tcPr>
            <w:tcW w:w="5760" w:type="dxa"/>
            <w:shd w:val="clear" w:color="auto" w:fill="FFFFFF"/>
            <w:tcMar>
              <w:top w:w="0" w:type="dxa"/>
              <w:left w:w="0" w:type="dxa"/>
              <w:bottom w:w="0" w:type="dxa"/>
              <w:right w:w="0" w:type="dxa"/>
            </w:tcMar>
            <w:vAlign w:val="center"/>
          </w:tcPr>
          <w:p w:rsidR="00381AAD" w:rsidRDefault="0004766D">
            <w:pPr>
              <w:spacing w:before="40" w:after="40"/>
              <w:ind w:left="300" w:right="100"/>
            </w:pPr>
            <w:r>
              <w:rPr>
                <w:rFonts w:ascii="Arial" w:eastAsia="Arial" w:hAnsi="Arial" w:cs="Arial"/>
                <w:i/>
                <w:color w:val="111111"/>
                <w:sz w:val="22"/>
                <w:szCs w:val="22"/>
              </w:rPr>
              <w:lastRenderedPageBreak/>
              <w:t>Sometimes</w:t>
            </w:r>
          </w:p>
        </w:tc>
        <w:tc>
          <w:tcPr>
            <w:tcW w:w="1440" w:type="dxa"/>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17 (55%)</w:t>
            </w:r>
          </w:p>
        </w:tc>
      </w:tr>
      <w:tr w:rsidR="00381AAD">
        <w:trPr>
          <w:cantSplit/>
          <w:jc w:val="center"/>
        </w:trPr>
        <w:tc>
          <w:tcPr>
            <w:tcW w:w="576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pPr>
            <w:r>
              <w:rPr>
                <w:rFonts w:ascii="Arial" w:eastAsia="Arial" w:hAnsi="Arial" w:cs="Arial"/>
                <w:color w:val="111111"/>
                <w:sz w:val="22"/>
                <w:szCs w:val="22"/>
              </w:rPr>
              <w:t>Trained in advanced life support</w:t>
            </w:r>
          </w:p>
        </w:tc>
        <w:tc>
          <w:tcPr>
            <w:tcW w:w="1440" w:type="dxa"/>
            <w:tcBorders>
              <w:bottom w:val="single" w:sz="16" w:space="0" w:color="000000"/>
            </w:tcBorders>
            <w:shd w:val="clear" w:color="auto" w:fill="FFFFFF"/>
            <w:tcMar>
              <w:top w:w="0" w:type="dxa"/>
              <w:left w:w="0" w:type="dxa"/>
              <w:bottom w:w="0" w:type="dxa"/>
              <w:right w:w="0" w:type="dxa"/>
            </w:tcMar>
            <w:vAlign w:val="center"/>
          </w:tcPr>
          <w:p w:rsidR="00381AAD" w:rsidRDefault="0004766D">
            <w:pPr>
              <w:spacing w:before="40" w:after="40"/>
              <w:ind w:left="100" w:right="100"/>
              <w:jc w:val="center"/>
            </w:pPr>
            <w:r>
              <w:rPr>
                <w:rFonts w:ascii="Arial" w:eastAsia="Arial" w:hAnsi="Arial" w:cs="Arial"/>
                <w:color w:val="111111"/>
                <w:sz w:val="22"/>
                <w:szCs w:val="22"/>
              </w:rPr>
              <w:t>13 (42%)</w:t>
            </w:r>
          </w:p>
        </w:tc>
      </w:tr>
      <w:tr w:rsidR="00381AAD">
        <w:trPr>
          <w:cantSplit/>
          <w:jc w:val="center"/>
        </w:trPr>
        <w:tc>
          <w:tcPr>
            <w:tcW w:w="7200" w:type="dxa"/>
            <w:gridSpan w:val="2"/>
            <w:shd w:val="clear" w:color="auto" w:fill="FFFFFF"/>
            <w:tcMar>
              <w:top w:w="0" w:type="dxa"/>
              <w:left w:w="0" w:type="dxa"/>
              <w:bottom w:w="0" w:type="dxa"/>
              <w:right w:w="0" w:type="dxa"/>
            </w:tcMar>
            <w:vAlign w:val="center"/>
          </w:tcPr>
          <w:p w:rsidR="00381AAD" w:rsidRDefault="0004766D">
            <w:pPr>
              <w:spacing w:after="0"/>
            </w:pPr>
            <w:r>
              <w:rPr>
                <w:rFonts w:ascii="Arial" w:eastAsia="Arial" w:hAnsi="Arial" w:cs="Arial"/>
                <w:color w:val="000000"/>
                <w:sz w:val="20"/>
                <w:szCs w:val="20"/>
                <w:vertAlign w:val="superscript"/>
              </w:rPr>
              <w:t>1</w:t>
            </w:r>
            <w:r>
              <w:rPr>
                <w:rFonts w:ascii="Arial" w:eastAsia="Arial" w:hAnsi="Arial" w:cs="Arial"/>
                <w:color w:val="000000"/>
                <w:sz w:val="20"/>
                <w:szCs w:val="20"/>
              </w:rPr>
              <w:t>Statistics presented: n (%); median (IQR)</w:t>
            </w:r>
          </w:p>
        </w:tc>
      </w:tr>
    </w:tbl>
    <w:p w:rsidR="00381AAD" w:rsidRDefault="00381AAD">
      <w:pPr>
        <w:sectPr w:rsidR="00381AAD" w:rsidSect="007D4BC7">
          <w:headerReference w:type="even" r:id="rId30"/>
          <w:headerReference w:type="default" r:id="rId31"/>
          <w:footerReference w:type="even" r:id="rId32"/>
          <w:footerReference w:type="default" r:id="rId33"/>
          <w:type w:val="continuous"/>
          <w:pgSz w:w="12240" w:h="15840"/>
          <w:pgMar w:top="1440" w:right="1440" w:bottom="1440" w:left="1440" w:header="720" w:footer="720" w:gutter="0"/>
          <w:cols w:space="720"/>
          <w:docGrid w:linePitch="326"/>
        </w:sectPr>
      </w:pPr>
    </w:p>
    <w:p w:rsidR="00381AAD" w:rsidRDefault="0004766D">
      <w:pPr>
        <w:pStyle w:val="Figure"/>
        <w:jc w:val="center"/>
      </w:pPr>
      <w:r>
        <w:rPr>
          <w:noProof/>
        </w:rPr>
        <w:lastRenderedPageBreak/>
        <w:drawing>
          <wp:inline distT="0" distB="0" distL="0" distR="0">
            <wp:extent cx="8229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4"/>
                    <a:srcRect/>
                    <a:stretch>
                      <a:fillRect/>
                    </a:stretch>
                  </pic:blipFill>
                  <pic:spPr bwMode="auto">
                    <a:xfrm>
                      <a:off x="0" y="0"/>
                      <a:ext cx="114300" cy="50800"/>
                    </a:xfrm>
                    <a:prstGeom prst="rect">
                      <a:avLst/>
                    </a:prstGeom>
                    <a:noFill/>
                  </pic:spPr>
                </pic:pic>
              </a:graphicData>
            </a:graphic>
          </wp:inline>
        </w:drawing>
      </w:r>
    </w:p>
    <w:p w:rsidR="00381AAD" w:rsidRDefault="0004766D">
      <w:pPr>
        <w:pStyle w:val="ImageCaption"/>
      </w:pPr>
      <w:r>
        <w:t xml:space="preserve">Figure </w:t>
      </w:r>
      <w:bookmarkStart w:id="55" w:name="scree"/>
      <w:r>
        <w:fldChar w:fldCharType="begin"/>
      </w:r>
      <w:r>
        <w:instrText>SEQ fig \* Arabic</w:instrText>
      </w:r>
      <w:r w:rsidR="005D1BFA">
        <w:fldChar w:fldCharType="separate"/>
      </w:r>
      <w:r w:rsidR="005D1BFA">
        <w:rPr>
          <w:noProof/>
        </w:rPr>
        <w:t>1</w:t>
      </w:r>
      <w:r>
        <w:fldChar w:fldCharType="end"/>
      </w:r>
      <w:bookmarkEnd w:id="55"/>
      <w:r>
        <w:t xml:space="preserve">: </w:t>
      </w:r>
      <w:r>
        <w:t>Scree plot from initial factor analysis of the Nursing-Confidence in Managing Sedation Complications Scale</w:t>
      </w:r>
    </w:p>
    <w:p w:rsidR="00381AAD" w:rsidRDefault="0004766D">
      <w:r>
        <w:br w:type="page"/>
      </w:r>
    </w:p>
    <w:p w:rsidR="00381AAD" w:rsidRDefault="0004766D">
      <w:pPr>
        <w:pStyle w:val="Figure"/>
        <w:jc w:val="center"/>
      </w:pPr>
      <w:r>
        <w:rPr>
          <w:noProof/>
        </w:rPr>
        <w:lastRenderedPageBreak/>
        <w:drawing>
          <wp:inline distT="0" distB="0" distL="0" distR="0">
            <wp:extent cx="8229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5"/>
                    <a:srcRect/>
                    <a:stretch>
                      <a:fillRect/>
                    </a:stretch>
                  </pic:blipFill>
                  <pic:spPr bwMode="auto">
                    <a:xfrm>
                      <a:off x="0" y="0"/>
                      <a:ext cx="114300" cy="50800"/>
                    </a:xfrm>
                    <a:prstGeom prst="rect">
                      <a:avLst/>
                    </a:prstGeom>
                    <a:noFill/>
                  </pic:spPr>
                </pic:pic>
              </a:graphicData>
            </a:graphic>
          </wp:inline>
        </w:drawing>
      </w:r>
    </w:p>
    <w:p w:rsidR="00381AAD" w:rsidRDefault="0004766D">
      <w:pPr>
        <w:pStyle w:val="ImageCaption"/>
      </w:pPr>
      <w:r>
        <w:t xml:space="preserve">Figure </w:t>
      </w:r>
      <w:bookmarkStart w:id="56" w:name="facanalysis"/>
      <w:r>
        <w:fldChar w:fldCharType="begin"/>
      </w:r>
      <w:r>
        <w:instrText>SEQ fig \* Arabic</w:instrText>
      </w:r>
      <w:r w:rsidR="005D1BFA">
        <w:fldChar w:fldCharType="separate"/>
      </w:r>
      <w:r w:rsidR="005D1BFA">
        <w:rPr>
          <w:noProof/>
        </w:rPr>
        <w:t>2</w:t>
      </w:r>
      <w:r>
        <w:fldChar w:fldCharType="end"/>
      </w:r>
      <w:bookmarkEnd w:id="56"/>
      <w:r>
        <w:t>: Rotated factor loadings for the Nursing Confidence in Managing Sedation Complications Scale</w:t>
      </w:r>
    </w:p>
    <w:p w:rsidR="00381AAD" w:rsidRDefault="0004766D">
      <w:r>
        <w:br w:type="page"/>
      </w:r>
    </w:p>
    <w:p w:rsidR="00381AAD" w:rsidRDefault="0004766D">
      <w:pPr>
        <w:pStyle w:val="Figure"/>
        <w:jc w:val="center"/>
      </w:pPr>
      <w:r>
        <w:rPr>
          <w:noProof/>
        </w:rPr>
        <w:lastRenderedPageBreak/>
        <w:drawing>
          <wp:inline distT="0" distB="0" distL="0" distR="0">
            <wp:extent cx="82296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6"/>
                    <a:srcRect/>
                    <a:stretch>
                      <a:fillRect/>
                    </a:stretch>
                  </pic:blipFill>
                  <pic:spPr bwMode="auto">
                    <a:xfrm>
                      <a:off x="0" y="0"/>
                      <a:ext cx="114300" cy="69850"/>
                    </a:xfrm>
                    <a:prstGeom prst="rect">
                      <a:avLst/>
                    </a:prstGeom>
                    <a:noFill/>
                  </pic:spPr>
                </pic:pic>
              </a:graphicData>
            </a:graphic>
          </wp:inline>
        </w:drawing>
      </w:r>
    </w:p>
    <w:p w:rsidR="00381AAD" w:rsidRDefault="0004766D" w:rsidP="005D1BFA">
      <w:pPr>
        <w:pStyle w:val="ImageCaption"/>
      </w:pPr>
      <w:r>
        <w:t xml:space="preserve">Figure </w:t>
      </w:r>
      <w:bookmarkStart w:id="57" w:name="dist"/>
      <w:r>
        <w:fldChar w:fldCharType="begin"/>
      </w:r>
      <w:r>
        <w:instrText>SEQ fig \* Ara</w:instrText>
      </w:r>
      <w:r>
        <w:instrText>bic</w:instrText>
      </w:r>
      <w:r w:rsidR="005D1BFA">
        <w:fldChar w:fldCharType="separate"/>
      </w:r>
      <w:r w:rsidR="005D1BFA">
        <w:rPr>
          <w:noProof/>
        </w:rPr>
        <w:t>3</w:t>
      </w:r>
      <w:r>
        <w:fldChar w:fldCharType="end"/>
      </w:r>
      <w:bookmarkEnd w:id="57"/>
      <w:r>
        <w:t>: Distribution of Nursing Confidence in Managing Sedation Complications Scale and subscale scores in the online survey</w:t>
      </w:r>
    </w:p>
    <w:p w:rsidR="00381AAD" w:rsidRDefault="0004766D">
      <w:pPr>
        <w:pStyle w:val="Figure"/>
        <w:jc w:val="center"/>
      </w:pPr>
      <w:r>
        <w:rPr>
          <w:noProof/>
        </w:rPr>
        <w:lastRenderedPageBreak/>
        <w:drawing>
          <wp:inline distT="0" distB="0" distL="0" distR="0">
            <wp:extent cx="822960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7"/>
                    <a:srcRect/>
                    <a:stretch>
                      <a:fillRect/>
                    </a:stretch>
                  </pic:blipFill>
                  <pic:spPr bwMode="auto">
                    <a:xfrm>
                      <a:off x="0" y="0"/>
                      <a:ext cx="114300" cy="69850"/>
                    </a:xfrm>
                    <a:prstGeom prst="rect">
                      <a:avLst/>
                    </a:prstGeom>
                    <a:noFill/>
                  </pic:spPr>
                </pic:pic>
              </a:graphicData>
            </a:graphic>
          </wp:inline>
        </w:drawing>
      </w:r>
    </w:p>
    <w:p w:rsidR="00381AAD" w:rsidRDefault="0004766D" w:rsidP="005D1BFA">
      <w:pPr>
        <w:pStyle w:val="ImageCaption"/>
      </w:pPr>
      <w:r>
        <w:t xml:space="preserve">Figure </w:t>
      </w:r>
      <w:bookmarkStart w:id="58" w:name="predist"/>
      <w:r>
        <w:fldChar w:fldCharType="begin"/>
      </w:r>
      <w:r>
        <w:instrText>SEQ fig \* Arabic</w:instrText>
      </w:r>
      <w:r w:rsidR="005D1BFA">
        <w:fldChar w:fldCharType="separate"/>
      </w:r>
      <w:r w:rsidR="005D1BFA">
        <w:rPr>
          <w:noProof/>
        </w:rPr>
        <w:t>4</w:t>
      </w:r>
      <w:r>
        <w:fldChar w:fldCharType="end"/>
      </w:r>
      <w:bookmarkEnd w:id="58"/>
      <w:r>
        <w:t>: Pre-sedation training distribution of Nursing Confidence in Managing Sedation Complications Scale an</w:t>
      </w:r>
      <w:r>
        <w:t>d subscale scores</w:t>
      </w:r>
      <w:r>
        <w:br w:type="page"/>
      </w:r>
    </w:p>
    <w:p w:rsidR="00381AAD" w:rsidRDefault="0004766D">
      <w:pPr>
        <w:pStyle w:val="Figure"/>
        <w:jc w:val="center"/>
      </w:pPr>
      <w:r>
        <w:rPr>
          <w:noProof/>
        </w:rPr>
        <w:lastRenderedPageBreak/>
        <w:drawing>
          <wp:inline distT="0" distB="0" distL="0" distR="0">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8"/>
                    <a:srcRect/>
                    <a:stretch>
                      <a:fillRect/>
                    </a:stretch>
                  </pic:blipFill>
                  <pic:spPr bwMode="auto">
                    <a:xfrm>
                      <a:off x="0" y="0"/>
                      <a:ext cx="63500" cy="50800"/>
                    </a:xfrm>
                    <a:prstGeom prst="rect">
                      <a:avLst/>
                    </a:prstGeom>
                    <a:noFill/>
                  </pic:spPr>
                </pic:pic>
              </a:graphicData>
            </a:graphic>
          </wp:inline>
        </w:drawing>
      </w:r>
    </w:p>
    <w:p w:rsidR="00381AAD" w:rsidRDefault="0004766D">
      <w:pPr>
        <w:pStyle w:val="ImageCaption"/>
      </w:pPr>
      <w:r>
        <w:t xml:space="preserve">Figure </w:t>
      </w:r>
      <w:bookmarkStart w:id="59" w:name="change"/>
      <w:r>
        <w:fldChar w:fldCharType="begin"/>
      </w:r>
      <w:r>
        <w:instrText>SEQ fig \* Arabic</w:instrText>
      </w:r>
      <w:r w:rsidR="005D1BFA">
        <w:fldChar w:fldCharType="separate"/>
      </w:r>
      <w:r w:rsidR="005D1BFA">
        <w:rPr>
          <w:noProof/>
        </w:rPr>
        <w:t>5</w:t>
      </w:r>
      <w:r>
        <w:fldChar w:fldCharType="end"/>
      </w:r>
      <w:bookmarkEnd w:id="59"/>
      <w:r>
        <w:t>: Change in Nursing Confidence in Managing Sedation Complications Scale scores from pre to post-training</w:t>
      </w:r>
    </w:p>
    <w:p w:rsidR="00381AAD" w:rsidRDefault="00381AAD">
      <w:pPr>
        <w:sectPr w:rsidR="00381AAD" w:rsidSect="007D4BC7">
          <w:headerReference w:type="even" r:id="rId39"/>
          <w:headerReference w:type="default" r:id="rId40"/>
          <w:footerReference w:type="even" r:id="rId41"/>
          <w:footerReference w:type="default" r:id="rId42"/>
          <w:type w:val="oddPage"/>
          <w:pgSz w:w="15840" w:h="12240" w:orient="landscape"/>
          <w:pgMar w:top="1440" w:right="1440" w:bottom="1440" w:left="1440" w:header="720" w:footer="720" w:gutter="0"/>
          <w:cols w:space="720"/>
          <w:docGrid w:linePitch="326"/>
        </w:sectPr>
      </w:pPr>
    </w:p>
    <w:p w:rsidR="00381AAD" w:rsidRDefault="0004766D">
      <w:pPr>
        <w:pStyle w:val="Figure"/>
        <w:jc w:val="center"/>
      </w:pPr>
      <w:r>
        <w:rPr>
          <w:noProof/>
        </w:rPr>
        <w:lastRenderedPageBreak/>
        <w:drawing>
          <wp:inline distT="0" distB="0" distL="0" distR="0">
            <wp:extent cx="4572000" cy="640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3"/>
                    <a:srcRect/>
                    <a:stretch>
                      <a:fillRect/>
                    </a:stretch>
                  </pic:blipFill>
                  <pic:spPr bwMode="auto">
                    <a:xfrm>
                      <a:off x="0" y="0"/>
                      <a:ext cx="63500" cy="88900"/>
                    </a:xfrm>
                    <a:prstGeom prst="rect">
                      <a:avLst/>
                    </a:prstGeom>
                    <a:noFill/>
                  </pic:spPr>
                </pic:pic>
              </a:graphicData>
            </a:graphic>
          </wp:inline>
        </w:drawing>
      </w:r>
    </w:p>
    <w:p w:rsidR="00381AAD" w:rsidRDefault="0004766D">
      <w:pPr>
        <w:pStyle w:val="ImageCaption"/>
      </w:pPr>
      <w:r>
        <w:t xml:space="preserve">Figure </w:t>
      </w:r>
      <w:bookmarkStart w:id="60" w:name="reg"/>
      <w:r>
        <w:fldChar w:fldCharType="begin"/>
      </w:r>
      <w:r>
        <w:instrText>SEQ fig \* Arabic</w:instrText>
      </w:r>
      <w:r w:rsidR="005D1BFA">
        <w:fldChar w:fldCharType="separate"/>
      </w:r>
      <w:r w:rsidR="005D1BFA">
        <w:rPr>
          <w:noProof/>
        </w:rPr>
        <w:t>6</w:t>
      </w:r>
      <w:r>
        <w:fldChar w:fldCharType="end"/>
      </w:r>
      <w:bookmarkEnd w:id="60"/>
      <w:r>
        <w:t xml:space="preserve">: </w:t>
      </w:r>
      <w:r>
        <w:t>Association between change in Managing Sedation Complications Scale scores from pre to post-training with (A) change in overall rating of confidence in managing sedation; and (B) change in overall knowledge about sedation</w:t>
      </w:r>
    </w:p>
    <w:sectPr w:rsidR="00381AAD" w:rsidSect="007D4BC7">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766D" w:rsidRDefault="0004766D">
      <w:pPr>
        <w:spacing w:after="0" w:line="240" w:lineRule="auto"/>
      </w:pPr>
      <w:r>
        <w:separator/>
      </w:r>
    </w:p>
  </w:endnote>
  <w:endnote w:type="continuationSeparator" w:id="0">
    <w:p w:rsidR="0004766D" w:rsidRDefault="0004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04766D"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04766D"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04766D" w:rsidP="00AF68E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1791087"/>
      <w:docPartObj>
        <w:docPartGallery w:val="Page Numbers (Bottom of Page)"/>
        <w:docPartUnique/>
      </w:docPartObj>
    </w:sdtPr>
    <w:sdtEndPr>
      <w:rPr>
        <w:rStyle w:val="PageNumber"/>
      </w:rPr>
    </w:sdtEndPr>
    <w:sdtContent>
      <w:p w:rsidR="00AF68E7" w:rsidRDefault="0004766D"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04766D" w:rsidP="00AF68E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04766D" w:rsidP="00AF68E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2050316"/>
      <w:docPartObj>
        <w:docPartGallery w:val="Page Numbers (Bottom of Page)"/>
        <w:docPartUnique/>
      </w:docPartObj>
    </w:sdtPr>
    <w:sdtEndPr>
      <w:rPr>
        <w:rStyle w:val="PageNumber"/>
      </w:rPr>
    </w:sdtEndPr>
    <w:sdtContent>
      <w:p w:rsidR="00AF68E7" w:rsidRDefault="0004766D" w:rsidP="00F54FAE">
        <w:pPr>
          <w:pStyle w:val="Footer"/>
          <w:framePr w:wrap="none" w:vAnchor="text" w:hAnchor="margin" w:xAlign="right" w:y="1"/>
          <w:rPr>
            <w:rStyle w:val="PageNumber"/>
          </w:rPr>
        </w:pPr>
        <w:r>
          <w:rPr>
            <w:rStyle w:val="PageNumber"/>
          </w:rPr>
          <w:fldChar w:fldCharType="begin"/>
        </w:r>
        <w:r>
          <w:rPr>
            <w:rStyle w:val="PageNumber"/>
          </w:rPr>
          <w:instrText xml:space="preserve"> PAGE</w:instrText>
        </w:r>
        <w:r>
          <w:rPr>
            <w:rStyle w:val="PageNumber"/>
          </w:rPr>
          <w:instrText xml:space="preserve"> </w:instrText>
        </w:r>
        <w:r>
          <w:rPr>
            <w:rStyle w:val="PageNumber"/>
          </w:rPr>
          <w:fldChar w:fldCharType="end"/>
        </w:r>
      </w:p>
    </w:sdtContent>
  </w:sdt>
  <w:p w:rsidR="00AF68E7" w:rsidRDefault="0004766D" w:rsidP="00AF68E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04766D"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766D" w:rsidRDefault="0004766D">
      <w:r>
        <w:separator/>
      </w:r>
    </w:p>
  </w:footnote>
  <w:footnote w:type="continuationSeparator" w:id="0">
    <w:p w:rsidR="0004766D" w:rsidRDefault="00047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04766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04766D"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04766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04766D" w:rsidP="0053687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4644119"/>
      <w:docPartObj>
        <w:docPartGallery w:val="Page Numbers (Top of Page)"/>
        <w:docPartUnique/>
      </w:docPartObj>
    </w:sdtPr>
    <w:sdtEndPr>
      <w:rPr>
        <w:rStyle w:val="PageNumber"/>
      </w:rPr>
    </w:sdtEndPr>
    <w:sdtContent>
      <w:p w:rsidR="0053687A" w:rsidRDefault="0004766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04766D" w:rsidP="0053687A">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567025"/>
      <w:docPartObj>
        <w:docPartGallery w:val="Page Numbers (Top of Page)"/>
        <w:docPartUnique/>
      </w:docPartObj>
    </w:sdtPr>
    <w:sdtEndPr>
      <w:rPr>
        <w:rStyle w:val="PageNumber"/>
      </w:rPr>
    </w:sdtEndPr>
    <w:sdtContent>
      <w:p w:rsidR="0053687A" w:rsidRDefault="0004766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04766D" w:rsidP="0053687A">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31004002"/>
      <w:docPartObj>
        <w:docPartGallery w:val="Page Numbers (Top of Page)"/>
        <w:docPartUnique/>
      </w:docPartObj>
    </w:sdtPr>
    <w:sdtEndPr>
      <w:rPr>
        <w:rStyle w:val="PageNumber"/>
      </w:rPr>
    </w:sdtEndPr>
    <w:sdtContent>
      <w:p w:rsidR="0053687A" w:rsidRDefault="0004766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04766D" w:rsidP="0053687A">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4595502"/>
      <w:docPartObj>
        <w:docPartGallery w:val="Page Numbers (Top of Page)"/>
        <w:docPartUnique/>
      </w:docPartObj>
    </w:sdtPr>
    <w:sdtEndPr>
      <w:rPr>
        <w:rStyle w:val="PageNumber"/>
      </w:rPr>
    </w:sdtEndPr>
    <w:sdtContent>
      <w:p w:rsidR="0053687A" w:rsidRDefault="0004766D"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04766D"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766D"/>
    <w:rsid w:val="00381AAD"/>
    <w:rsid w:val="004E29B3"/>
    <w:rsid w:val="00590D07"/>
    <w:rsid w:val="005D1BF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B54E5"/>
  <w15:docId w15:val="{CD033484-D9AE-604D-BC1C-59F40610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00000542-200602000-00005" TargetMode="External"/><Relationship Id="rId18" Type="http://schemas.openxmlformats.org/officeDocument/2006/relationships/hyperlink" Target="https://doi.org/10.1371/journal.pone.0118900" TargetMode="External"/><Relationship Id="rId26" Type="http://schemas.openxmlformats.org/officeDocument/2006/relationships/hyperlink" Target="https://doi.org/10.1161/strokeaha.109.566836" TargetMode="External"/><Relationship Id="rId39" Type="http://schemas.openxmlformats.org/officeDocument/2006/relationships/header" Target="header3.xml"/><Relationship Id="rId21" Type="http://schemas.openxmlformats.org/officeDocument/2006/relationships/hyperlink" Target="https://doi.org/10.1038/s41592-019-0470-3" TargetMode="External"/><Relationship Id="rId34" Type="http://schemas.openxmlformats.org/officeDocument/2006/relationships/image" Target="media/image1.png"/><Relationship Id="rId42" Type="http://schemas.openxmlformats.org/officeDocument/2006/relationships/footer" Target="footer4.xml"/><Relationship Id="rId47" Type="http://schemas.openxmlformats.org/officeDocument/2006/relationships/footer" Target="footer6.xml"/><Relationship Id="rId7" Type="http://schemas.openxmlformats.org/officeDocument/2006/relationships/hyperlink" Target="mailto:aaron.conway@utoronto.ca" TargetMode="External"/><Relationship Id="rId2" Type="http://schemas.openxmlformats.org/officeDocument/2006/relationships/styles" Target="styles.xml"/><Relationship Id="rId16" Type="http://schemas.openxmlformats.org/officeDocument/2006/relationships/hyperlink" Target="https://doi.org/10.1111/jan.12337" TargetMode="External"/><Relationship Id="rId29" Type="http://schemas.openxmlformats.org/officeDocument/2006/relationships/hyperlink" Target="https://doi.org/10.1016/j.resuscitation.2013.08.001" TargetMode="External"/><Relationship Id="rId11" Type="http://schemas.openxmlformats.org/officeDocument/2006/relationships/hyperlink" Target="https://nc-mscs.netlify.app/" TargetMode="External"/><Relationship Id="rId24" Type="http://schemas.openxmlformats.org/officeDocument/2006/relationships/hyperlink" Target="https://doi.org/10.1002/nur.20199" TargetMode="External"/><Relationship Id="rId32" Type="http://schemas.openxmlformats.org/officeDocument/2006/relationships/footer" Target="footer1.xml"/><Relationship Id="rId37" Type="http://schemas.openxmlformats.org/officeDocument/2006/relationships/image" Target="media/image4.png"/><Relationship Id="rId40" Type="http://schemas.openxmlformats.org/officeDocument/2006/relationships/header" Target="header4.xml"/><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doi.org/10.1016/j.aucc.2013.05.003" TargetMode="External"/><Relationship Id="rId23" Type="http://schemas.openxmlformats.org/officeDocument/2006/relationships/hyperlink" Target="https://doi.org/10.1207/s15327574ijt0502_4" TargetMode="External"/><Relationship Id="rId28" Type="http://schemas.openxmlformats.org/officeDocument/2006/relationships/hyperlink" Target="https://doi.org/10.1097/sih.0b013e3182786209" TargetMode="External"/><Relationship Id="rId36" Type="http://schemas.openxmlformats.org/officeDocument/2006/relationships/image" Target="media/image3.png"/><Relationship Id="rId49" Type="http://schemas.openxmlformats.org/officeDocument/2006/relationships/theme" Target="theme/theme1.xml"/><Relationship Id="rId10" Type="http://schemas.openxmlformats.org/officeDocument/2006/relationships/hyperlink" Target="https://github.com/awconway/nc-mscs" TargetMode="External"/><Relationship Id="rId19" Type="http://schemas.openxmlformats.org/officeDocument/2006/relationships/hyperlink" Target="https://doi.org/10.1002/nur.20100" TargetMode="External"/><Relationship Id="rId31" Type="http://schemas.openxmlformats.org/officeDocument/2006/relationships/header" Target="header2.xml"/><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github.com/awconway/nc-mscs" TargetMode="External"/><Relationship Id="rId14" Type="http://schemas.openxmlformats.org/officeDocument/2006/relationships/hyperlink" Target="https://doi.org/10.1177/109442810141004" TargetMode="External"/><Relationship Id="rId22" Type="http://schemas.openxmlformats.org/officeDocument/2006/relationships/hyperlink" Target="https://doi.org/10.1097/00001888-200108000-00016" TargetMode="External"/><Relationship Id="rId27" Type="http://schemas.openxmlformats.org/officeDocument/2006/relationships/hyperlink" Target="https://doi.org/10.1007/s40140-020-00368-8" TargetMode="External"/><Relationship Id="rId30" Type="http://schemas.openxmlformats.org/officeDocument/2006/relationships/header" Target="header1.xml"/><Relationship Id="rId35" Type="http://schemas.openxmlformats.org/officeDocument/2006/relationships/image" Target="media/image2.png"/><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hyperlink" Target="mailto:aaron.conway@utoronto.ca" TargetMode="External"/><Relationship Id="rId3" Type="http://schemas.openxmlformats.org/officeDocument/2006/relationships/settings" Target="settings.xml"/><Relationship Id="rId12" Type="http://schemas.openxmlformats.org/officeDocument/2006/relationships/hyperlink" Target="https://doi.org/10.1017/cbo9780511527692.003" TargetMode="External"/><Relationship Id="rId17" Type="http://schemas.openxmlformats.org/officeDocument/2006/relationships/hyperlink" Target="https://doi.org/10.1111/jocn.12147" TargetMode="External"/><Relationship Id="rId25" Type="http://schemas.openxmlformats.org/officeDocument/2006/relationships/hyperlink" Target="https://doi.org/10.1177/0163278712466408" TargetMode="External"/><Relationship Id="rId33" Type="http://schemas.openxmlformats.org/officeDocument/2006/relationships/footer" Target="footer2.xml"/><Relationship Id="rId38" Type="http://schemas.openxmlformats.org/officeDocument/2006/relationships/image" Target="media/image5.png"/><Relationship Id="rId46" Type="http://schemas.openxmlformats.org/officeDocument/2006/relationships/footer" Target="footer5.xml"/><Relationship Id="rId20" Type="http://schemas.openxmlformats.org/officeDocument/2006/relationships/hyperlink" Target="https://doi.org/10.1016/j.ijnurstu.2013.10.005"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34</Pages>
  <Words>5561</Words>
  <Characters>31704</Characters>
  <Application>Microsoft Office Word</Application>
  <DocSecurity>0</DocSecurity>
  <Lines>264</Lines>
  <Paragraphs>74</Paragraphs>
  <ScaleCrop>false</ScaleCrop>
  <Company/>
  <LinksUpToDate>false</LinksUpToDate>
  <CharactersWithSpaces>37191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the nursing confidence in managing sedation complications scale</dc:title>
  <dc:creator>Aaron Conway PhD1,2,3,✉, Kristina Chang MScN1, Navpreet Kamboj BScN2, Shahvand Masihi6, Sebastian Mafeld6, and Joanna Sutherland MBBS4,5</dc:creator>
  <cp:keywords/>
  <cp:lastModifiedBy>Aaron Conway</cp:lastModifiedBy>
  <cp:revision>2</cp:revision>
  <dcterms:created xsi:type="dcterms:W3CDTF">2020-08-07T21:21:00Z</dcterms:created>
  <dcterms:modified xsi:type="dcterms:W3CDTF">2020-08-07T21:25:00Z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Extras/harvard.csl</vt:lpwstr>
  </property>
  <property fmtid="{D5CDD505-2E9C-101B-9397-08002B2CF9AE}" pid="4" name="editor_options">
    <vt:lpwstr/>
  </property>
  <property fmtid="{D5CDD505-2E9C-101B-9397-08002B2CF9AE}" pid="5" name="output">
    <vt:lpwstr/>
  </property>
</Properties>
</file>