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6A" w:rsidRDefault="00E745ED" w:rsidP="00FA3BE0">
      <w:pPr>
        <w:pStyle w:val="Title"/>
      </w:pPr>
      <w:bookmarkStart w:id="0" w:name="_GoBack"/>
      <w:bookmarkEnd w:id="0"/>
      <w:r>
        <w:t>Accuracy and precision of zero-heat-flux temperature monitoring: A systematic review and meta-analysis</w:t>
      </w:r>
    </w:p>
    <w:p w:rsidR="0032066A" w:rsidRDefault="00E745ED">
      <w:pPr>
        <w:pStyle w:val="Heading2"/>
      </w:pPr>
      <w:bookmarkStart w:id="1" w:name="author-information"/>
      <w:r>
        <w:t>Author information</w:t>
      </w:r>
      <w:bookmarkEnd w:id="1"/>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proofErr w:type="spellStart"/>
      <w:r>
        <w:t>Navpreet</w:t>
      </w:r>
      <w:proofErr w:type="spellEnd"/>
      <w:r>
        <w:t xml:space="preserve">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 xml:space="preserve">Matteo </w:t>
      </w:r>
      <w:proofErr w:type="spellStart"/>
      <w:r>
        <w:t>Parotto</w:t>
      </w:r>
      <w:proofErr w:type="spellEnd"/>
      <w:r>
        <w:t xml:space="preserve"> MD</w:t>
      </w:r>
      <w:r>
        <w:rPr>
          <w:vertAlign w:val="superscript"/>
        </w:rPr>
        <w:t>4</w:t>
      </w:r>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p>
    <w:p w:rsidR="0032066A" w:rsidRDefault="00E745ED">
      <w:pPr>
        <w:pStyle w:val="Heading2"/>
      </w:pPr>
      <w:bookmarkStart w:id="2" w:name="corresponding-author"/>
      <w:r>
        <w:lastRenderedPageBreak/>
        <w:t>Corresponding author</w:t>
      </w:r>
      <w:bookmarkEnd w:id="2"/>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0976E2">
      <w:pPr>
        <w:pStyle w:val="Compact"/>
        <w:numPr>
          <w:ilvl w:val="0"/>
          <w:numId w:val="3"/>
        </w:numPr>
      </w:pPr>
      <w:hyperlink r:id="rId8">
        <w:r w:rsidR="00E745ED">
          <w:rPr>
            <w:rStyle w:val="Hyperlink"/>
          </w:rPr>
          <w:t>aaron.conway@utoronto.ca</w:t>
        </w:r>
      </w:hyperlink>
      <w:r w:rsidR="00E745ED">
        <w:t xml:space="preserve"> | t. (416) 946-7112</w:t>
      </w:r>
    </w:p>
    <w:p w:rsidR="0032066A" w:rsidRDefault="00E745ED">
      <w:pPr>
        <w:pStyle w:val="Heading2"/>
      </w:pPr>
      <w:bookmarkStart w:id="3" w:name="declarations"/>
      <w:r>
        <w:t>Declarations</w:t>
      </w:r>
      <w:bookmarkEnd w:id="3"/>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4" w:name="abstract"/>
      <w:r>
        <w:t>Abstract</w:t>
      </w:r>
      <w:bookmarkEnd w:id="4"/>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lastRenderedPageBreak/>
        <w:t>Results</w:t>
      </w:r>
    </w:p>
    <w:p w:rsidR="0032066A" w:rsidRDefault="00E745ED">
      <w:pPr>
        <w:pStyle w:val="BodyText"/>
      </w:pPr>
      <w:r>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5" w:name="introduction"/>
      <w:r>
        <w:t>Introduction</w:t>
      </w:r>
      <w:bookmarkEnd w:id="5"/>
    </w:p>
    <w:p w:rsidR="0032066A" w:rsidRDefault="00E745ED">
      <w:pPr>
        <w:pStyle w:val="FirstParagraph"/>
      </w:pPr>
      <w:r>
        <w:t xml:space="preserve">Continuous core temperature monitoring is commonly used within perioperative and intensive care settings. Thermoregulatory dysfunction is commonly associated with the induction of </w:t>
      </w:r>
      <w:r>
        <w:lastRenderedPageBreak/>
        <w:t>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w:t>
      </w:r>
      <w:r>
        <w:lastRenderedPageBreak/>
        <w:t>average difference between temperature measurements from the zero-heat-flux and comparator device and precision as the variance (standard deviation) in the differences.</w:t>
      </w:r>
    </w:p>
    <w:p w:rsidR="0032066A" w:rsidRDefault="00E745ED">
      <w:pPr>
        <w:pStyle w:val="Heading2"/>
      </w:pPr>
      <w:bookmarkStart w:id="6" w:name="methods"/>
      <w:r>
        <w:t>Methods</w:t>
      </w:r>
      <w:bookmarkEnd w:id="6"/>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7" w:name="inclusion-criteria"/>
      <w:r>
        <w:t>Inclusion criteria</w:t>
      </w:r>
      <w:bookmarkEnd w:id="7"/>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8" w:name="data-sources-and-searches"/>
      <w:r>
        <w:t>Data sources and searches</w:t>
      </w:r>
      <w:bookmarkEnd w:id="8"/>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w:t>
      </w:r>
      <w:r>
        <w:lastRenderedPageBreak/>
        <w:t>accuracy studies.</w:t>
      </w:r>
      <w:r>
        <w:rPr>
          <w:vertAlign w:val="superscript"/>
        </w:rPr>
        <w:t>8</w:t>
      </w:r>
      <w:r>
        <w:t xml:space="preserve"> We also conducted forward citation 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proofErr w:type="spellStart"/>
        <w:r>
          <w:rPr>
            <w:rStyle w:val="Hyperlink"/>
          </w:rPr>
          <w:t>Covidence</w:t>
        </w:r>
        <w:proofErr w:type="spellEnd"/>
      </w:hyperlink>
      <w:r>
        <w:t>.</w:t>
      </w:r>
    </w:p>
    <w:p w:rsidR="0032066A" w:rsidRDefault="00E745ED">
      <w:pPr>
        <w:pStyle w:val="Heading3"/>
      </w:pPr>
      <w:bookmarkStart w:id="9" w:name="data-extraction-and-quality-assessment"/>
      <w:r>
        <w:t>Data extraction and quality assessment</w:t>
      </w:r>
      <w:bookmarkEnd w:id="9"/>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xml:space="preserve">, timing of zero-heat-flux and established core temperature measurements, dropouts) as ‘high’, ‘low’ or ‘unclear’ risk of bias. We worked to minimize the risk of publication bias by conducting a comprehensive search of </w:t>
      </w:r>
      <w:r>
        <w:lastRenderedPageBreak/>
        <w:t>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10" w:name="data-synthesis-and-analysis"/>
      <w:r>
        <w:t>Data synthesis and analysis</w:t>
      </w:r>
      <w:bookmarkEnd w:id="10"/>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w:t>
      </w:r>
      <w:r>
        <w:lastRenderedPageBreak/>
        <w:t xml:space="preserve">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a separate ‘comparison’ if the comparator </w:t>
      </w:r>
      <w:r>
        <w:lastRenderedPageBreak/>
        <w:t>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1" w:name="results"/>
      <w:r>
        <w:lastRenderedPageBreak/>
        <w:t>Results</w:t>
      </w:r>
      <w:bookmarkEnd w:id="11"/>
    </w:p>
    <w:p w:rsidR="0032066A" w:rsidRDefault="00E745ED">
      <w:pPr>
        <w:pStyle w:val="Heading3"/>
      </w:pPr>
      <w:bookmarkStart w:id="12" w:name="study-selection-and-description"/>
      <w:r>
        <w:t>Study selection and description</w:t>
      </w:r>
      <w:bookmarkEnd w:id="12"/>
    </w:p>
    <w:p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lastRenderedPageBreak/>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3" w:name="primary-comparison-zero-heat-flux-thermo"/>
      <w:r>
        <w:t>Primary comparison: zero-heat-flux thermometer versus core thermometers</w:t>
      </w:r>
      <w:bookmarkEnd w:id="13"/>
    </w:p>
    <w:p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w:t>
      </w:r>
      <w:r>
        <w:lastRenderedPageBreak/>
        <w:t>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4" w:name="secondary-comparisons-zero-heat-flux-the"/>
      <w:r>
        <w:lastRenderedPageBreak/>
        <w:t>Secondary comparisons: zero-heat-flux thermometer versus peripheral thermometers</w:t>
      </w:r>
      <w:bookmarkEnd w:id="14"/>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5" w:name="discussion"/>
      <w:r>
        <w:t>Discussion</w:t>
      </w:r>
      <w:bookmarkEnd w:id="15"/>
    </w:p>
    <w:p w:rsidR="0032066A" w:rsidRDefault="00E745ED">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this magnitude would be important for the given </w:t>
      </w:r>
      <w:r>
        <w:lastRenderedPageBreak/>
        <w:t>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w:t>
      </w:r>
      <w:r>
        <w:lastRenderedPageBreak/>
        <w:t>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6" w:name="limitations"/>
      <w:r>
        <w:lastRenderedPageBreak/>
        <w:t>Limitations</w:t>
      </w:r>
      <w:bookmarkEnd w:id="16"/>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7" w:name="conclusion"/>
      <w:r>
        <w:t>Conclusion</w:t>
      </w:r>
      <w:bookmarkEnd w:id="17"/>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pPr>
        <w:pStyle w:val="Heading1"/>
      </w:pPr>
      <w:bookmarkStart w:id="18" w:name="references"/>
      <w:r>
        <w:lastRenderedPageBreak/>
        <w:t>References</w:t>
      </w:r>
      <w:bookmarkEnd w:id="18"/>
    </w:p>
    <w:p w:rsidR="0032066A" w:rsidRPr="008B7695" w:rsidRDefault="00E745ED" w:rsidP="008B7695">
      <w:pPr>
        <w:pStyle w:val="Bibliography"/>
      </w:pPr>
      <w:bookmarkStart w:id="19" w:name="ref-frank1997perioperative"/>
      <w:bookmarkStart w:id="20"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1" w:name="ref-kurz1996perioperative"/>
      <w:bookmarkEnd w:id="19"/>
      <w:r w:rsidRPr="008B7695">
        <w:t xml:space="preserve">2. </w:t>
      </w:r>
      <w:proofErr w:type="spellStart"/>
      <w:r w:rsidRPr="008B7695">
        <w:t>Kurz</w:t>
      </w:r>
      <w:proofErr w:type="spellEnd"/>
      <w:r w:rsidRPr="008B7695">
        <w:t xml:space="preserve">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2" w:name="ref-michelson1994reversible"/>
      <w:bookmarkEnd w:id="21"/>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rsidR="0032066A" w:rsidRPr="008B7695" w:rsidRDefault="00E745ED" w:rsidP="008B7695">
      <w:pPr>
        <w:pStyle w:val="Bibliography"/>
      </w:pPr>
      <w:bookmarkStart w:id="23" w:name="ref-rohrer1992effect"/>
      <w:bookmarkEnd w:id="22"/>
      <w:r w:rsidRPr="008B7695">
        <w:t>4. Rohrer MJ, Natale AM: Effect of hypothermia on the coagulation cascade. Critical Care Medicine 1992; 20:1402–5</w:t>
      </w:r>
    </w:p>
    <w:p w:rsidR="0032066A" w:rsidRPr="008B7695" w:rsidRDefault="00E745ED" w:rsidP="008B7695">
      <w:pPr>
        <w:pStyle w:val="Bibliography"/>
      </w:pPr>
      <w:bookmarkStart w:id="24" w:name="ref-hadian2006evidence"/>
      <w:bookmarkEnd w:id="23"/>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rsidR="0032066A" w:rsidRPr="008B7695" w:rsidRDefault="00E745ED" w:rsidP="008B7695">
      <w:pPr>
        <w:pStyle w:val="Bibliography"/>
      </w:pPr>
      <w:bookmarkStart w:id="25" w:name="ref-eshraghi2014"/>
      <w:bookmarkEnd w:id="24"/>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rsidR="0032066A" w:rsidRPr="008B7695" w:rsidRDefault="00E745ED" w:rsidP="008B7695">
      <w:pPr>
        <w:pStyle w:val="Bibliography"/>
      </w:pPr>
      <w:bookmarkStart w:id="26" w:name="ref-mann2012should"/>
      <w:bookmarkEnd w:id="25"/>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7" w:name="ref-preston2015improving"/>
      <w:bookmarkEnd w:id="26"/>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rsidR="0032066A" w:rsidRPr="008B7695" w:rsidRDefault="00E745ED" w:rsidP="008B7695">
      <w:pPr>
        <w:pStyle w:val="Bibliography"/>
      </w:pPr>
      <w:bookmarkStart w:id="28" w:name="ref-myles2007using"/>
      <w:bookmarkEnd w:id="27"/>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rsidR="0032066A" w:rsidRPr="008B7695" w:rsidRDefault="00E745ED" w:rsidP="008B7695">
      <w:pPr>
        <w:pStyle w:val="Bibliography"/>
      </w:pPr>
      <w:bookmarkStart w:id="29" w:name="ref-whiting2011quadas"/>
      <w:bookmarkEnd w:id="28"/>
      <w:r w:rsidRPr="008B7695">
        <w:lastRenderedPageBreak/>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rsidR="0032066A" w:rsidRPr="008B7695" w:rsidRDefault="00E745ED" w:rsidP="008B7695">
      <w:pPr>
        <w:pStyle w:val="Bibliography"/>
      </w:pPr>
      <w:bookmarkStart w:id="30" w:name="ref-glasziou2001systematic"/>
      <w:bookmarkEnd w:id="29"/>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rsidR="0032066A" w:rsidRPr="008B7695" w:rsidRDefault="00E745ED" w:rsidP="008B7695">
      <w:pPr>
        <w:pStyle w:val="Bibliography"/>
      </w:pPr>
      <w:bookmarkStart w:id="31" w:name="ref-begg2005systematic"/>
      <w:bookmarkEnd w:id="30"/>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2" w:name="ref-deeks2005performance"/>
      <w:bookmarkEnd w:id="31"/>
      <w:r w:rsidRPr="008B7695">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3" w:name="ref-schunemann2008grading"/>
      <w:bookmarkEnd w:id="32"/>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rsidR="0032066A" w:rsidRPr="008B7695" w:rsidRDefault="00E745ED" w:rsidP="008B7695">
      <w:pPr>
        <w:pStyle w:val="Bibliography"/>
      </w:pPr>
      <w:bookmarkStart w:id="34" w:name="ref-tipton2017framework"/>
      <w:bookmarkEnd w:id="33"/>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rsidR="0032066A" w:rsidRPr="008B7695" w:rsidRDefault="00E745ED" w:rsidP="008B7695">
      <w:pPr>
        <w:pStyle w:val="Bibliography"/>
      </w:pPr>
      <w:bookmarkStart w:id="35" w:name="ref-hedges2010robust"/>
      <w:bookmarkEnd w:id="34"/>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6" w:name="ref-tanner2016handling"/>
      <w:bookmarkEnd w:id="35"/>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7" w:name="ref-tipton2015small"/>
      <w:bookmarkEnd w:id="36"/>
      <w:r w:rsidRPr="008B7695">
        <w:t>18. Tipton E: Small sample adjustments for robust variance estimation with meta-regression. Psychological Methods 2015; 20:375</w:t>
      </w:r>
    </w:p>
    <w:p w:rsidR="0032066A" w:rsidRPr="008B7695" w:rsidRDefault="00E745ED" w:rsidP="008B7695">
      <w:pPr>
        <w:pStyle w:val="Bibliography"/>
      </w:pPr>
      <w:bookmarkStart w:id="38" w:name="ref-dersimonian1986meta"/>
      <w:bookmarkEnd w:id="37"/>
      <w:r w:rsidRPr="008B7695">
        <w:t xml:space="preserve">19. </w:t>
      </w:r>
      <w:proofErr w:type="spellStart"/>
      <w:r w:rsidRPr="008B7695">
        <w:t>DerSimonian</w:t>
      </w:r>
      <w:proofErr w:type="spellEnd"/>
      <w:r w:rsidRPr="008B7695">
        <w:t xml:space="preserve"> R, Laird N: Meta-analysis in clinical trials. Controlled Clinical Trials 1986; 7:177–88</w:t>
      </w:r>
    </w:p>
    <w:p w:rsidR="0032066A" w:rsidRPr="008B7695" w:rsidRDefault="00E745ED" w:rsidP="008B7695">
      <w:pPr>
        <w:pStyle w:val="Bibliography"/>
      </w:pPr>
      <w:bookmarkStart w:id="39" w:name="ref-team2017r"/>
      <w:bookmarkEnd w:id="38"/>
      <w:r w:rsidRPr="008B7695">
        <w:lastRenderedPageBreak/>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rsidR="0032066A" w:rsidRPr="008B7695" w:rsidRDefault="00E745ED" w:rsidP="008B7695">
      <w:pPr>
        <w:pStyle w:val="Bibliography"/>
      </w:pPr>
      <w:bookmarkStart w:id="40" w:name="ref-niven2015accuracy"/>
      <w:bookmarkEnd w:id="39"/>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1" w:name="ref-evron2017evaluation"/>
      <w:bookmarkEnd w:id="40"/>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rsidR="0032066A" w:rsidRPr="008B7695" w:rsidRDefault="00E745ED" w:rsidP="008B7695">
      <w:pPr>
        <w:pStyle w:val="Bibliography"/>
      </w:pPr>
      <w:bookmarkStart w:id="42" w:name="ref-sastre2019evaluation"/>
      <w:bookmarkEnd w:id="41"/>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rsidR="0032066A" w:rsidRDefault="00E745ED">
      <w:pPr>
        <w:pStyle w:val="Heading1"/>
      </w:pPr>
      <w:bookmarkStart w:id="43" w:name="figure-legend"/>
      <w:bookmarkEnd w:id="20"/>
      <w:bookmarkEnd w:id="42"/>
      <w:r>
        <w:t>Figure legend</w:t>
      </w:r>
      <w:bookmarkEnd w:id="43"/>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rsidSect="005C7B31">
      <w:headerReference w:type="even" r:id="rId13"/>
      <w:headerReference w:type="default" r:id="rId14"/>
      <w:footerReference w:type="even" r:id="rId15"/>
      <w:footerReference w:type="default" r:id="rId1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6E2" w:rsidRDefault="000976E2">
      <w:pPr>
        <w:spacing w:after="0" w:line="240" w:lineRule="auto"/>
      </w:pPr>
      <w:r>
        <w:separator/>
      </w:r>
    </w:p>
  </w:endnote>
  <w:endnote w:type="continuationSeparator" w:id="0">
    <w:p w:rsidR="000976E2" w:rsidRDefault="00097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6E2" w:rsidRDefault="000976E2">
      <w:r>
        <w:separator/>
      </w:r>
    </w:p>
  </w:footnote>
  <w:footnote w:type="continuationSeparator" w:id="0">
    <w:p w:rsidR="000976E2" w:rsidRDefault="00097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6E2"/>
    <w:rsid w:val="0032066A"/>
    <w:rsid w:val="00436C64"/>
    <w:rsid w:val="004C5304"/>
    <w:rsid w:val="004E29B3"/>
    <w:rsid w:val="004E784C"/>
    <w:rsid w:val="00506C15"/>
    <w:rsid w:val="00533C88"/>
    <w:rsid w:val="0053687A"/>
    <w:rsid w:val="00590D07"/>
    <w:rsid w:val="005C7B31"/>
    <w:rsid w:val="0065537D"/>
    <w:rsid w:val="00784D58"/>
    <w:rsid w:val="00873335"/>
    <w:rsid w:val="008B7695"/>
    <w:rsid w:val="008D6863"/>
    <w:rsid w:val="009652A6"/>
    <w:rsid w:val="00AF68E7"/>
    <w:rsid w:val="00B12475"/>
    <w:rsid w:val="00B33309"/>
    <w:rsid w:val="00B37F1E"/>
    <w:rsid w:val="00B86B75"/>
    <w:rsid w:val="00BC48D5"/>
    <w:rsid w:val="00C36279"/>
    <w:rsid w:val="00C757FC"/>
    <w:rsid w:val="00C76DEB"/>
    <w:rsid w:val="00CA37BA"/>
    <w:rsid w:val="00CB7B65"/>
    <w:rsid w:val="00D411E2"/>
    <w:rsid w:val="00E315A3"/>
    <w:rsid w:val="00E745ED"/>
    <w:rsid w:val="00EA16D6"/>
    <w:rsid w:val="00EF5AF8"/>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9B5D9-D406-F049-BF5C-DFA5C619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14</cp:revision>
  <dcterms:created xsi:type="dcterms:W3CDTF">2019-12-05T13:27:00Z</dcterms:created>
  <dcterms:modified xsi:type="dcterms:W3CDTF">2019-12-09T15:16:00Z</dcterms:modified>
</cp:coreProperties>
</file>