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zero-heat-flux</w:t>
      </w:r>
      <w:r>
        <w:t xml:space="preserve"> </w:t>
      </w:r>
      <w:r>
        <w:t xml:space="preserve">temperature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Megan Bittner BSc</w:t>
      </w:r>
      <w:r>
        <w:rPr>
          <w:vertAlign w:val="superscript"/>
        </w:rPr>
        <w:t xml:space="preserve">2</w:t>
      </w:r>
      <w:r>
        <w:t xml:space="preserve">,</w:t>
      </w:r>
      <w:r>
        <w:t xml:space="preserve"> </w:t>
      </w:r>
      <w:r>
        <w:t xml:space="preserve">Dan Phan BSc</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Navpreet Kamboj BScN</w:t>
      </w:r>
      <w:r>
        <w:rPr>
          <w:vertAlign w:val="superscript"/>
        </w:rPr>
        <w:t xml:space="preserve">2</w:t>
      </w:r>
      <w:r>
        <w:t xml:space="preserve">,</w:t>
      </w:r>
      <w:r>
        <w:t xml:space="preserve"> </w:t>
      </w:r>
      <w:r>
        <w:t xml:space="preserve">Elizabeth Tipton PhD</w:t>
      </w:r>
      <w:r>
        <w:rPr>
          <w:vertAlign w:val="superscript"/>
        </w:rPr>
        <w:t xml:space="preserve">4</w:t>
      </w:r>
      <w:r>
        <w:t xml:space="preserve">,</w:t>
      </w:r>
      <w:r>
        <w:t xml:space="preserve"> </w:t>
      </w:r>
      <w:r>
        <w:t xml:space="preserve">and</w:t>
      </w:r>
      <w:r>
        <w:t xml:space="preserve"> </w:t>
      </w:r>
      <w:r>
        <w:t xml:space="preserve">Matteo Parotto MD, PhD</w:t>
      </w:r>
      <w:r>
        <w:rPr>
          <w:vertAlign w:val="superscript"/>
        </w:rPr>
        <w:t xml:space="preserve">5</w:t>
      </w:r>
      <w:r>
        <w:rPr>
          <w:vertAlign w:val="superscript"/>
        </w:rPr>
        <w:t xml:space="preserve">,</w:t>
      </w:r>
      <w:r>
        <w:rPr>
          <w:vertAlign w:val="superscript"/>
        </w:rPr>
        <w:t xml:space="preserve">6</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r>
        <w:br/>
      </w:r>
      <w:r>
        <w:rPr>
          <w:vertAlign w:val="superscript"/>
        </w:rPr>
        <w:t xml:space="preserve">4</w:t>
      </w:r>
      <w:r>
        <w:t xml:space="preserve"> </w:t>
      </w:r>
      <w:r>
        <w:t xml:space="preserve">Department of Statistics, Northwestern University, Evanston, IL, United States</w:t>
      </w:r>
      <w:r>
        <w:br/>
      </w:r>
      <w:r>
        <w:rPr>
          <w:vertAlign w:val="superscript"/>
        </w:rPr>
        <w:t xml:space="preserve">5</w:t>
      </w:r>
      <w:r>
        <w:t xml:space="preserve"> </w:t>
      </w:r>
      <w:r>
        <w:t xml:space="preserve">Department of Anesthesia and Pain Management, Toronto General Hospital, UHN, Toronto, Canada</w:t>
      </w:r>
      <w:r>
        <w:br/>
      </w:r>
      <w:r>
        <w:rPr>
          <w:vertAlign w:val="superscript"/>
        </w:rPr>
        <w:t xml:space="preserve">6</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PhD &lt;</w:t>
        </w:r>
        <w:hyperlink r:id="rId20">
          <w:r>
            <w:rPr>
              <w:rStyle w:val="Hyperlink"/>
            </w:rPr>
            <w:t xml:space="preserve">aaron.conway@utoronto.ca</w:t>
          </w:r>
        </w:hyperlink>
        <w:r>
          <w:rPr>
            <w:rStyle w:val="Hyperlink"/>
          </w:rPr>
          <w:t xml:space="preserve">&gt;  | +1 416 946 7112  | 585 University Ave | Toronto, ON M5G 2N2</w:t>
        </w:r>
      </w:hyperlink>
    </w:p>
    <w:p>
      <w:r>
        <w:br w:type="page"/>
      </w:r>
    </w:p>
    <w:p>
      <w:pPr>
        <w:pStyle w:val="Heading2"/>
      </w:pPr>
      <w:bookmarkStart w:id="21" w:name="declarations"/>
      <w:r>
        <w:t xml:space="preserve">Declarations</w:t>
      </w:r>
      <w:bookmarkEnd w:id="21"/>
    </w:p>
    <w:p>
      <w:pPr>
        <w:pStyle w:val="FirstParagraph"/>
      </w:pPr>
      <w:r>
        <w:t xml:space="preserve">Clinical trial number: Not applicable</w:t>
      </w:r>
    </w:p>
    <w:p>
      <w:pPr>
        <w:pStyle w:val="BodyText"/>
      </w:pPr>
      <w:r>
        <w:t xml:space="preserve">Prior presentations: Not applicable</w:t>
      </w:r>
    </w:p>
    <w:p>
      <w:pPr>
        <w:pStyle w:val="BodyText"/>
      </w:pPr>
      <w:r>
        <w:t xml:space="preserve">Abstract word count: 300 words</w:t>
      </w:r>
    </w:p>
    <w:p>
      <w:pPr>
        <w:pStyle w:val="BodyText"/>
      </w:pPr>
      <w:r>
        <w:t xml:space="preserve">Total word count: 3075 words</w:t>
      </w:r>
    </w:p>
    <w:p>
      <w:pPr>
        <w:pStyle w:val="BodyText"/>
      </w:pPr>
      <w:r>
        <w:t xml:space="preserve">Introduction word count: 303 words</w:t>
      </w:r>
    </w:p>
    <w:p>
      <w:pPr>
        <w:pStyle w:val="BodyText"/>
      </w:pPr>
      <w:r>
        <w:t xml:space="preserve">Discussion word count: 781 words</w:t>
      </w:r>
    </w:p>
    <w:p>
      <w:pPr>
        <w:pStyle w:val="BodyText"/>
      </w:pPr>
      <w:r>
        <w:t xml:space="preserve">Number of figures: 2</w:t>
      </w:r>
    </w:p>
    <w:p>
      <w:pPr>
        <w:pStyle w:val="BodyText"/>
      </w:pPr>
      <w:r>
        <w:t xml:space="preserve">Number of tables: 1</w:t>
      </w:r>
    </w:p>
    <w:p>
      <w:pPr>
        <w:pStyle w:val="BodyText"/>
      </w:pPr>
      <w:r>
        <w:t xml:space="preserve">Abbreviated title: Accuracy of zero-heat-flux thermometers</w:t>
      </w:r>
    </w:p>
    <w:p>
      <w:pPr>
        <w:pStyle w:val="BodyText"/>
      </w:pPr>
      <w:r>
        <w:t xml:space="preserve">Funding statement: Support was provided solely from institutional and/or departmental sources. MP is supported by an Early Investigator Merit Award from the Department of Anesthesia, University of Toronto and Toronto General Hospital</w:t>
      </w:r>
    </w:p>
    <w:p>
      <w:pPr>
        <w:pStyle w:val="BodyText"/>
      </w:pPr>
      <w:r>
        <w:t xml:space="preserve">Conflicts of interest: The authors declare no competing interests.</w:t>
      </w:r>
    </w:p>
    <w:p>
      <w:r>
        <w:br w:type="page"/>
      </w:r>
    </w:p>
    <w:p>
      <w:pPr>
        <w:pStyle w:val="Heading3"/>
      </w:pPr>
      <w:bookmarkStart w:id="22" w:name="abstract"/>
      <w:r>
        <w:t xml:space="preserve">Abstract</w:t>
      </w:r>
      <w:bookmarkEnd w:id="22"/>
    </w:p>
    <w:p>
      <w:pPr>
        <w:pStyle w:val="FirstParagraph"/>
      </w:pPr>
      <w:r>
        <w:rPr>
          <w:b/>
        </w:rPr>
        <w:t xml:space="preserve">Background</w:t>
      </w:r>
    </w:p>
    <w:p>
      <w:pPr>
        <w:pStyle w:val="BodyText"/>
      </w:pPr>
      <w:r>
        <w:t xml:space="preserve">Zero-heat-flux thermometers provide clinicians with the ability to continuously and non-invasively monitor body temperature. These devices are increasingly being used to substitute for invasive core temperature measurement during surgery and in critical care. The aim of this review was to determine the accuracy and precision of zero-heat-flux temperature measurements.</w:t>
      </w:r>
    </w:p>
    <w:p>
      <w:pPr>
        <w:pStyle w:val="BodyText"/>
      </w:pPr>
      <w:r>
        <w:rPr>
          <w:b/>
        </w:rPr>
        <w:t xml:space="preserve">Methods</w:t>
      </w:r>
    </w:p>
    <w:p>
      <w:pPr>
        <w:pStyle w:val="BodyText"/>
      </w:pPr>
      <w:r>
        <w:t xml:space="preserve">Medline and EMBASE were searched for studies that reported on a measurement of core or peripheral temperature that coincided with a measurement from the zero-heat-flux device. Study selection and quality assessment (using QUADAS-2) was performed independently. The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Sixteen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pPr>
        <w:pStyle w:val="Heading3"/>
      </w:pPr>
      <w:bookmarkStart w:id="23" w:name="key-points"/>
      <w:r>
        <w:t xml:space="preserve">Key points</w:t>
      </w:r>
      <w:bookmarkEnd w:id="23"/>
    </w:p>
    <w:p>
      <w:pPr>
        <w:pStyle w:val="FirstParagraph"/>
      </w:pPr>
      <w:r>
        <w:rPr>
          <w:b/>
        </w:rPr>
        <w:t xml:space="preserve">Question:</w:t>
      </w:r>
      <w:r>
        <w:t xml:space="preserve"> </w:t>
      </w:r>
      <w:r>
        <w:t xml:space="preserve">How accurate are temperature measurements from zero-heat-flux temperature monitors?</w:t>
      </w:r>
    </w:p>
    <w:p>
      <w:pPr>
        <w:pStyle w:val="BodyText"/>
      </w:pPr>
      <w:r>
        <w:rPr>
          <w:b/>
        </w:rPr>
        <w:t xml:space="preserve">Findings:</w:t>
      </w:r>
      <w:r>
        <w:t xml:space="preserve"> </w:t>
      </w:r>
      <w:r>
        <w:t xml:space="preserve">Population limits of agreement, which take into consideration the between-study heterogeneity and sampling error, were wide, spanning from -1°C to 1.06°C.</w:t>
      </w:r>
    </w:p>
    <w:p>
      <w:pPr>
        <w:pStyle w:val="BodyText"/>
      </w:pPr>
      <w:r>
        <w:rPr>
          <w:b/>
        </w:rPr>
        <w:t xml:space="preserve">Meaning:</w:t>
      </w:r>
      <w:r>
        <w:t xml:space="preserve"> </w:t>
      </w:r>
      <w:r>
        <w:t xml:space="preserve">Zero-heat-flux temperature monitoring would not be appropriate if a difference in temperature of 1°C is important to detect for the given clinical situation.</w:t>
      </w:r>
    </w:p>
    <w:p>
      <w:r>
        <w:br w:type="page"/>
      </w:r>
    </w:p>
    <w:p>
      <w:pPr>
        <w:pStyle w:val="Heading2"/>
      </w:pPr>
      <w:bookmarkStart w:id="24" w:name="introduction"/>
      <w:r>
        <w:t xml:space="preserve">Introduction</w:t>
      </w:r>
      <w:bookmarkEnd w:id="24"/>
    </w:p>
    <w:p>
      <w:pPr>
        <w:pStyle w:val="FirstParagraph"/>
      </w:pPr>
      <w:r>
        <w:t xml:space="preserve">Continuous core temperature monitoring is commonly used within perioperative and intensive care settings. Thermoregulatory dysfunction is commonly associated with the induction of anesthesia and can lead to adverse outcomes including cardiac arrhythmia, altered hemostasis and increased risk of surgical site infection.</w:t>
      </w:r>
      <w:r>
        <w:rPr>
          <w:vertAlign w:val="superscript"/>
        </w:rPr>
        <w:t xml:space="preserve">1–4</w:t>
      </w:r>
      <w:r>
        <w:t xml:space="preserve"> </w:t>
      </w:r>
      <w:r>
        <w:t xml:space="preserve">The pulmonary artery catheter is the reference standard for continuous core temperature monitoring, however, the invasive nature of this method renders an increased risk of bloodstream infections and damage to surrounding tissue.</w:t>
      </w:r>
      <w:r>
        <w:rPr>
          <w:vertAlign w:val="superscript"/>
        </w:rPr>
        <w:t xml:space="preserve">5</w:t>
      </w:r>
      <w:r>
        <w:t xml:space="preserve"> </w:t>
      </w:r>
      <w:r>
        <w:t xml:space="preserve">Although clinically accurate relative to pulmonary artery temperature measurements, surrogate measures of core temperature at esophageal, rectal, and bladder locations remain mildly invasive interventions.</w:t>
      </w:r>
    </w:p>
    <w:p>
      <w:pPr>
        <w:pStyle w:val="BodyText"/>
      </w:pPr>
      <w:r>
        <w:t xml:space="preserve">Zero-heat-flux thermometry is an alternative non-invasive method that allows for continuous monitoring of core temperature. Originally developed in the 1970s, zero-heat-flux technology was recently implemented in the 3M SpotOn temperature monitoring system (3M, St Paul, MN), as a single-use, disposable sensor. In practice, the zero-heat-flux sensor, such as the 3M SpotOn,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 xml:space="preserve">6</w:t>
      </w:r>
    </w:p>
    <w:p>
      <w:pPr>
        <w:pStyle w:val="BodyText"/>
      </w:pPr>
      <w:r>
        <w:t xml:space="preserve">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average difference between temperature measurements from the zero-heat-flux and comparator device and precision as the variance (standard deviation) in the differences.</w:t>
      </w:r>
    </w:p>
    <w:p>
      <w:pPr>
        <w:pStyle w:val="Heading2"/>
      </w:pPr>
      <w:bookmarkStart w:id="25" w:name="methods"/>
      <w:r>
        <w:t xml:space="preserve">Methods</w:t>
      </w:r>
      <w:bookmarkEnd w:id="25"/>
    </w:p>
    <w:p>
      <w:pPr>
        <w:pStyle w:val="FirstParagraph"/>
      </w:pPr>
      <w:r>
        <w:t xml:space="preserve">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pPr>
        <w:pStyle w:val="Heading3"/>
      </w:pPr>
      <w:bookmarkStart w:id="26" w:name="inclusion-criteria"/>
      <w:r>
        <w:t xml:space="preserve">Inclusion criteria</w:t>
      </w:r>
      <w:bookmarkEnd w:id="26"/>
    </w:p>
    <w:p>
      <w:pPr>
        <w:pStyle w:val="FirstParagraph"/>
      </w:pPr>
      <w:r>
        <w:t xml:space="preserve">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7" w:name="data-sources-and-searches"/>
      <w:r>
        <w:t xml:space="preserve">Data sources and searches</w:t>
      </w:r>
      <w:bookmarkEnd w:id="27"/>
    </w:p>
    <w:p>
      <w:pPr>
        <w:pStyle w:val="FirstParagraph"/>
      </w:pPr>
      <w:r>
        <w:t xml:space="preserve">Published studies were found by searching Medline and EMBASE to July 2019.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rPr>
          <w:vertAlign w:val="superscript"/>
        </w:rPr>
        <w:t xml:space="preserve">7</w:t>
      </w:r>
      <w:r>
        <w:t xml:space="preserve"> </w:t>
      </w:r>
      <w:r>
        <w:t xml:space="preserve">This search strategy is an efficient approach for systematic reviews of diagnostic test accuracy studies.</w:t>
      </w:r>
      <w:r>
        <w:rPr>
          <w:vertAlign w:val="superscript"/>
        </w:rPr>
        <w:t xml:space="preserve">8</w:t>
      </w:r>
      <w:r>
        <w:t xml:space="preserve"> </w:t>
      </w:r>
      <w:r>
        <w:t xml:space="preserve">We also conducted forward citation searching, by using Google Scholar to search the citations of the first article published on the accuracy of zero-heat-flux thermometers. The search strategies used for each data base can be located at this</w:t>
      </w:r>
      <w:r>
        <w:t xml:space="preserve"> </w:t>
      </w:r>
      <w:hyperlink r:id="rId28">
        <w:r>
          <w:rPr>
            <w:rStyle w:val="Hyperlink"/>
          </w:rPr>
          <w:t xml:space="preserve">link</w:t>
        </w:r>
      </w:hyperlink>
      <w:r>
        <w:t xml:space="preserve">. Selection of studies was undertaken independently by two reviewers using</w:t>
      </w:r>
      <w:r>
        <w:t xml:space="preserve"> </w:t>
      </w:r>
      <w:hyperlink r:id="rId29">
        <w:r>
          <w:rPr>
            <w:rStyle w:val="Hyperlink"/>
          </w:rPr>
          <w:t xml:space="preserve">Covidence</w:t>
        </w:r>
      </w:hyperlink>
      <w:r>
        <w:t xml:space="preserve">.</w:t>
      </w:r>
    </w:p>
    <w:p>
      <w:pPr>
        <w:pStyle w:val="Heading3"/>
      </w:pPr>
      <w:bookmarkStart w:id="30" w:name="data-extraction-and-quality-assessment"/>
      <w:r>
        <w:t xml:space="preserve">Data extraction and quality assessment</w:t>
      </w:r>
      <w:bookmarkEnd w:id="30"/>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rPr>
          <w:vertAlign w:val="superscript"/>
        </w:rPr>
        <w:t xml:space="preserve">9</w:t>
      </w:r>
    </w:p>
    <w:p>
      <w:pPr>
        <w:pStyle w:val="BodyText"/>
      </w:pPr>
      <w:r>
        <w:t xml:space="preserve">Two reviewers independently assessed the risk of bias for the included studies using the revised Quality Assessment of Diagnostic Accuracy Studies (QUADAS-2).</w:t>
      </w:r>
      <w:r>
        <w:rPr>
          <w:vertAlign w:val="superscript"/>
        </w:rPr>
        <w:t xml:space="preserve">10</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rPr>
          <w:vertAlign w:val="superscript"/>
        </w:rPr>
        <w:t xml:space="preserve">11</w:t>
      </w:r>
      <w:r>
        <w:t xml:space="preserve"> </w:t>
      </w:r>
      <w:r>
        <w:t xml:space="preserve">Statistical approaches for detection of reporting bias were not conducted due to lack of validated methods.</w:t>
      </w:r>
      <w:r>
        <w:rPr>
          <w:vertAlign w:val="superscript"/>
        </w:rPr>
        <w:t xml:space="preserve">12</w:t>
      </w:r>
      <w:r>
        <w:t xml:space="preserve"> </w:t>
      </w:r>
      <w:r>
        <w:t xml:space="preserve">Simulations have revealed that tests for detecting funnel plot asymmetry will result in publication bias being incorrectly identified too often.</w:t>
      </w:r>
      <w:r>
        <w:rPr>
          <w:vertAlign w:val="superscript"/>
        </w:rPr>
        <w:t xml:space="preserve">13</w:t>
      </w:r>
    </w:p>
    <w:p>
      <w:pPr>
        <w:pStyle w:val="BodyText"/>
      </w:pPr>
      <w:r>
        <w:t xml:space="preserve">In order to rate the quality of evidence, we applied the Grading Quality of Evidence and Strength of Recommendation methodology.</w:t>
      </w:r>
      <w:r>
        <w:rPr>
          <w:vertAlign w:val="superscript"/>
        </w:rPr>
        <w:t xml:space="preserve">14</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31" w:name="data-synthesis-and-analysis"/>
      <w:r>
        <w:t xml:space="preserve">Data synthesis and analysis</w:t>
      </w:r>
      <w:bookmarkEnd w:id="31"/>
    </w:p>
    <w:p>
      <w:pPr>
        <w:pStyle w:val="FirstParagraph"/>
      </w:pPr>
      <w:r>
        <w:t xml:space="preserve">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 xml:space="preserve">15</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rPr>
          <w:vertAlign w:val="superscript"/>
        </w:rPr>
        <w:t xml:space="preserve">15</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 xml:space="preserve">16–18</w:t>
      </w:r>
      <w:r>
        <w:t xml:space="preserve"> </w:t>
      </w:r>
      <w:r>
        <w:t xml:space="preserve">We used the method-of-moments estimator from DerSimonian &amp; Laird</w:t>
      </w:r>
      <w:r>
        <w:t xml:space="preserve"> </w:t>
      </w:r>
      <w:r>
        <w:t xml:space="preserve">19</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 xml:space="preserve">20</w:t>
      </w:r>
      <w:r>
        <w:t xml:space="preserve"> </w:t>
      </w:r>
      <w:r>
        <w:t xml:space="preserve">All data and R code used in the meta-analyses can be located at this</w:t>
      </w:r>
      <w:r>
        <w:t xml:space="preserve"> </w:t>
      </w:r>
      <w:hyperlink r:id="rId32">
        <w:r>
          <w:rPr>
            <w:rStyle w:val="Hyperlink"/>
          </w:rPr>
          <w:t xml:space="preserve">link</w:t>
        </w:r>
      </w:hyperlink>
      <w:r>
        <w:t xml:space="preserve">.</w:t>
      </w:r>
    </w:p>
    <w:p>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 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pPr>
        <w:pStyle w:val="BodyText"/>
      </w:pPr>
      <w:r>
        <w:t xml:space="preserve">The conventionally cited clinically acceptable agreement between zero-heat-flux and comparator devices is 0.5°C.</w:t>
      </w:r>
      <w:r>
        <w:rPr>
          <w:vertAlign w:val="superscript"/>
        </w:rPr>
        <w:t xml:space="preserve">6</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pPr>
        <w:pStyle w:val="Heading2"/>
      </w:pPr>
      <w:bookmarkStart w:id="33" w:name="results"/>
      <w:r>
        <w:t xml:space="preserve">Results</w:t>
      </w:r>
      <w:bookmarkEnd w:id="33"/>
    </w:p>
    <w:p>
      <w:pPr>
        <w:pStyle w:val="Heading3"/>
      </w:pPr>
      <w:bookmarkStart w:id="34" w:name="study-selection-and-description"/>
      <w:r>
        <w:t xml:space="preserve">Study selection and description</w:t>
      </w:r>
      <w:bookmarkEnd w:id="34"/>
    </w:p>
    <w:p>
      <w:pPr>
        <w:pStyle w:val="FirstParagraph"/>
      </w:pPr>
      <w:r>
        <w:t xml:space="preserve">Sixteen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p>
    <w:p>
      <w:pPr>
        <w:pStyle w:val="BodyText"/>
      </w:pPr>
      <w:r>
        <w:t xml:space="preserve">The characteristics of included studies can be viewed at this</w:t>
      </w:r>
      <w:r>
        <w:t xml:space="preserve"> </w:t>
      </w:r>
      <w:hyperlink r:id="rId28">
        <w:r>
          <w:rPr>
            <w:rStyle w:val="Hyperlink"/>
          </w:rPr>
          <w:t xml:space="preserve">link</w:t>
        </w:r>
      </w:hyperlink>
      <w:r>
        <w:t xml:space="preserve">. The primary comparison of zero-heat-flux versus core temperature measurements (eg, arterial, bladder, esophageal or rectal) consisted of 20 comparisons from 14 individual studies. In total, data from 675 participants with 181,167 paired measurements were included in this comparison (two studies did not report the total number of measurements included in their analysis). The sensitivity analysis for the primary comparison with only studies that were judged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109,819 paired measurements from 109,819 participants. Sublingual thermometers were used as the comparator devices in 2 studies that reported 22,731 paired measurements from 107 participants.</w:t>
      </w:r>
    </w:p>
    <w:p>
      <w:pPr>
        <w:pStyle w:val="BodyText"/>
      </w:pPr>
      <w:r>
        <w:t xml:space="preserve">All studies included in this systematic review evaluated the zero-heat-flux temperature monitoring system manufactured by 3M. Previously known as the SpotOn Temperature Monitoring System, the 3M zero-heat-flux device is now referred to commercially as the Bair Hugger Temperature Monitoring System. 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pPr>
        <w:pStyle w:val="BodyText"/>
      </w:pPr>
      <w:r>
        <w:t xml:space="preserve">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pPr>
        <w:pStyle w:val="Heading3"/>
      </w:pPr>
      <w:bookmarkStart w:id="35" w:name="X1b08a3b1393d7b3bc16a42f40566a3ce03cfd14"/>
      <w:r>
        <w:t xml:space="preserve">Primary comparison: zero-heat-flux thermometer versus core thermometers</w:t>
      </w:r>
      <w:bookmarkEnd w:id="35"/>
    </w:p>
    <w:p>
      <w:pPr>
        <w:pStyle w:val="FirstParagraph"/>
      </w:pPr>
      <w:r>
        <w:t xml:space="preserve">A graphical overview of the findings for the primary analysis is presented in Figure 2. The pooled estimate for the mean bias between zero-heat-flux and core temperature measurements was 0.03°C. The population limits of agreement, which take into consideration the between-study heterogeneity and sampling error, were wide, spanning from -1°C to 1.06°C (181,167 measurements; 675 participants; 14 studies). The quality of evidence for the primary 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GRADE rating for this sensitivity was downgraded to low quality though, due to concerns about study limitations, inconsistency and imprecision.</w:t>
      </w:r>
    </w:p>
    <w:p>
      <w:pPr>
        <w:pStyle w:val="BodyText"/>
      </w:pPr>
      <w:r>
        <w:t xml:space="preserve">Table 1 presents results of the primary, sensitivity and all subgroup analyses for the primary comparison as well as secondary comparisons. 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0.03°C with population limits of agreement from -1.02°C to 1.07°C. The quality of evidence was rated as moderate quality due to concerns about study limitations.</w:t>
      </w:r>
    </w:p>
    <w:p>
      <w:pPr>
        <w:pStyle w:val="Heading3"/>
      </w:pPr>
      <w:bookmarkStart w:id="36" w:name="X7a0496090c74b9d83cbc7aa5630eb4c947c5624"/>
      <w:r>
        <w:t xml:space="preserve">Secondary comparisons: zero-heat-flux thermometer versus peripheral thermometers</w:t>
      </w:r>
      <w:bookmarkEnd w:id="36"/>
    </w:p>
    <w:p>
      <w:pPr>
        <w:pStyle w:val="FirstParagraph"/>
      </w:pPr>
      <w:r>
        <w:t xml:space="preserve">Zero-heat-flux thermometers were compared with sublingual thermometers and nasopharyngeal thermometers in the studies included in this review. The mean bias between zero-heat-flux and sublingual temperature measurements in meta-analysis of results from 2 studies was -0.21°C. Due to the limited number of studies and measurements, population limits of agreement were extremely wide, spanning from -17.95°C to 17.53°C. The quality of evidence for this comparison was rated as very low quality due to serious concerns about imprecision.</w:t>
      </w:r>
    </w:p>
    <w:p>
      <w:pPr>
        <w:pStyle w:val="BodyText"/>
      </w:pPr>
      <w:r>
        <w:t xml:space="preserve">The mean bias between zero-heat-flux and nasopharyngeal temperature measurements in meta-analysis of results from 4 studies was 0°C. Population limits of agreement were -0.99°C to 0.98°C. We downgraded the quality of evidence to low, again due to concerns about imprecision and study limitations.</w:t>
      </w:r>
    </w:p>
    <w:p>
      <w:pPr>
        <w:pStyle w:val="Heading2"/>
      </w:pPr>
      <w:bookmarkStart w:id="37" w:name="discussion"/>
      <w:r>
        <w:t xml:space="preserve">Discussion</w:t>
      </w:r>
      <w:bookmarkEnd w:id="37"/>
    </w:p>
    <w:p>
      <w:pPr>
        <w:pStyle w:val="FirstParagraph"/>
      </w:pPr>
      <w:r>
        <w:t xml:space="preserve">This systematic review showed that a temperature measurement from a zero-heat-flux thermometer could be as much as 1°C higher or lower than core temperature. These results may have important implications for practice that clinicians should consider. It was reassuring that results of our sensitivity analysis restricted to studies judged to be at low risk of bias using the QUADAS-2 tool were similar. As such, it is vital for healthcare professionals considering using this device to first determine if differences in temperature smaller than this magnitude would be important for the given clinical situation. If so, then it may not be appropriate to substitute the zero-heat-flux device in place of a core thermometer.</w:t>
      </w:r>
    </w:p>
    <w:p>
      <w:pPr>
        <w:pStyle w:val="BodyText"/>
      </w:pPr>
      <w:r>
        <w:t xml:space="preserve">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 xml:space="preserve">21</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pPr>
        <w:pStyle w:val="BodyText"/>
      </w:pPr>
      <w:r>
        <w:t xml:space="preserve">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monitoring device. 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 Far fewer studies have evaluated the Temple Touch Pro compared to the zero-heat-flux device.</w:t>
      </w:r>
      <w:r>
        <w:rPr>
          <w:vertAlign w:val="superscript"/>
        </w:rPr>
        <w:t xml:space="preserve">22,23</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 xml:space="preserve">15</w:t>
      </w:r>
    </w:p>
    <w:p>
      <w:pPr>
        <w:pStyle w:val="BodyText"/>
      </w:pPr>
      <w:r>
        <w:t xml:space="preserve">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pPr>
        <w:pStyle w:val="Heading3"/>
      </w:pPr>
      <w:bookmarkStart w:id="38" w:name="limitations"/>
      <w:r>
        <w:t xml:space="preserve">Limitations</w:t>
      </w:r>
      <w:bookmarkEnd w:id="38"/>
    </w:p>
    <w:p>
      <w:pPr>
        <w:pStyle w:val="FirstParagraph"/>
      </w:pPr>
      <w:r>
        <w:t xml:space="preserve">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 xml:space="preserve">12</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pPr>
        <w:pStyle w:val="Heading2"/>
      </w:pPr>
      <w:bookmarkStart w:id="39" w:name="conclusion"/>
      <w:r>
        <w:t xml:space="preserve">Conclusion</w:t>
      </w:r>
      <w:bookmarkEnd w:id="39"/>
    </w:p>
    <w:p>
      <w:pPr>
        <w:pStyle w:val="FirstParagraph"/>
      </w:pPr>
      <w:r>
        <w:t xml:space="preserve">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
        <w:br w:type="page"/>
      </w:r>
    </w:p>
    <w:p>
      <w:pPr>
        <w:pStyle w:val="Heading1"/>
      </w:pPr>
      <w:bookmarkStart w:id="40" w:name="references"/>
      <w:r>
        <w:t xml:space="preserve">References</w:t>
      </w:r>
      <w:bookmarkEnd w:id="40"/>
    </w:p>
    <w:bookmarkStart w:id="65" w:name="refs"/>
    <w:bookmarkStart w:id="41" w:name="ref-frank1997perioperative"/>
    <w:p>
      <w:pPr>
        <w:pStyle w:val="Bibliography"/>
      </w:pPr>
      <w:r>
        <w:t xml:space="preserve">1. Frank SM, Fleisher LA, Breslow MJ, Higgins MS, Olson KF, Kelly S, Beattie C: Perioperative maintenance of normothermia reduces the incidence of morbid cardiac events: A randomized clinical trial. JAMA 1997; 277:1127–34</w:t>
      </w:r>
    </w:p>
    <w:bookmarkEnd w:id="41"/>
    <w:bookmarkStart w:id="42" w:name="ref-kurz1996perioperative"/>
    <w:p>
      <w:pPr>
        <w:pStyle w:val="Bibliography"/>
      </w:pPr>
      <w:r>
        <w:t xml:space="preserve">2. Kurz A, Sessler DI, Lenhardt R: Perioperative normothermia to reduce the incidence of surgical-wound infection and shorten hospitalization. New England Journal of Medicine 1996; 334:1209–16</w:t>
      </w:r>
    </w:p>
    <w:bookmarkEnd w:id="42"/>
    <w:bookmarkStart w:id="43" w:name="ref-michelson1994reversible"/>
    <w:p>
      <w:pPr>
        <w:pStyle w:val="Bibliography"/>
      </w:pPr>
      <w:r>
        <w:t xml:space="preserve">3. Michelson AD, MacGregor H, Barnard MR, Kestin AS, Rohrer MJ, Valeri CR: Reversible inhibition of human platelet activation by hypothermia in vivo and in vitro. Thrombosis and Haemostasis 1994; 72:633–40</w:t>
      </w:r>
    </w:p>
    <w:bookmarkEnd w:id="43"/>
    <w:bookmarkStart w:id="44" w:name="ref-rohrer1992effect"/>
    <w:p>
      <w:pPr>
        <w:pStyle w:val="Bibliography"/>
      </w:pPr>
      <w:r>
        <w:t xml:space="preserve">4. Rohrer MJ, Natale AM: Effect of hypothermia on the coagulation cascade. Critical Care Medicine 1992; 20:1402–5</w:t>
      </w:r>
    </w:p>
    <w:bookmarkEnd w:id="44"/>
    <w:bookmarkStart w:id="45" w:name="ref-hadian2006evidence"/>
    <w:p>
      <w:pPr>
        <w:pStyle w:val="Bibliography"/>
      </w:pPr>
      <w:r>
        <w:t xml:space="preserve">5. Hadian M, Pinsky MR: Evidence-based review of the use of the pulmonary artery catheter: Impact data and complications. Critical Care 2006; 10:S8</w:t>
      </w:r>
    </w:p>
    <w:bookmarkEnd w:id="45"/>
    <w:bookmarkStart w:id="46" w:name="ref-eshraghi2014"/>
    <w:p>
      <w:pPr>
        <w:pStyle w:val="Bibliography"/>
      </w:pPr>
      <w:r>
        <w:t xml:space="preserve">6. Eshraghi Y, Nasr V, Parra-Sanchez I, Van Duren A, Botham M, Santoscoy T, Sessler DI: An evaluation of a zero-heat-flux cutaneous thermometer in cardiac surgical patients. Anesthesia &amp; Analgesia 2014; 119:543–9</w:t>
      </w:r>
    </w:p>
    <w:bookmarkEnd w:id="46"/>
    <w:bookmarkStart w:id="47" w:name="ref-mann2012should"/>
    <w:p>
      <w:pPr>
        <w:pStyle w:val="Bibliography"/>
      </w:pPr>
      <w:r>
        <w:t xml:space="preserve">7. Mann R, Gilbody SM: Should methodological filters for diagnostic test accuracy studies be used in systematic reviews of psychometric instruments? A case study involving screening for postnatal depression. Systematic Reviews 2012; 1:9</w:t>
      </w:r>
    </w:p>
    <w:bookmarkEnd w:id="47"/>
    <w:bookmarkStart w:id="48" w:name="ref-preston2015improving"/>
    <w:p>
      <w:pPr>
        <w:pStyle w:val="Bibliography"/>
      </w:pPr>
      <w:r>
        <w:t xml:space="preserve">8. Preston L, Carroll C, Gardois P, Paisley S, Kaltenthaler E: Improving search efficiency for systematic reviews of diagnostic test accuracy: An exploratory study to assess the viability of limiting to medline, embase and reference checking. Systematic Reviews 2015; 4:82</w:t>
      </w:r>
    </w:p>
    <w:bookmarkEnd w:id="48"/>
    <w:bookmarkStart w:id="49" w:name="ref-myles2007using"/>
    <w:p>
      <w:pPr>
        <w:pStyle w:val="Bibliography"/>
      </w:pPr>
      <w:r>
        <w:t xml:space="preserve">9. Myles PS, Cui J: I. Using the bland–altman method to measure agreement with repeated measures. BJA: British Journal of Anaesthesia 2007; 99:309–11</w:t>
      </w:r>
    </w:p>
    <w:bookmarkEnd w:id="49"/>
    <w:bookmarkStart w:id="50" w:name="ref-whiting2011quadas"/>
    <w:p>
      <w:pPr>
        <w:pStyle w:val="Bibliography"/>
      </w:pPr>
      <w:r>
        <w:t xml:space="preserve">10. Whiting PF, Rutjes AW, Westwood ME, Mallett S, Deeks JJ, Reitsma JB, Leeflang MM, Sterne JA, Bossuyt PM: QUADAS-2: A revised tool for the quality assessment of diagnostic accuracy studies. Annals of Internal Medicine 2011; 155:529–36</w:t>
      </w:r>
    </w:p>
    <w:bookmarkEnd w:id="50"/>
    <w:bookmarkStart w:id="51" w:name="ref-glasziou2001systematic"/>
    <w:p>
      <w:pPr>
        <w:pStyle w:val="Bibliography"/>
      </w:pPr>
      <w:r>
        <w:t xml:space="preserve">11. Glasziou P, Irwig L, Bain C, Colditz G: Systematic reviews in health care: A practical guide. Cambridge University Press, 2001</w:t>
      </w:r>
    </w:p>
    <w:bookmarkEnd w:id="51"/>
    <w:bookmarkStart w:id="52" w:name="ref-begg2005systematic"/>
    <w:p>
      <w:pPr>
        <w:pStyle w:val="Bibliography"/>
      </w:pPr>
      <w:r>
        <w:t xml:space="preserve">12. Begg CB: Systematic reviews of diagnostic accuracy studies require study by study examination: First for heterogeneity, and then for sources of heterogeneity. Journal of Clinical Epidemiology 2005; 58:865</w:t>
      </w:r>
    </w:p>
    <w:bookmarkEnd w:id="52"/>
    <w:bookmarkStart w:id="53" w:name="ref-deeks2005performance"/>
    <w:p>
      <w:pPr>
        <w:pStyle w:val="Bibliography"/>
      </w:pPr>
      <w:r>
        <w:t xml:space="preserve">13. Deeks JJ, Macaskill P, Irwig L: The performance of tests of publication bias and other sample size effects in systematic reviews of diagnostic test accuracy was assessed. Journal of Clinical Epidemiology 2005; 58:882–93</w:t>
      </w:r>
    </w:p>
    <w:bookmarkEnd w:id="53"/>
    <w:bookmarkStart w:id="54" w:name="ref-schunemann2008grading"/>
    <w:p>
      <w:pPr>
        <w:pStyle w:val="Bibliography"/>
      </w:pPr>
      <w:r>
        <w:t xml:space="preserve">14. Schünemann HJ, Oxman AD, Brozek J, Glasziou P, Jaeschke R, Vist GE, Williams JW, Kunz R, Craig J, Montori VM, others: Grading quality of evidence and strength of recommendations for diagnostic tests and strategies. BMJ 2008; 336:1106–10</w:t>
      </w:r>
    </w:p>
    <w:bookmarkEnd w:id="54"/>
    <w:bookmarkStart w:id="55" w:name="ref-tipton2017framework"/>
    <w:p>
      <w:pPr>
        <w:pStyle w:val="Bibliography"/>
      </w:pPr>
      <w:r>
        <w:t xml:space="preserve">15. Tipton E, Shuster J: A framework for the meta-analysis of bland–altman studies based on a limits of agreement approach. Statistics in Medicine 2017; 36:3621–35</w:t>
      </w:r>
    </w:p>
    <w:bookmarkEnd w:id="55"/>
    <w:bookmarkStart w:id="56" w:name="ref-hedges2010robust"/>
    <w:p>
      <w:pPr>
        <w:pStyle w:val="Bibliography"/>
      </w:pPr>
      <w:r>
        <w:t xml:space="preserve">16. Hedges LV, Tipton E, Johnson MC: Robust variance estimation in meta-regression with dependent effect size estimates. Research Synthesis Methods 2010; 1:39–65</w:t>
      </w:r>
    </w:p>
    <w:bookmarkEnd w:id="56"/>
    <w:bookmarkStart w:id="57" w:name="ref-tanner2016handling"/>
    <w:p>
      <w:pPr>
        <w:pStyle w:val="Bibliography"/>
      </w:pPr>
      <w:r>
        <w:t xml:space="preserve">17. Tanner-Smith EE, Tipton E, Polanin JR: Handling complex meta-analytic data structures using robust variance estimates: A tutorial in r. Journal of Developmental and Life-Course Criminology 2016; 2:85–112</w:t>
      </w:r>
    </w:p>
    <w:bookmarkEnd w:id="57"/>
    <w:bookmarkStart w:id="58" w:name="ref-tipton2015small"/>
    <w:p>
      <w:pPr>
        <w:pStyle w:val="Bibliography"/>
      </w:pPr>
      <w:r>
        <w:t xml:space="preserve">18. Tipton E: Small sample adjustments for robust variance estimation with meta-regression. Psychological Methods 2015; 20:375</w:t>
      </w:r>
    </w:p>
    <w:bookmarkEnd w:id="58"/>
    <w:bookmarkStart w:id="59" w:name="ref-dersimonian1986meta"/>
    <w:p>
      <w:pPr>
        <w:pStyle w:val="Bibliography"/>
      </w:pPr>
      <w:r>
        <w:t xml:space="preserve">19. DerSimonian R, Laird N: Meta-analysis in clinical trials. Controlled Clinical Trials 1986; 7:177–88</w:t>
      </w:r>
    </w:p>
    <w:bookmarkEnd w:id="59"/>
    <w:bookmarkStart w:id="61" w:name="ref-R2018"/>
    <w:p>
      <w:pPr>
        <w:pStyle w:val="Bibliography"/>
      </w:pPr>
      <w:r>
        <w:t xml:space="preserve">20. R Core Team: R: A language and environment for statistical computing. Vienna, Austria, R Foundation for Statistical Computing, 2018 at &lt;</w:t>
      </w:r>
      <w:hyperlink r:id="rId60">
        <w:r>
          <w:rPr>
            <w:rStyle w:val="Hyperlink"/>
          </w:rPr>
          <w:t xml:space="preserve">https://www.R-project.org/</w:t>
        </w:r>
      </w:hyperlink>
      <w:r>
        <w:t xml:space="preserve">&gt;</w:t>
      </w:r>
    </w:p>
    <w:bookmarkEnd w:id="61"/>
    <w:bookmarkStart w:id="62" w:name="ref-niven2015accuracy"/>
    <w:p>
      <w:pPr>
        <w:pStyle w:val="Bibliography"/>
      </w:pPr>
      <w:r>
        <w:t xml:space="preserve">21. Niven DJ, Gaudet JE, Laupland KB, Mrklas KJ, Roberts DJ, Stelfox HT: Accuracy of peripheral thermometers for estimating temperature: A systematic review and meta-analysis. Annals of Internal Medicine 2015; 163:768–77</w:t>
      </w:r>
    </w:p>
    <w:bookmarkEnd w:id="62"/>
    <w:bookmarkStart w:id="63" w:name="ref-evron2017evaluation"/>
    <w:p>
      <w:pPr>
        <w:pStyle w:val="Bibliography"/>
      </w:pPr>
      <w:r>
        <w:t xml:space="preserve">22. Evron S, Weissman A, Toivis V, Shahaf DB, You J, Sessler DI, Ezri T: Evaluation of the temple touch pro, a novel noninvasive core-temperature monitoring system. Anesthesia &amp; Analgesia 2017; 125:103–9</w:t>
      </w:r>
    </w:p>
    <w:bookmarkEnd w:id="63"/>
    <w:bookmarkStart w:id="64" w:name="ref-sastre2019evaluation"/>
    <w:p>
      <w:pPr>
        <w:pStyle w:val="Bibliography"/>
      </w:pPr>
      <w:r>
        <w:t xml:space="preserve">23. Sastre JA, Pascual MJ, Lopez T: Evaluation of the novel non-invasive zero-heat-flux tcore™ thermometer in cardiac surgical patients. Journal of Clinical Monitoring and Computing 2019; 33:165–72</w:t>
      </w:r>
    </w:p>
    <w:bookmarkEnd w:id="64"/>
    <w:bookmarkEnd w:id="65"/>
    <w:p>
      <w:r>
        <w:br w:type="page"/>
      </w:r>
    </w:p>
    <w:p>
      <w:pPr>
        <w:pStyle w:val="Heading1"/>
      </w:pPr>
      <w:bookmarkStart w:id="66" w:name="figure-legend"/>
      <w:r>
        <w:t xml:space="preserve">Figure legend</w:t>
      </w:r>
      <w:bookmarkEnd w:id="66"/>
    </w:p>
    <w:p>
      <w:pPr>
        <w:pStyle w:val="FirstParagraph"/>
      </w:pPr>
      <w:r>
        <w:t xml:space="preserve">Figure 1: PRISMA Flow Diagram</w:t>
      </w:r>
    </w:p>
    <w:p>
      <w:pPr>
        <w:pStyle w:val="BodyText"/>
      </w:pPr>
      <w:r>
        <w:t xml:space="preserve">Figure 2: Graphical overview of findings for the primary analysis</w:t>
      </w: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FA3BE0"/>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FA3BE0"/>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FA3BE0"/>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76DEB"/>
    <w:pPr>
      <w:keepNext/>
      <w:keepLines/>
      <w:spacing w:before="480" w:after="240"/>
      <w:jc w:val="center"/>
    </w:pPr>
    <w:rPr>
      <w:rFonts w:eastAsiaTheme="majorEastAsia"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EA16D6"/>
    <w:pPr>
      <w:keepNext/>
      <w:keepLines/>
      <w:jc w:val="center"/>
    </w:pPr>
    <w:rPr>
      <w:rFonts w:asciiTheme="majorHAnsi" w:hAnsi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hyperlink" Id="rId28" Target="https://aconway.dev/zhf" TargetMode="External" /><Relationship Type="http://schemas.openxmlformats.org/officeDocument/2006/relationships/hyperlink" Id="rId32" Target="https://github.com/awconway/zhf-review" TargetMode="External" /><Relationship Type="http://schemas.openxmlformats.org/officeDocument/2006/relationships/hyperlink" Id="rId60" Target="https://www.R-project.org/" TargetMode="External" /><Relationship Type="http://schemas.openxmlformats.org/officeDocument/2006/relationships/hyperlink" Id="rId29" Target="https://www.covidence.org" TargetMode="External" /><Relationship Type="http://schemas.openxmlformats.org/officeDocument/2006/relationships/hyperlink" Id="rId20" Target="mailto:aaron.conway@utoronto.ca" TargetMode="External" /></Relationships>
</file>

<file path=word/_rels/footnotes.xml.rels><?xml version="1.0" encoding="UTF-8"?>
<Relationships xmlns="http://schemas.openxmlformats.org/package/2006/relationships"><Relationship Type="http://schemas.openxmlformats.org/officeDocument/2006/relationships/hyperlink" Id="rId28" Target="https://aconway.dev/zhf" TargetMode="External" /><Relationship Type="http://schemas.openxmlformats.org/officeDocument/2006/relationships/hyperlink" Id="rId32" Target="https://github.com/awconway/zhf-review" TargetMode="External" /><Relationship Type="http://schemas.openxmlformats.org/officeDocument/2006/relationships/hyperlink" Id="rId60" Target="https://www.R-project.org/" TargetMode="External" /><Relationship Type="http://schemas.openxmlformats.org/officeDocument/2006/relationships/hyperlink" Id="rId29" Target="https://www.covidence.org" TargetMode="External" /><Relationship Type="http://schemas.openxmlformats.org/officeDocument/2006/relationships/hyperlink" Id="rId20" Target="mailto:aaron.conway@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dc:title>
  <dc:creator>Aaron Conway PhD1,2,3,✉, Megan Bittner BSc2, Dan Phan BSc2, Kristina Chang MScN1, Navpreet Kamboj BScN2, Elizabeth Tipton PhD4, and Matteo Parotto MD, PhD5,6</dc:creator>
  <cp:keywords/>
  <dcterms:created xsi:type="dcterms:W3CDTF">2020-01-06T14:20:41Z</dcterms:created>
  <dcterms:modified xsi:type="dcterms:W3CDTF">2020-01-06T14:20:41Z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Extras/bibliography.bib</vt:lpwstr>
  </property>
  <property fmtid="{D5CDD505-2E9C-101B-9397-08002B2CF9AE}" pid="4" name="csl">
    <vt:lpwstr>Extras/anesthesiology.csl</vt:lpwstr>
  </property>
  <property fmtid="{D5CDD505-2E9C-101B-9397-08002B2CF9AE}" pid="5" name="output">
    <vt:lpwstr/>
  </property>
  <property fmtid="{D5CDD505-2E9C-101B-9397-08002B2CF9AE}" pid="6" name="params">
    <vt:lpwstr/>
  </property>
  <property fmtid="{D5CDD505-2E9C-101B-9397-08002B2CF9AE}" pid="7" name="subtitle">
    <vt:lpwstr>A systematic review and meta-analysis</vt:lpwstr>
  </property>
</Properties>
</file>