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Statistics, Northwestern University, Evanston, IL, United States</w:t>
      </w:r>
      <w:r>
        <w:br w:type="textWrapping"/>
      </w:r>
      <w:r>
        <w:rPr>
          <w:vertAlign w:val="superscript"/>
        </w:rPr>
        <w:t xml:space="preserve">5</w:t>
      </w:r>
      <w:r>
        <w:t xml:space="preserve"> </w:t>
      </w:r>
      <w:r>
        <w:t xml:space="preserve">Department of Anesthesia and Pain Management, Toronto General Hospital, UHN, Toronto, Canada</w:t>
      </w:r>
      <w:r>
        <w:br w:type="textWrapping"/>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BodyText"/>
      </w:pPr>
      <w:r>
        <w:t xml:space="preserve">Author contributions:</w:t>
      </w:r>
      <w:r>
        <w:t xml:space="preserve"> </w:t>
      </w:r>
      <w:r>
        <w:t xml:space="preserve">AC: Study design, analysis, wrote manuscript; MB: Study design, data extraction, risk of bias assessment, data analysis, contributed to writing manuscript; DP: Study design, data extraction, risk of bias assessment, revised the manuscript for important intellectual content; NK: Study design, revised the manuscript for important intellectual content; KC: Study design, revised the manuscript for important intellectual content; ET: Study design, data analysis, revised the manuscript for important intellectual content; MP: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3"/>
      </w:pPr>
      <w:bookmarkStart w:id="22" w:name="abstract"/>
      <w:r>
        <w:t xml:space="preserve">Abstract</w:t>
      </w:r>
      <w:bookmarkEnd w:id="22"/>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22 comparisons from 16 individual studies. Data from 756 participants with 182,258 paired measurements were included. The pooled estimate for the mean bias was 0.02°C. Population limits of agreement, which take into consideration the between-study heterogeneity and sampling error, were wide, spanning from -1°C to 1.04°C.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3"/>
      </w:pPr>
      <w:bookmarkStart w:id="23" w:name="key-points"/>
      <w:r>
        <w:t xml:space="preserve">Key points</w:t>
      </w:r>
      <w:bookmarkEnd w:id="23"/>
    </w:p>
    <w:p>
      <w:pPr>
        <w:pStyle w:val="FirstParagraph"/>
      </w:pPr>
      <w:r>
        <w:rPr>
          <w:b/>
        </w:rPr>
        <w:t xml:space="preserve">Question:</w:t>
      </w:r>
      <w:r>
        <w:t xml:space="preserve"> </w:t>
      </w:r>
      <w:r>
        <w:t xml:space="preserve">How accurate are temperature measurements from zero-heat-flux temperature monitors?</w:t>
      </w:r>
    </w:p>
    <w:p>
      <w:pPr>
        <w:pStyle w:val="BodyText"/>
      </w:pPr>
      <w:r>
        <w:rPr>
          <w:b/>
        </w:rPr>
        <w:t xml:space="preserve">Findings:</w:t>
      </w:r>
      <w:r>
        <w:t xml:space="preserve"> </w:t>
      </w:r>
      <w:r>
        <w:t xml:space="preserve">Population limits of agreement, which take into consideration the between-study heterogeneity and sampling error, were wide, spanning from -1°C to 1.04°C.</w:t>
      </w:r>
    </w:p>
    <w:p>
      <w:pPr>
        <w:pStyle w:val="BodyText"/>
      </w:pPr>
      <w:r>
        <w:rPr>
          <w:b/>
        </w:rPr>
        <w:t xml:space="preserve">Meaning:</w:t>
      </w:r>
      <w:r>
        <w:t xml:space="preserve"> </w:t>
      </w:r>
      <w:r>
        <w:t xml:space="preserve">Zero-heat-flux temperature monitoring would not be appropriate if a difference in temperature of 1°C is important to detect for the given clinical situation.</w:t>
      </w:r>
    </w:p>
    <w:p>
      <w:r>
        <w:br w:type="page"/>
      </w:r>
    </w:p>
    <w:p>
      <w:pPr>
        <w:pStyle w:val="Heading2"/>
      </w:pPr>
      <w:bookmarkStart w:id="24" w:name="introduction"/>
      <w:r>
        <w:t xml:space="preserve">Introduction</w:t>
      </w:r>
      <w:bookmarkEnd w:id="24"/>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
        <w:br w:type="page"/>
      </w:r>
    </w:p>
    <w:p>
      <w:pPr>
        <w:pStyle w:val="Heading2"/>
      </w:pPr>
      <w:bookmarkStart w:id="25" w:name="methods"/>
      <w:r>
        <w:t xml:space="preserve">Methods</w:t>
      </w:r>
      <w:bookmarkEnd w:id="25"/>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6" w:name="inclusion-criteria"/>
      <w:r>
        <w:t xml:space="preserve">Inclusion criteria</w:t>
      </w:r>
      <w:bookmarkEnd w:id="26"/>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7" w:name="data-sources-and-searches"/>
      <w:r>
        <w:t xml:space="preserve">Data sources and searches</w:t>
      </w:r>
      <w:bookmarkEnd w:id="27"/>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w:t>
      </w:r>
      <w:r>
        <w:rPr>
          <w:vertAlign w:val="superscript"/>
        </w:rPr>
        <w:t xml:space="preserve">6</w:t>
      </w:r>
      <w:r>
        <w:t xml:space="preserve"> </w:t>
      </w:r>
      <w:r>
        <w:t xml:space="preserve">The search strategies used for each database are available on a</w:t>
      </w:r>
      <w:r>
        <w:t xml:space="preserve"> </w:t>
      </w:r>
      <w:hyperlink r:id="rId28">
        <w:r>
          <w:rPr>
            <w:rStyle w:val="Hyperlink"/>
          </w:rPr>
          <w:t xml:space="preserve">webpage</w:t>
        </w:r>
      </w:hyperlink>
      <w:r>
        <w:t xml:space="preserve"> </w:t>
      </w:r>
      <w:r>
        <w:t xml:space="preserve">containing supplementary information for the systematic review. Selection of studies was undertaken independently by two reviewers.</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is available</w:t>
      </w:r>
      <w:r>
        <w:t xml:space="preserve"> </w:t>
      </w:r>
      <w:hyperlink r:id="rId31">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
        <w:br w:type="page"/>
      </w:r>
    </w:p>
    <w:p>
      <w:pPr>
        <w:pStyle w:val="Heading2"/>
      </w:pPr>
      <w:bookmarkStart w:id="32" w:name="results"/>
      <w:r>
        <w:t xml:space="preserve">Results</w:t>
      </w:r>
      <w:bookmarkEnd w:id="32"/>
    </w:p>
    <w:p>
      <w:pPr>
        <w:pStyle w:val="Heading3"/>
      </w:pPr>
      <w:bookmarkStart w:id="33" w:name="study-selection-and-description"/>
      <w:r>
        <w:t xml:space="preserve">Study selection and description</w:t>
      </w:r>
      <w:bookmarkEnd w:id="33"/>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Detailed characteristics of included studies can be viewed on the</w:t>
      </w:r>
      <w:r>
        <w:t xml:space="preserve"> </w:t>
      </w:r>
      <w:hyperlink r:id="rId34">
        <w:r>
          <w:rPr>
            <w:rStyle w:val="Hyperlink"/>
          </w:rPr>
          <w:t xml:space="preserve">webpage</w:t>
        </w:r>
      </w:hyperlink>
      <w:r>
        <w:t xml:space="preserve"> </w:t>
      </w:r>
      <w:r>
        <w:t xml:space="preserve">containing supplementary information for the systematic review. The primary comparison of zero-heat-flux versus core temperature measurements (eg, arterial, bladder, esophageal or rectal) consisted of 22 comparisons from 16 individual studies. In total, data from 756 participants with 182,258 paired measurements were included in this comparison (two studies did not report the total number of measurements included in their analysis). The sensitivity analysis for the primary comparison with only studies that were judged as low risk of bias across all domains included 13 comparisons from 8 studies that enrolled 453 participants with 106,731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12 studies were included that compared zero-heat-flux to core temperature measurements in patients undergoing surgery, comprising 16 comparisons with 26,660 measurements from 613 participants. Nasopharyngeal thermometers were used as the comparator devices in 5 studies, with 109,140 paired measurements from 109,140 participants. Sublingual thermometers were used as the comparator devices in 2 studies that reported 25,039 paired measurements from 111 participants.</w:t>
      </w:r>
    </w:p>
    <w:p>
      <w:pPr>
        <w:pStyle w:val="BodyText"/>
      </w:pPr>
      <w:r>
        <w:t xml:space="preserve">Most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One study evaluated the Tcore</w:t>
      </w:r>
      <w:r>
        <w:rPr>
          <w:vertAlign w:val="superscript"/>
        </w:rPr>
        <w:t xml:space="preserve">TM</w:t>
      </w:r>
      <w:r>
        <w:t xml:space="preserve"> </w:t>
      </w:r>
      <w:r>
        <w:t xml:space="preserve">device.</w:t>
      </w:r>
      <w:r>
        <w:rPr>
          <w:vertAlign w:val="superscript"/>
        </w:rPr>
        <w:t xml:space="preserve">21</w:t>
      </w:r>
      <w:r>
        <w:t xml:space="preserve"> </w:t>
      </w:r>
      <w:r>
        <w:t xml:space="preserve">The oldest study included in this review, published in 2000, was an evaluation of the Coretemp device from Terumo.</w:t>
      </w:r>
      <w:r>
        <w:rPr>
          <w:vertAlign w:val="superscript"/>
        </w:rPr>
        <w:t xml:space="preserve">22</w:t>
      </w:r>
      <w:r>
        <w:t xml:space="preserve"> </w:t>
      </w:r>
      <w:r>
        <w:t xml:space="preserve">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5" w:name="primary-comparison-zero-heat-flux-thermometer-versus-core-thermometers"/>
      <w:r>
        <w:t xml:space="preserve">Primary comparison: zero-heat-flux thermometer versus core thermometers</w:t>
      </w:r>
      <w:bookmarkEnd w:id="35"/>
    </w:p>
    <w:p>
      <w:pPr>
        <w:pStyle w:val="FirstParagraph"/>
      </w:pPr>
      <w:r>
        <w:t xml:space="preserve">Table 1 presents results of the primary, sensitivity and all subgroup analyses for the primary comparison as well as secondary comparisons. The pooled estimate for the mean bias between zero-heat-flux and core temperature measurements was 0.02°C. The population limits of agreement, which take into consideration the between-study heterogeneity and sampling error, were wide, spanning from -1°C to 1.04°C (182,258 measurements; 756 participants; 16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(106,731 measurements; 453 participants; 8 studies). The mean bias was again 0°C with population limits of agreement spanning from -0.96°C to 0.97°C. A further sensitivity analysis excluding studies that received industry funding revealed population limits of agreement that were considerably wider than the primary analysis (-1.21°C to 1.28°C). The evidence rating for this sensitivity analysis was downgraded to low quality though, due to concerns about study limitations, inconsistency and imprecision.</w:t>
      </w:r>
    </w:p>
    <w:p>
      <w:pPr>
        <w:pStyle w:val="BodyText"/>
      </w:pPr>
      <w:r>
        <w:t xml:space="preserve">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0.01°C with population limits of agreement from -1.02°C to 1.05°C. The quality of evidence was rated as moderate quality due to concerns about study limitations.</w:t>
      </w:r>
    </w:p>
    <w:p>
      <w:pPr>
        <w:pStyle w:val="Heading3"/>
      </w:pPr>
      <w:bookmarkStart w:id="36" w:name="secondary-comparisons-zero-heat-flux-thermometer-versus-peripheral-thermometers"/>
      <w:r>
        <w:t xml:space="preserve">Secondary comparisons: zero-heat-flux thermometer versus peripheral thermometers</w:t>
      </w:r>
      <w:bookmarkEnd w:id="36"/>
    </w:p>
    <w:p>
      <w:pPr>
        <w:pStyle w:val="FirstParagraph"/>
      </w:pPr>
      <w:r>
        <w:t xml:space="preserve">Zero-heat-flux thermometers were compared with sublingual thermometers and nasopharyngeal thermometers in the studies included in this review. The mean bias between zero-heat-flux and nasopharyngeal temperature measurements in meta-analysis of results from 5 studies was -0.02°C. Population limits of agreement were -1.1°C to 1.06°C. We downgraded the quality of evidence to low, again due to concerns about imprecision and study limitations. The mean bias between zero-heat-flux and sublingual temperature measurements in meta-analysis of results from 2 studies was -0.18°C. Due to the limited number of studies and measurements, population limits of agreement were extremely wide, spanning outside physiologically plausible range for temperature. As such, they are not reported. The quality of evidence for this comparison was rated as very low quality due to serious concerns about imprecision.</w:t>
      </w:r>
    </w:p>
    <w:p>
      <w:r>
        <w:br w:type="page"/>
      </w:r>
    </w:p>
    <w:p>
      <w:pPr>
        <w:pStyle w:val="Heading2"/>
      </w:pPr>
      <w:bookmarkStart w:id="37" w:name="discussion"/>
      <w:r>
        <w:t xml:space="preserve">Discussion</w:t>
      </w:r>
      <w:bookmarkEnd w:id="37"/>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23</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rPr>
          <w:vertAlign w:val="superscript"/>
        </w:rPr>
        <w:t xml:space="preserve">24</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8" w:name="limitations"/>
      <w:r>
        <w:t xml:space="preserve">Limitations</w:t>
      </w:r>
      <w:bookmarkEnd w:id="38"/>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9" w:name="conclusion"/>
      <w:r>
        <w:t xml:space="preserve">Conclusion</w:t>
      </w:r>
      <w:bookmarkEnd w:id="39"/>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40" w:name="references"/>
      <w:r>
        <w:t xml:space="preserve">References</w:t>
      </w:r>
      <w:bookmarkEnd w:id="40"/>
    </w:p>
    <w:bookmarkStart w:id="68" w:name="refs"/>
    <w:bookmarkStart w:id="41"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1997;277:1127–34.</w:t>
      </w:r>
    </w:p>
    <w:bookmarkEnd w:id="41"/>
    <w:bookmarkStart w:id="42" w:name="ref-kurz1996perioperative"/>
    <w:p>
      <w:pPr>
        <w:pStyle w:val="BodyText"/>
      </w:pPr>
      <w:r>
        <w:t xml:space="preserve">2. Kurz A, Sessler DI, Lenhardt R. Perioperative normothermia to reduce the incidence of surgical-wound infection and shorten hospitalization. New England Journal of Medicine 1996;334:1209–16.</w:t>
      </w:r>
    </w:p>
    <w:bookmarkEnd w:id="42"/>
    <w:bookmarkStart w:id="43" w:name="ref-michelson1994reversible"/>
    <w:p>
      <w:pPr>
        <w:pStyle w:val="BodyText"/>
      </w:pPr>
      <w:r>
        <w:t xml:space="preserve">3. Michelson AD, MacGregor H, Barnard MR, Kestin AS, Rohrer MJ, Valeri CR. Reversible inhibition of human platelet activation by hypothermia in vivo and in vitro. Thrombosis and Haemostasis 1994;72:633–40.</w:t>
      </w:r>
    </w:p>
    <w:bookmarkEnd w:id="43"/>
    <w:bookmarkStart w:id="44" w:name="ref-rohrer1992effect"/>
    <w:p>
      <w:pPr>
        <w:pStyle w:val="BodyText"/>
      </w:pPr>
      <w:r>
        <w:t xml:space="preserve">4. Rohrer MJ, Natale AM. Effect of hypothermia on the coagulation cascade. Critical Care Medicine 1992;20:1402–5.</w:t>
      </w:r>
    </w:p>
    <w:bookmarkEnd w:id="44"/>
    <w:bookmarkStart w:id="45" w:name="ref-hadian2006evidence"/>
    <w:p>
      <w:pPr>
        <w:pStyle w:val="BodyText"/>
      </w:pPr>
      <w:r>
        <w:t xml:space="preserve">5. Hadian M, Pinsky MR. Evidence-based review of the use of the pulmonary artery catheter: Impact data and complications. Critical Care 2006;10:S8.</w:t>
      </w:r>
    </w:p>
    <w:bookmarkEnd w:id="45"/>
    <w:bookmarkStart w:id="46" w:name="ref-eshraghi2014"/>
    <w:p>
      <w:pPr>
        <w:pStyle w:val="BodyText"/>
      </w:pPr>
      <w:r>
        <w:t xml:space="preserve">6. Eshraghi Y, Nasr V, Parra-Sanchez I, Van Duren A, Botham M, Santoscoy T, Sessler DI. An evaluation of a zero-heat-flux cutaneous thermometer in cardiac surgical patients. Anesthesia &amp; Analgesia 2014;119:543–9.</w:t>
      </w:r>
    </w:p>
    <w:bookmarkEnd w:id="46"/>
    <w:bookmarkStart w:id="47"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2012;1:9.</w:t>
      </w:r>
    </w:p>
    <w:bookmarkEnd w:id="47"/>
    <w:bookmarkStart w:id="48"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2015;4:82.</w:t>
      </w:r>
    </w:p>
    <w:bookmarkEnd w:id="48"/>
    <w:bookmarkStart w:id="50" w:name="ref-myles2007using"/>
    <w:p>
      <w:pPr>
        <w:pStyle w:val="BodyText"/>
      </w:pPr>
      <w:r>
        <w:t xml:space="preserve">9. Myles PS, Cui J. I. Using the bland–altman method to measure agreement with repeated measures. BJA: British Journal of Anaesthesia 2007;99:309–11. Available at:</w:t>
      </w:r>
      <w:r>
        <w:t xml:space="preserve"> </w:t>
      </w:r>
      <w:hyperlink r:id="rId49">
        <w:r>
          <w:rPr>
            <w:rStyle w:val="Hyperlink"/>
          </w:rPr>
          <w:t xml:space="preserve">https://doi.org/10.1093/bja/aem214</w:t>
        </w:r>
      </w:hyperlink>
      <w:r>
        <w:t xml:space="preserve">.</w:t>
      </w:r>
    </w:p>
    <w:bookmarkEnd w:id="50"/>
    <w:bookmarkStart w:id="51"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2011;155:529–36.</w:t>
      </w:r>
    </w:p>
    <w:bookmarkEnd w:id="51"/>
    <w:bookmarkStart w:id="52" w:name="ref-glasziou2001systematic"/>
    <w:p>
      <w:pPr>
        <w:pStyle w:val="BodyText"/>
      </w:pPr>
      <w:r>
        <w:t xml:space="preserve">11. Glasziou P, Irwig L, Bain C, Colditz G. Systematic reviews in health care: A practical guide. Cambridge University Press, 2001.</w:t>
      </w:r>
    </w:p>
    <w:bookmarkEnd w:id="52"/>
    <w:bookmarkStart w:id="53" w:name="ref-begg2005systematic"/>
    <w:p>
      <w:pPr>
        <w:pStyle w:val="BodyText"/>
      </w:pPr>
      <w:r>
        <w:t xml:space="preserve">12. Begg CB. Systematic reviews of diagnostic accuracy studies require study by study examination: First for heterogeneity, and then for sources of heterogeneity. Journal of Clinical Epidemiology 2005;58:865.</w:t>
      </w:r>
    </w:p>
    <w:bookmarkEnd w:id="53"/>
    <w:bookmarkStart w:id="54"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2005;58:882–93.</w:t>
      </w:r>
    </w:p>
    <w:bookmarkEnd w:id="54"/>
    <w:bookmarkStart w:id="55"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2008;336:1106–10.</w:t>
      </w:r>
    </w:p>
    <w:bookmarkEnd w:id="55"/>
    <w:bookmarkStart w:id="56" w:name="ref-tipton2017framework"/>
    <w:p>
      <w:pPr>
        <w:pStyle w:val="BodyText"/>
      </w:pPr>
      <w:r>
        <w:t xml:space="preserve">15. Tipton E, Shuster J. A framework for the meta-analysis of bland–altman studies based on a limits of agreement approach. Statistics in Medicine 2017;36:3621–35.</w:t>
      </w:r>
    </w:p>
    <w:bookmarkEnd w:id="56"/>
    <w:bookmarkStart w:id="57" w:name="ref-hedges2010robust"/>
    <w:p>
      <w:pPr>
        <w:pStyle w:val="BodyText"/>
      </w:pPr>
      <w:r>
        <w:t xml:space="preserve">16. Hedges LV, Tipton E, Johnson MC. Robust variance estimation in meta-regression with dependent effect size estimates. Research Synthesis Methods 2010;1:39–65.</w:t>
      </w:r>
    </w:p>
    <w:bookmarkEnd w:id="57"/>
    <w:bookmarkStart w:id="58" w:name="ref-tanner2016handling"/>
    <w:p>
      <w:pPr>
        <w:pStyle w:val="BodyText"/>
      </w:pPr>
      <w:r>
        <w:t xml:space="preserve">17. Tanner-Smith EE, Tipton E, Polanin JR. Handling complex meta-analytic data structures using robust variance estimates: A tutorial in r. Journal of Developmental and Life-Course Criminology 2016;2:85–112.</w:t>
      </w:r>
    </w:p>
    <w:bookmarkEnd w:id="58"/>
    <w:bookmarkStart w:id="59" w:name="ref-tipton2015small"/>
    <w:p>
      <w:pPr>
        <w:pStyle w:val="BodyText"/>
      </w:pPr>
      <w:r>
        <w:t xml:space="preserve">18. Tipton E. Small sample adjustments for robust variance estimation with meta-regression. Psychological Methods 2015;20:375.</w:t>
      </w:r>
    </w:p>
    <w:bookmarkEnd w:id="59"/>
    <w:bookmarkStart w:id="60" w:name="ref-dersimonian1986meta"/>
    <w:p>
      <w:pPr>
        <w:pStyle w:val="BodyText"/>
      </w:pPr>
      <w:r>
        <w:t xml:space="preserve">19. DerSimonian R, Laird N. Meta-analysis in clinical trials. Controlled Clinical Trials 1986;7:177–88.</w:t>
      </w:r>
    </w:p>
    <w:bookmarkEnd w:id="60"/>
    <w:bookmarkStart w:id="62" w:name="ref-R2018"/>
    <w:p>
      <w:pPr>
        <w:pStyle w:val="BodyText"/>
      </w:pPr>
      <w:r>
        <w:t xml:space="preserve">20. R Core Team. R: A language and environment for statistical computing. Vienna, Austria: R Foundation for Statistical Computing, 2018. Available at:</w:t>
      </w:r>
      <w:r>
        <w:t xml:space="preserve"> </w:t>
      </w:r>
      <w:hyperlink r:id="rId61">
        <w:r>
          <w:rPr>
            <w:rStyle w:val="Hyperlink"/>
          </w:rPr>
          <w:t xml:space="preserve">https://www.R-project.org/</w:t>
        </w:r>
      </w:hyperlink>
      <w:r>
        <w:t xml:space="preserve">.</w:t>
      </w:r>
    </w:p>
    <w:bookmarkEnd w:id="62"/>
    <w:bookmarkStart w:id="63" w:name="ref-sastre2019evaluation"/>
    <w:p>
      <w:pPr>
        <w:pStyle w:val="BodyText"/>
      </w:pPr>
      <w:r>
        <w:t xml:space="preserve">21. Sastre JA, Pascual MJ, Lopez T. Evaluation of the novel non-invasive zero-heat-flux tcore™ thermometer in cardiac surgical patients. Journal of Clinical Monitoring and Computing 2019;33:165–72.</w:t>
      </w:r>
    </w:p>
    <w:bookmarkEnd w:id="63"/>
    <w:bookmarkStart w:id="65" w:name="ref-Harioka_2000"/>
    <w:p>
      <w:pPr>
        <w:pStyle w:val="BodyText"/>
      </w:pPr>
      <w:r>
        <w:t xml:space="preserve">22. Harioka T, Matsukawa T, Ozaki M, Nomura K, Sone T, Kakuyama M, Toda H. “Deep-forehead” temperature correlates well with blood temperature. Canadian Journal of Anesthesia/Journal canadien danesthésie 2000;47:980–3. Available at:</w:t>
      </w:r>
      <w:r>
        <w:t xml:space="preserve"> </w:t>
      </w:r>
      <w:hyperlink r:id="rId64">
        <w:r>
          <w:rPr>
            <w:rStyle w:val="Hyperlink"/>
          </w:rPr>
          <w:t xml:space="preserve">https://doi.org/10.1007/bf03024869</w:t>
        </w:r>
      </w:hyperlink>
      <w:r>
        <w:t xml:space="preserve">.</w:t>
      </w:r>
    </w:p>
    <w:bookmarkEnd w:id="65"/>
    <w:bookmarkStart w:id="66" w:name="ref-niven2015accuracy"/>
    <w:p>
      <w:pPr>
        <w:pStyle w:val="BodyText"/>
      </w:pPr>
      <w:r>
        <w:t xml:space="preserve">23. Niven DJ, Gaudet JE, Laupland KB, Mrklas KJ, Roberts DJ, Stelfox HT. Accuracy of peripheral thermometers for estimating temperature: A systematic review and meta-analysis. Annals of Internal Medicine 2015;163:768–77.</w:t>
      </w:r>
    </w:p>
    <w:bookmarkEnd w:id="66"/>
    <w:bookmarkStart w:id="67" w:name="ref-evron2017evaluation"/>
    <w:p>
      <w:pPr>
        <w:pStyle w:val="BodyText"/>
      </w:pPr>
      <w:r>
        <w:t xml:space="preserve">24. Evron S, Weissman A, Toivis V, Shahaf DB, You J, Sessler DI, Ezri T. Evaluation of the temple touch pro, a novel noninvasive core-temperature monitoring system. Anesthesia &amp; Analgesia 2017;125:103–9.</w:t>
      </w:r>
    </w:p>
    <w:bookmarkEnd w:id="67"/>
    <w:bookmarkEnd w:id="68"/>
    <w:p>
      <w:r>
        <w:br w:type="page"/>
      </w:r>
    </w:p>
    <w:p>
      <w:pPr>
        <w:pStyle w:val="Heading1"/>
      </w:pPr>
      <w:bookmarkStart w:id="69" w:name="figure-legend"/>
      <w:r>
        <w:t xml:space="preserve">Figure legend</w:t>
      </w:r>
      <w:bookmarkEnd w:id="69"/>
    </w:p>
    <w:p>
      <w:pPr>
        <w:pStyle w:val="FirstParagraph"/>
      </w:pPr>
      <w:r>
        <w:t xml:space="preserve">Figure 1: PRISMA Flow Diagram</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8" Target="https://aconway.dev/zhf" TargetMode="External" /><Relationship Type="http://schemas.openxmlformats.org/officeDocument/2006/relationships/hyperlink" Id="rId34" Target="https://aconway.dev/zhf/" TargetMode="External" /><Relationship Type="http://schemas.openxmlformats.org/officeDocument/2006/relationships/hyperlink" Id="rId64" Target="https://doi.org/10.1007/bf03024869" TargetMode="External" /><Relationship Type="http://schemas.openxmlformats.org/officeDocument/2006/relationships/hyperlink" Id="rId49" Target="https://doi.org/10.1093/bja/aem214" TargetMode="External" /><Relationship Type="http://schemas.openxmlformats.org/officeDocument/2006/relationships/hyperlink" Id="rId31" Target="https://github.com/awconway/zhf-review" TargetMode="External" /><Relationship Type="http://schemas.openxmlformats.org/officeDocument/2006/relationships/hyperlink" Id="rId61" Target="https://www.R-project.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8" Target="https://aconway.dev/zhf" TargetMode="External" /><Relationship Type="http://schemas.openxmlformats.org/officeDocument/2006/relationships/hyperlink" Id="rId34" Target="https://aconway.dev/zhf/" TargetMode="External" /><Relationship Type="http://schemas.openxmlformats.org/officeDocument/2006/relationships/hyperlink" Id="rId64" Target="https://doi.org/10.1007/bf03024869" TargetMode="External" /><Relationship Type="http://schemas.openxmlformats.org/officeDocument/2006/relationships/hyperlink" Id="rId49" Target="https://doi.org/10.1093/bja/aem214" TargetMode="External" /><Relationship Type="http://schemas.openxmlformats.org/officeDocument/2006/relationships/hyperlink" Id="rId31" Target="https://github.com/awconway/zhf-review" TargetMode="External" /><Relationship Type="http://schemas.openxmlformats.org/officeDocument/2006/relationships/hyperlink" Id="rId61" Target="https://www.R-project.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cp:keywords/>
  <dcterms:created xsi:type="dcterms:W3CDTF">2020-03-18T16:33:33Z</dcterms:created>
  <dcterms:modified xsi:type="dcterms:W3CDTF">2020-03-18T16:33:33Z</dcterms:modified>
</cp:coreProperties>
</file>