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monitoring:</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Heading2"/>
      </w:pPr>
      <w:bookmarkStart w:id="20" w:name="author-information"/>
      <w:r>
        <w:t xml:space="preserve">Author information</w:t>
      </w:r>
      <w:bookmarkEnd w:id="20"/>
    </w:p>
    <w:p>
      <w:pPr>
        <w:pStyle w:val="Compact"/>
      </w:pPr>
      <w:r>
        <w:t xml:space="preserve">Aaron Conway PhD</w:t>
      </w:r>
      <w:r>
        <w:rPr>
          <w:vertAlign w:val="superscript"/>
        </w:rPr>
        <w:t xml:space="preserve">1,2,3</w:t>
      </w:r>
    </w:p>
    <w:p>
      <w:pPr>
        <w:pStyle w:val="Compact"/>
      </w:pPr>
      <w:r>
        <w:t xml:space="preserve">Megan Bittner BSc</w:t>
      </w:r>
      <w:r>
        <w:rPr>
          <w:vertAlign w:val="superscript"/>
        </w:rPr>
        <w:t xml:space="preserve">2</w:t>
      </w:r>
    </w:p>
    <w:p>
      <w:pPr>
        <w:pStyle w:val="Compact"/>
      </w:pPr>
      <w:r>
        <w:t xml:space="preserve">Dan Phan BSc</w:t>
      </w:r>
      <w:r>
        <w:rPr>
          <w:vertAlign w:val="superscript"/>
        </w:rPr>
        <w:t xml:space="preserve">2</w:t>
      </w:r>
    </w:p>
    <w:p>
      <w:pPr>
        <w:pStyle w:val="Compact"/>
      </w:pPr>
      <w:r>
        <w:t xml:space="preserve">Navpreet Kamboj BScN</w:t>
      </w:r>
      <w:r>
        <w:rPr>
          <w:vertAlign w:val="superscript"/>
        </w:rPr>
        <w:t xml:space="preserve">2</w:t>
      </w:r>
    </w:p>
    <w:p>
      <w:pPr>
        <w:pStyle w:val="Compact"/>
      </w:pPr>
      <w:r>
        <w:t xml:space="preserve">Kristina Chang MScN</w:t>
      </w:r>
      <w:r>
        <w:rPr>
          <w:vertAlign w:val="superscript"/>
        </w:rPr>
        <w:t xml:space="preserve">4</w:t>
      </w:r>
    </w:p>
    <w:p>
      <w:pPr>
        <w:pStyle w:val="Compact"/>
      </w:pPr>
      <w:r>
        <w:t xml:space="preserve">Peter Collins MStatistics</w:t>
      </w:r>
      <w:r>
        <w:rPr>
          <w:vertAlign w:val="superscript"/>
        </w:rPr>
        <w:t xml:space="preserve">4</w:t>
      </w:r>
    </w:p>
    <w:p>
      <w:pPr>
        <w:pStyle w:val="Compact"/>
      </w:pPr>
      <w:r>
        <w:t xml:space="preserve">Elizabeth Tipton PhD</w:t>
      </w:r>
      <w:r>
        <w:rPr>
          <w:vertAlign w:val="superscript"/>
        </w:rPr>
        <w:t xml:space="preserve">5</w:t>
      </w:r>
    </w:p>
    <w:p>
      <w:pPr>
        <w:pStyle w:val="BodyText"/>
      </w:pPr>
      <w:r>
        <w:t xml:space="preserve">Matteo Parotto MD</w:t>
      </w:r>
      <w:r>
        <w:rPr>
          <w:vertAlign w:val="superscript"/>
        </w:rPr>
        <w:t xml:space="preserve">4</w:t>
      </w:r>
    </w:p>
    <w:p>
      <w:pPr>
        <w:pStyle w:val="Compact"/>
      </w:pPr>
      <w:r>
        <w:rPr>
          <w:vertAlign w:val="superscript"/>
        </w:rPr>
        <w:t xml:space="preserve">1</w:t>
      </w:r>
      <w:r>
        <w:t xml:space="preserve"> </w:t>
      </w:r>
      <w:r>
        <w:t xml:space="preserve">Peter Munk Cardiac Centre, University Health Network</w:t>
      </w:r>
    </w:p>
    <w:p>
      <w:pPr>
        <w:pStyle w:val="Compact"/>
      </w:pPr>
      <w:r>
        <w:rPr>
          <w:vertAlign w:val="superscript"/>
        </w:rPr>
        <w:t xml:space="preserve">2</w:t>
      </w:r>
      <w:r>
        <w:t xml:space="preserve">Lawrence S. Bloomberg Faculty of Nursing, University of Toronto</w:t>
      </w:r>
    </w:p>
    <w:p>
      <w:pPr>
        <w:pStyle w:val="Compact"/>
      </w:pPr>
      <w:r>
        <w:rPr>
          <w:vertAlign w:val="superscript"/>
        </w:rPr>
        <w:t xml:space="preserve">3</w:t>
      </w:r>
      <w:r>
        <w:t xml:space="preserve">School of Nursing, Queensland University of Technology (QUT)</w:t>
      </w:r>
    </w:p>
    <w:p>
      <w:pPr>
        <w:pStyle w:val="Compact"/>
      </w:pPr>
      <w:r>
        <w:rPr>
          <w:vertAlign w:val="superscript"/>
        </w:rPr>
        <w:t xml:space="preserve">4</w:t>
      </w:r>
      <w:r>
        <w:t xml:space="preserve">Toronto General Hospital, UHN</w:t>
      </w:r>
    </w:p>
    <w:p>
      <w:pPr>
        <w:pStyle w:val="BodyText"/>
      </w:pPr>
      <w:r>
        <w:rPr>
          <w:vertAlign w:val="superscript"/>
        </w:rPr>
        <w:t xml:space="preserve">5</w:t>
      </w:r>
      <w:r>
        <w:t xml:space="preserve">Department of Statistics, Northwestern University</w:t>
      </w:r>
    </w:p>
    <w:p>
      <w:pPr>
        <w:pStyle w:val="Heading2"/>
      </w:pPr>
      <w:bookmarkStart w:id="21" w:name="corresponding-author"/>
      <w:r>
        <w:t xml:space="preserve">Corresponding author</w:t>
      </w:r>
      <w:bookmarkEnd w:id="21"/>
    </w:p>
    <w:p>
      <w:pPr>
        <w:pStyle w:val="FirstParagraph"/>
      </w:pPr>
      <w:r>
        <w:t xml:space="preserve">Dr Aaron Conway BN (Hons) PhD</w:t>
      </w:r>
      <w:r>
        <w:t xml:space="preserve"> </w:t>
      </w:r>
      <w:r>
        <w:t xml:space="preserve">RBC Chair in Cardiovascular Nursing Research | Peter Munk Cardiac Centre | Toronto General Hospital | University Health Network</w:t>
      </w:r>
      <w:r>
        <w:t xml:space="preserve"> </w:t>
      </w:r>
      <w:r>
        <w:t xml:space="preserve">Clinician Investigator | Toronto General Hospital Research Institute | University Health Network</w:t>
      </w:r>
      <w:r>
        <w:t xml:space="preserve"> </w:t>
      </w:r>
      <w:r>
        <w:t xml:space="preserve">Assistant Professor | Lawrence S. Bloomberg Faculty of Nursing | University of Toronto</w:t>
      </w:r>
    </w:p>
    <w:p>
      <w:pPr>
        <w:pStyle w:val="BodyText"/>
      </w:pPr>
      <w:r>
        <w:t xml:space="preserve">585 University Ave, 4NU - 476</w:t>
      </w:r>
      <w:r>
        <w:t xml:space="preserve"> </w:t>
      </w:r>
      <w:r>
        <w:t xml:space="preserve">Toronto, ON M5G 2N2</w:t>
      </w:r>
    </w:p>
    <w:p>
      <w:pPr>
        <w:pStyle w:val="Compact"/>
        <w:numPr>
          <w:numId w:val="1001"/>
          <w:ilvl w:val="0"/>
        </w:numPr>
      </w:pPr>
      <w:hyperlink r:id="rId22">
        <w:r>
          <w:rPr>
            <w:rStyle w:val="Hyperlink"/>
          </w:rPr>
          <w:t xml:space="preserve">aaron.conway@utoronto.ca</w:t>
        </w:r>
      </w:hyperlink>
      <w:r>
        <w:t xml:space="preserve"> </w:t>
      </w:r>
      <w:r>
        <w:t xml:space="preserve">| t. (416) 946-7112</w:t>
      </w:r>
    </w:p>
    <w:p>
      <w:pPr>
        <w:pStyle w:val="Heading2"/>
      </w:pPr>
      <w:bookmarkStart w:id="23" w:name="declarations"/>
      <w:r>
        <w:t xml:space="preserve">Declarations</w:t>
      </w:r>
      <w:bookmarkEnd w:id="23"/>
    </w:p>
    <w:p>
      <w:pPr>
        <w:pStyle w:val="FirstParagraph"/>
      </w:pPr>
      <w:r>
        <w:t xml:space="preserve">Clinical trial number: Not applicable</w:t>
      </w:r>
    </w:p>
    <w:p>
      <w:pPr>
        <w:pStyle w:val="BodyText"/>
      </w:pPr>
      <w:r>
        <w:t xml:space="preserve">Prior presentations: Not applicable</w:t>
      </w:r>
    </w:p>
    <w:p>
      <w:pPr>
        <w:pStyle w:val="BodyText"/>
      </w:pPr>
      <w:r>
        <w:t xml:space="preserve">Abstract word count: 300 words</w:t>
      </w:r>
    </w:p>
    <w:p>
      <w:pPr>
        <w:pStyle w:val="BodyText"/>
      </w:pPr>
      <w:r>
        <w:t xml:space="preserve">Total word count: 3075 words</w:t>
      </w:r>
    </w:p>
    <w:p>
      <w:pPr>
        <w:pStyle w:val="BodyText"/>
      </w:pPr>
      <w:r>
        <w:t xml:space="preserve">Introduction word count: 303 words</w:t>
      </w:r>
    </w:p>
    <w:p>
      <w:pPr>
        <w:pStyle w:val="BodyText"/>
      </w:pPr>
      <w:r>
        <w:t xml:space="preserve">Discussion word count: 781 words</w:t>
      </w:r>
    </w:p>
    <w:p>
      <w:pPr>
        <w:pStyle w:val="BodyText"/>
      </w:pPr>
      <w:r>
        <w:t xml:space="preserve">Number of figures: 2</w:t>
      </w:r>
    </w:p>
    <w:p>
      <w:pPr>
        <w:pStyle w:val="BodyText"/>
      </w:pPr>
      <w:r>
        <w:t xml:space="preserve">Number of tables: 1</w:t>
      </w:r>
    </w:p>
    <w:p>
      <w:pPr>
        <w:pStyle w:val="BodyText"/>
      </w:pPr>
      <w:r>
        <w:t xml:space="preserve">Abbreviated title: Accuracy of zero-heat-flux thermometers</w:t>
      </w:r>
    </w:p>
    <w:p>
      <w:pPr>
        <w:pStyle w:val="BodyText"/>
      </w:pPr>
      <w:r>
        <w:t xml:space="preserve">Summary statement: Clinicians should consider the potential that a temperature measurement from a zero-heat-flux thermometer could be as much as 1°C higher or lower than core temperature.</w:t>
      </w:r>
    </w:p>
    <w:p>
      <w:pPr>
        <w:pStyle w:val="BodyText"/>
      </w:pPr>
      <w:r>
        <w:t xml:space="preserve">Funding statement: Support was provided solely from institutional and/or departmental sources.</w:t>
      </w:r>
    </w:p>
    <w:p>
      <w:pPr>
        <w:pStyle w:val="BodyText"/>
      </w:pPr>
      <w:r>
        <w:t xml:space="preserve">Conflicts of interest: The authors declare no competing interests.</w:t>
      </w:r>
    </w:p>
    <w:p>
      <w:pPr>
        <w:pStyle w:val="Heading3"/>
      </w:pPr>
      <w:bookmarkStart w:id="24" w:name="abstract"/>
      <w:r>
        <w:t xml:space="preserve">Abstract</w:t>
      </w:r>
      <w:bookmarkEnd w:id="24"/>
    </w:p>
    <w:p>
      <w:pPr>
        <w:pStyle w:val="FirstParagraph"/>
      </w:pPr>
      <w:r>
        <w:rPr>
          <w:b/>
        </w:rPr>
        <w:t xml:space="preserve">Background</w:t>
      </w:r>
    </w:p>
    <w:p>
      <w:pPr>
        <w:pStyle w:val="BodyText"/>
      </w:pPr>
      <w:r>
        <w:t xml:space="preserve">Zero-heat-flux thermometers are non-invasive devices that can be used to continuously monitor temperature. These devices are increasingly being used to substitute for invasive core temperature measurement during surgery and in critical care. The aim of this review was to determine the accuracy and precision of zero-heat-flux temperature measurements.</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pPr>
        <w:pStyle w:val="Heading2"/>
      </w:pPr>
      <w:bookmarkStart w:id="25" w:name="introduction"/>
      <w:r>
        <w:t xml:space="preserve">Introduction</w:t>
      </w:r>
      <w:bookmarkEnd w:id="25"/>
    </w:p>
    <w:p>
      <w:pPr>
        <w:pStyle w:val="FirstParagraph"/>
      </w:pPr>
      <w:r>
        <w:t xml:space="preserve">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rPr>
          <w:vertAlign w:val="superscript"/>
        </w:rP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 xml:space="preserve">6</w:t>
      </w:r>
    </w:p>
    <w:p>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pPr>
        <w:pStyle w:val="Heading2"/>
      </w:pPr>
      <w:bookmarkStart w:id="26" w:name="methods"/>
      <w:r>
        <w:t xml:space="preserve">Methods</w:t>
      </w:r>
      <w:bookmarkEnd w:id="26"/>
    </w:p>
    <w:p>
      <w:pPr>
        <w:pStyle w:val="FirstParagraph"/>
      </w:pPr>
      <w:r>
        <w:t xml:space="preserve">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pPr>
        <w:pStyle w:val="Heading3"/>
      </w:pPr>
      <w:bookmarkStart w:id="27" w:name="inclusion-criteria"/>
      <w:r>
        <w:t xml:space="preserve">Inclusion criteria</w:t>
      </w:r>
      <w:bookmarkEnd w:id="27"/>
    </w:p>
    <w:p>
      <w:pPr>
        <w:pStyle w:val="FirstParagraph"/>
      </w:pPr>
      <w:r>
        <w:t xml:space="preserve">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8" w:name="data-sources-and-searches"/>
      <w:r>
        <w:t xml:space="preserve">Data sources and searches</w:t>
      </w:r>
      <w:bookmarkEnd w:id="28"/>
    </w:p>
    <w:p>
      <w:pPr>
        <w:pStyle w:val="FirstParagraph"/>
      </w:pPr>
      <w:r>
        <w:t xml:space="preserve">Published studies were found by searching Medline and EMBASE to July 2019.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rPr>
          <w:vertAlign w:val="superscript"/>
        </w:rPr>
        <w:t xml:space="preserve">7</w:t>
      </w:r>
      <w:r>
        <w:t xml:space="preserve"> </w:t>
      </w:r>
      <w:r>
        <w:t xml:space="preserve">This search strategy is an efficient approach for systematic reviews of diagnostic test accuracy studies.</w:t>
      </w:r>
      <w:r>
        <w:rPr>
          <w:vertAlign w:val="superscript"/>
        </w:rPr>
        <w:t xml:space="preserve">8</w:t>
      </w:r>
      <w:r>
        <w:t xml:space="preserve"> </w:t>
      </w:r>
      <w:r>
        <w:t xml:space="preserve">We also conducted forward citation searching, by using Google Scholar to search the citations of the first article published on the accuracy of zero-heat-flux thermometers. The search strategies used for each data base can be located at this</w:t>
      </w:r>
      <w:r>
        <w:t xml:space="preserve"> </w:t>
      </w:r>
      <w:hyperlink r:id="rId29">
        <w:r>
          <w:rPr>
            <w:rStyle w:val="Hyperlink"/>
          </w:rPr>
          <w:t xml:space="preserve">link</w:t>
        </w:r>
      </w:hyperlink>
      <w:r>
        <w:t xml:space="preserve">. Selection of studies was undertaken independently by two reviewers using</w:t>
      </w:r>
      <w:r>
        <w:t xml:space="preserve"> </w:t>
      </w:r>
      <w:hyperlink r:id="rId30">
        <w:r>
          <w:rPr>
            <w:rStyle w:val="Hyperlink"/>
          </w:rPr>
          <w:t xml:space="preserve">Covidence</w:t>
        </w:r>
      </w:hyperlink>
      <w:r>
        <w:t xml:space="preserve">.</w:t>
      </w:r>
    </w:p>
    <w:p>
      <w:pPr>
        <w:pStyle w:val="Heading3"/>
      </w:pPr>
      <w:bookmarkStart w:id="31" w:name="data-extraction-and-quality-assessment"/>
      <w:r>
        <w:t xml:space="preserve">Data extraction and quality assessment</w:t>
      </w:r>
      <w:bookmarkEnd w:id="31"/>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rPr>
          <w:vertAlign w:val="superscript"/>
        </w:rPr>
        <w:t xml:space="preserve">9</w:t>
      </w:r>
    </w:p>
    <w:p>
      <w:pPr>
        <w:pStyle w:val="BodyText"/>
      </w:pPr>
      <w:r>
        <w:t xml:space="preserve">Two reviewers independently assessed the risk of bias for the included studies using the revised Quality Assessment of Diagnostic Accuracy Studies (QUADAS-2).</w:t>
      </w:r>
      <w:r>
        <w:rPr>
          <w:vertAlign w:val="superscript"/>
        </w:rP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rPr>
          <w:vertAlign w:val="superscript"/>
        </w:rPr>
        <w:t xml:space="preserve">11</w:t>
      </w:r>
      <w:r>
        <w:t xml:space="preserve"> </w:t>
      </w:r>
      <w:r>
        <w:t xml:space="preserve">Statistical approaches for detection of reporting bias were not conducted due to lack of validated methods.</w:t>
      </w:r>
      <w:r>
        <w:rPr>
          <w:vertAlign w:val="superscript"/>
        </w:rPr>
        <w:t xml:space="preserve">12</w:t>
      </w:r>
      <w:r>
        <w:t xml:space="preserve"> </w:t>
      </w:r>
      <w:r>
        <w:t xml:space="preserve">Simulations have revealed that tests for detecting funnel plot asymmetry will result in publication bias being incorrectly identified too often.</w:t>
      </w:r>
      <w:r>
        <w:rPr>
          <w:vertAlign w:val="superscript"/>
        </w:rPr>
        <w:t xml:space="preserve">13</w:t>
      </w:r>
    </w:p>
    <w:p>
      <w:pPr>
        <w:pStyle w:val="BodyText"/>
      </w:pPr>
      <w:r>
        <w:t xml:space="preserve">In order to rate the quality of evidence, we applied the Grading Quality of Evidence and Strength of Recommendation methodology.</w:t>
      </w:r>
      <w:r>
        <w:rPr>
          <w:vertAlign w:val="superscript"/>
        </w:rP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2" w:name="data-synthesis-and-analysis"/>
      <w:r>
        <w:t xml:space="preserve">Data synthesis and analysis</w:t>
      </w:r>
      <w:bookmarkEnd w:id="32"/>
    </w:p>
    <w:p>
      <w:pPr>
        <w:pStyle w:val="FirstParagraph"/>
      </w:pPr>
      <w:r>
        <w:t xml:space="preserve">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rPr>
          <w:vertAlign w:val="superscript"/>
        </w:rP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 xml:space="preserve">20</w:t>
      </w:r>
      <w:r>
        <w:t xml:space="preserve"> </w:t>
      </w:r>
      <w:r>
        <w:t xml:space="preserve">All data and R code used in the meta-analyses can be located at this</w:t>
      </w:r>
      <w:r>
        <w:t xml:space="preserve"> </w:t>
      </w:r>
      <w:hyperlink r:id="rId33">
        <w:r>
          <w:rPr>
            <w:rStyle w:val="Hyperlink"/>
          </w:rPr>
          <w:t xml:space="preserve">link</w:t>
        </w:r>
      </w:hyperlink>
      <w:r>
        <w:t xml:space="preserve">.</w:t>
      </w:r>
    </w:p>
    <w:p>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 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rPr>
          <w:vertAlign w:val="superscript"/>
        </w:rP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4" w:name="results"/>
      <w:r>
        <w:t xml:space="preserve">Results</w:t>
      </w:r>
      <w:bookmarkEnd w:id="34"/>
    </w:p>
    <w:p>
      <w:pPr>
        <w:pStyle w:val="Heading3"/>
      </w:pPr>
      <w:bookmarkStart w:id="35" w:name="study-selection-and-description"/>
      <w:r>
        <w:t xml:space="preserve">Study selection and description</w:t>
      </w:r>
      <w:bookmarkEnd w:id="35"/>
    </w:p>
    <w:p>
      <w:pPr>
        <w:pStyle w:val="FirstParagraph"/>
      </w:pPr>
      <w:r>
        <w:t xml:space="preserve">Sixteen studies were included (Figure @ref(fig:fig-1)).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p>
    <w:p>
      <w:pPr>
        <w:pStyle w:val="BodyText"/>
      </w:pPr>
      <w:r>
        <w:t xml:space="preserve">The characteristics of included studies can be viewed at this</w:t>
      </w:r>
      <w:r>
        <w:t xml:space="preserve"> </w:t>
      </w:r>
      <w:hyperlink r:id="rId29">
        <w:r>
          <w:rPr>
            <w:rStyle w:val="Hyperlink"/>
          </w:rPr>
          <w:t xml:space="preserve">link</w:t>
        </w:r>
      </w:hyperlink>
      <w:r>
        <w:t xml:space="preserve">. The primary comparison of zero-heat-flux versus core temperature measurements (eg,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pPr>
        <w:pStyle w:val="BodyText"/>
      </w:pPr>
      <w:r>
        <w:t xml:space="preserve">All studies included in this systematic review evaluated the zero-heat-flux temperature monitoring system manufactured by 3M. Previously known as the SpotOn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pPr>
        <w:pStyle w:val="BodyText"/>
      </w:pPr>
      <w:r>
        <w:t xml:space="preserve">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6" w:name="primary-comparison-zero-heat-flux-thermometer-versus-core-thermometers"/>
      <w:r>
        <w:t xml:space="preserve">Primary comparison: zero-heat-flux thermometer versus core thermometers</w:t>
      </w:r>
      <w:bookmarkEnd w:id="36"/>
    </w:p>
    <w:p>
      <w:pPr>
        <w:pStyle w:val="FirstParagraph"/>
      </w:pPr>
      <w:r>
        <w:t xml:space="preserve">A graphical overview of the findings for the primary analysis is presented in Figure @ref(fig:fig-2).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pPr>
        <w:pStyle w:val="BodyText"/>
      </w:pPr>
      <w:r>
        <w:t xml:space="preserve">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pPr>
        <w:pStyle w:val="Heading3"/>
      </w:pPr>
      <w:bookmarkStart w:id="37" w:name="secondary-comparisons-zero-heat-flux-thermometer-versus-peripheral-thermometers"/>
      <w:r>
        <w:t xml:space="preserve">Secondary comparisons: zero-heat-flux thermometer versus peripheral thermometers</w:t>
      </w:r>
      <w:bookmarkEnd w:id="37"/>
    </w:p>
    <w:p>
      <w:pPr>
        <w:pStyle w:val="FirstParagraph"/>
      </w:pPr>
      <w:r>
        <w:t xml:space="preserve">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pPr>
        <w:pStyle w:val="BodyText"/>
      </w:pPr>
      <w:r>
        <w:t xml:space="preserve">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pPr>
        <w:pStyle w:val="Heading2"/>
      </w:pPr>
      <w:bookmarkStart w:id="38" w:name="discussion"/>
      <w:r>
        <w:t xml:space="preserve">Discussion</w:t>
      </w:r>
      <w:bookmarkEnd w:id="38"/>
    </w:p>
    <w:p>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this magnitude would be important for the given clinical situation. If so, then it may not be appropriate to substitute the zero-heat-flux device in place of a core thermometer.</w:t>
      </w:r>
    </w:p>
    <w:p>
      <w:pPr>
        <w:pStyle w:val="BodyText"/>
      </w:pPr>
      <w:r>
        <w:t xml:space="preserve">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 xml:space="preserve">21</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 Far fewer studies have evaluated the Temple Touch Pro compared to the zero-heat-flux device.</w:t>
      </w:r>
      <w:r>
        <w:rPr>
          <w:vertAlign w:val="superscript"/>
        </w:rPr>
        <w:t xml:space="preserve">22,23</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 xml:space="preserve">15</w:t>
      </w:r>
    </w:p>
    <w:p>
      <w:pPr>
        <w:pStyle w:val="BodyText"/>
      </w:pPr>
      <w:r>
        <w:t xml:space="preserve">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pPr>
        <w:pStyle w:val="Heading3"/>
      </w:pPr>
      <w:bookmarkStart w:id="39" w:name="limitations"/>
      <w:r>
        <w:t xml:space="preserve">Limitations</w:t>
      </w:r>
      <w:bookmarkEnd w:id="39"/>
    </w:p>
    <w:p>
      <w:pPr>
        <w:pStyle w:val="FirstParagraph"/>
      </w:pPr>
      <w:r>
        <w:t xml:space="preserve">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40" w:name="conclusion"/>
      <w:r>
        <w:t xml:space="preserve">Conclusion</w:t>
      </w:r>
      <w:bookmarkEnd w:id="40"/>
    </w:p>
    <w:p>
      <w:pPr>
        <w:pStyle w:val="FirstParagraph"/>
      </w:pPr>
      <w:r>
        <w:t xml:space="preserve">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pPr>
        <w:pStyle w:val="Heading1"/>
      </w:pPr>
      <w:bookmarkStart w:id="41" w:name="references"/>
      <w:r>
        <w:t xml:space="preserve">References</w:t>
      </w:r>
      <w:bookmarkEnd w:id="41"/>
    </w:p>
    <w:bookmarkStart w:id="65" w:name="refs"/>
    <w:bookmarkStart w:id="42" w:name="ref-frank1997perioperative"/>
    <w:p>
      <w:pPr>
        <w:pStyle w:val="FirstParagraph"/>
      </w:pPr>
      <w:r>
        <w:t xml:space="preserve">1. Frank SM, Fleisher LA, Breslow MJ, Higgins MS, Olson KF, Kelly S, Beattie C: Perioperative maintenance of normothermia reduces the incidence of morbid cardiac events: A randomized clinical trial. JAMA 1997; 277:1127–34</w:t>
      </w:r>
    </w:p>
    <w:bookmarkEnd w:id="42"/>
    <w:bookmarkStart w:id="43" w:name="ref-kurz1996perioperative"/>
    <w:p>
      <w:pPr>
        <w:pStyle w:val="BodyText"/>
      </w:pPr>
      <w:r>
        <w:t xml:space="preserve">2. Kurz A, Sessler DI, Lenhardt R: Perioperative normothermia to reduce the incidence of surgical-wound infection and shorten hospitalization. New England Journal of Medicine 1996; 334:1209–16</w:t>
      </w:r>
    </w:p>
    <w:bookmarkEnd w:id="43"/>
    <w:bookmarkStart w:id="44" w:name="ref-michelson1994reversible"/>
    <w:p>
      <w:pPr>
        <w:pStyle w:val="BodyText"/>
      </w:pPr>
      <w:r>
        <w:t xml:space="preserve">3. Michelson AD, MacGregor H, Barnard MR, Kestin AS, Rohrer MJ, Valeri CR: Reversible inhibition of human platelet activation by hypothermia in vivo and in vitro. Thrombosis and Haemostasis 1994; 72:633–40</w:t>
      </w:r>
    </w:p>
    <w:bookmarkEnd w:id="44"/>
    <w:bookmarkStart w:id="45" w:name="ref-rohrer1992effect"/>
    <w:p>
      <w:pPr>
        <w:pStyle w:val="BodyText"/>
      </w:pPr>
      <w:r>
        <w:t xml:space="preserve">4. Rohrer MJ, Natale AM: Effect of hypothermia on the coagulation cascade. Critical Care Medicine 1992; 20:1402–5</w:t>
      </w:r>
    </w:p>
    <w:bookmarkEnd w:id="45"/>
    <w:bookmarkStart w:id="46" w:name="ref-hadian2006evidence"/>
    <w:p>
      <w:pPr>
        <w:pStyle w:val="BodyText"/>
      </w:pPr>
      <w:r>
        <w:t xml:space="preserve">5. Hadian M, Pinsky MR: Evidence-based review of the use of the pulmonary artery catheter: Impact data and complications. Critical Care 2006; 10:S8</w:t>
      </w:r>
    </w:p>
    <w:bookmarkEnd w:id="46"/>
    <w:bookmarkStart w:id="47" w:name="ref-eshraghi2014"/>
    <w:p>
      <w:pPr>
        <w:pStyle w:val="BodyText"/>
      </w:pPr>
      <w:r>
        <w:t xml:space="preserve">6. Eshraghi Y, Nasr V, Parra-Sanchez I, Van Duren A, Botham M, Santoscoy T, Sessler DI: An evaluation of a zero-heat-flux cutaneous thermometer in cardiac surgical patients. Anesthesia &amp; Analgesia 2014; 119:543–9</w:t>
      </w:r>
    </w:p>
    <w:bookmarkEnd w:id="47"/>
    <w:bookmarkStart w:id="48" w:name="ref-mann2012should"/>
    <w:p>
      <w:pPr>
        <w:pStyle w:val="BodyText"/>
      </w:pPr>
      <w:r>
        <w:t xml:space="preserve">7. Mann R, Gilbody SM: Should methodological filters for diagnostic test accuracy studies be used in systematic reviews of psychometric instruments? A case study involving screening for postnatal depression. Systematic Reviews 2012; 1:9</w:t>
      </w:r>
    </w:p>
    <w:bookmarkEnd w:id="48"/>
    <w:bookmarkStart w:id="49" w:name="ref-preston2015improving"/>
    <w:p>
      <w:pPr>
        <w:pStyle w:val="BodyText"/>
      </w:pPr>
      <w:r>
        <w:t xml:space="preserve">8. Preston L, Carroll C, Gardois P, Paisley S, Kaltenthaler E: Improving search efficiency for systematic reviews of diagnostic test accuracy: An exploratory study to assess the viability of limiting to medline, embase and reference checking. Systematic Reviews 2015; 4:82</w:t>
      </w:r>
    </w:p>
    <w:bookmarkEnd w:id="49"/>
    <w:bookmarkStart w:id="50" w:name="ref-myles2007using"/>
    <w:p>
      <w:pPr>
        <w:pStyle w:val="BodyText"/>
      </w:pPr>
      <w:r>
        <w:t xml:space="preserve">9. Myles PS, Cui J: I. Using the Bland–Altman method to measure agreement with repeated measures. BJA: British Journal of Anaesthesia 2007; 99:309–11</w:t>
      </w:r>
    </w:p>
    <w:bookmarkEnd w:id="50"/>
    <w:bookmarkStart w:id="51" w:name="ref-whiting2011quadas"/>
    <w:p>
      <w:pPr>
        <w:pStyle w:val="BodyText"/>
      </w:pPr>
      <w:r>
        <w:t xml:space="preserve">10. Whiting PF, Rutjes AW, Westwood ME, Mallett S, Deeks JJ, Reitsma JB, Leeflang MM, Sterne JA, Bossuyt PM: QUADAS-2: A revised tool for the quality assessment of diagnostic accuracy studies. Annals of Internal Medicine 2011; 155:529–36</w:t>
      </w:r>
    </w:p>
    <w:bookmarkEnd w:id="51"/>
    <w:bookmarkStart w:id="52" w:name="ref-glasziou2001systematic"/>
    <w:p>
      <w:pPr>
        <w:pStyle w:val="BodyText"/>
      </w:pPr>
      <w:r>
        <w:t xml:space="preserve">11. Glasziou P, Irwig L, Bain C, Colditz G: Systematic reviews in health care: A practical guide. Cambridge University Press, 2001</w:t>
      </w:r>
    </w:p>
    <w:bookmarkEnd w:id="52"/>
    <w:bookmarkStart w:id="53" w:name="ref-begg2005systematic"/>
    <w:p>
      <w:pPr>
        <w:pStyle w:val="BodyText"/>
      </w:pPr>
      <w:r>
        <w:t xml:space="preserve">12. Begg CB: Systematic reviews of diagnostic accuracy studies require study by study examination: First for heterogeneity, and then for sources of heterogeneity. Journal of Clinical Epidemiology 2005; 58:865</w:t>
      </w:r>
    </w:p>
    <w:bookmarkEnd w:id="53"/>
    <w:bookmarkStart w:id="54" w:name="ref-deeks2005performance"/>
    <w:p>
      <w:pPr>
        <w:pStyle w:val="BodyText"/>
      </w:pPr>
      <w:r>
        <w:t xml:space="preserve">13. Deeks JJ, Macaskill P, Irwig L: The performance of tests of publication bias and other sample size effects in systematic reviews of diagnostic test accuracy was assessed. Journal of Clinical Epidemiology 2005; 58:882–93</w:t>
      </w:r>
    </w:p>
    <w:bookmarkEnd w:id="54"/>
    <w:bookmarkStart w:id="55" w:name="ref-schunemann2008grading"/>
    <w:p>
      <w:pPr>
        <w:pStyle w:val="BodyText"/>
      </w:pPr>
      <w:r>
        <w:t xml:space="preserve">14. Schünemann HJ, Oxman AD, Brozek J, Glasziou P, Jaeschke R, Vist GE, Williams JW, Kunz R, Craig J, Montori VM, others: Grading quality of evidence and strength of recommendations for diagnostic tests and strategies. BMJ 2008; 336:1106–10</w:t>
      </w:r>
    </w:p>
    <w:bookmarkEnd w:id="55"/>
    <w:bookmarkStart w:id="56" w:name="ref-tipton2017framework"/>
    <w:p>
      <w:pPr>
        <w:pStyle w:val="BodyText"/>
      </w:pPr>
      <w:r>
        <w:t xml:space="preserve">15. Tipton E, Shuster J: A framework for the meta-analysis of bland–altman studies based on a limits of agreement approach. Statistics in Medicine 2017; 36:3621–35</w:t>
      </w:r>
    </w:p>
    <w:bookmarkEnd w:id="56"/>
    <w:bookmarkStart w:id="57" w:name="ref-hedges2010robust"/>
    <w:p>
      <w:pPr>
        <w:pStyle w:val="BodyText"/>
      </w:pPr>
      <w:r>
        <w:t xml:space="preserve">16. Hedges LV, Tipton E, Johnson MC: Robust variance estimation in meta-regression with dependent effect size estimates. Research Synthesis Methods 2010; 1:39–65</w:t>
      </w:r>
    </w:p>
    <w:bookmarkEnd w:id="57"/>
    <w:bookmarkStart w:id="58" w:name="ref-tanner2016handling"/>
    <w:p>
      <w:pPr>
        <w:pStyle w:val="BodyText"/>
      </w:pPr>
      <w:r>
        <w:t xml:space="preserve">17. Tanner-Smith EE, Tipton E, Polanin JR: Handling complex meta-analytic data structures using robust variance estimates: A tutorial in r. Journal of Developmental and Life-Course Criminology 2016; 2:85–112</w:t>
      </w:r>
    </w:p>
    <w:bookmarkEnd w:id="58"/>
    <w:bookmarkStart w:id="59" w:name="ref-tipton2015small"/>
    <w:p>
      <w:pPr>
        <w:pStyle w:val="BodyText"/>
      </w:pPr>
      <w:r>
        <w:t xml:space="preserve">18. Tipton E: Small sample adjustments for robust variance estimation with meta-regression. Psychological Methods 2015; 20:375</w:t>
      </w:r>
    </w:p>
    <w:bookmarkEnd w:id="59"/>
    <w:bookmarkStart w:id="60" w:name="ref-dersimonian1986meta"/>
    <w:p>
      <w:pPr>
        <w:pStyle w:val="BodyText"/>
      </w:pPr>
      <w:r>
        <w:t xml:space="preserve">19. DerSimonian R, Laird N: Meta-analysis in clinical trials. Controlled Clinical Trials 1986; 7:177–88</w:t>
      </w:r>
    </w:p>
    <w:bookmarkEnd w:id="60"/>
    <w:bookmarkStart w:id="61" w:name="ref-team2017r"/>
    <w:p>
      <w:pPr>
        <w:pStyle w:val="BodyText"/>
      </w:pPr>
      <w:r>
        <w:t xml:space="preserve">20. Team RC: R core team (2017). R: A language and environment for statistical computing. R Found Stat Comput Vienna, Austria URL http://www R-project org/, page R Foundation for Statistical Computing 2017</w:t>
      </w:r>
    </w:p>
    <w:bookmarkEnd w:id="61"/>
    <w:bookmarkStart w:id="62" w:name="ref-niven2015accuracy"/>
    <w:p>
      <w:pPr>
        <w:pStyle w:val="BodyText"/>
      </w:pPr>
      <w:r>
        <w:t xml:space="preserve">21. Niven DJ, Gaudet JE, Laupland KB, Mrklas KJ, Roberts DJ, Stelfox HT: Accuracy of peripheral thermometers for estimating temperature: A systematic review and meta-analysis. Annals of Internal Medicine 2015; 163:768–77</w:t>
      </w:r>
    </w:p>
    <w:bookmarkEnd w:id="62"/>
    <w:bookmarkStart w:id="63" w:name="ref-evron2017evaluation"/>
    <w:p>
      <w:pPr>
        <w:pStyle w:val="BodyText"/>
      </w:pPr>
      <w:r>
        <w:t xml:space="preserve">22. Evron S, Weissman A, Toivis V, Shahaf DB, You J, Sessler DI, Ezri T: Evaluation of the temple touch pro, a novel noninvasive core-temperature monitoring system. Anesthesia &amp; Analgesia 2017; 125:103–9</w:t>
      </w:r>
    </w:p>
    <w:bookmarkEnd w:id="63"/>
    <w:bookmarkStart w:id="64" w:name="ref-sastre2019evaluation"/>
    <w:p>
      <w:pPr>
        <w:pStyle w:val="BodyText"/>
      </w:pPr>
      <w:r>
        <w:t xml:space="preserve">23. Sastre JA, Pascual MJ, Lopez T: Evaluation of the novel non-invasive zero-heat-flux tcore™ thermometer in cardiac surgical patients. Journal of Clinical Monitoring and Computing 2019; 33:165–72</w:t>
      </w:r>
    </w:p>
    <w:bookmarkEnd w:id="64"/>
    <w:bookmarkEnd w:id="65"/>
    <w:p>
      <w:pPr>
        <w:pStyle w:val="Heading1"/>
      </w:pPr>
      <w:bookmarkStart w:id="66" w:name="figure-legend"/>
      <w:r>
        <w:t xml:space="preserve">Figure legend</w:t>
      </w:r>
      <w:bookmarkEnd w:id="66"/>
    </w:p>
    <w:p>
      <w:pPr>
        <w:pStyle w:val="FirstParagraph"/>
      </w:pPr>
      <w:r>
        <w:t xml:space="preserve">Figure 1: PRISMA Flow Diagram</w:t>
      </w:r>
    </w:p>
    <w:p>
      <w:pPr>
        <w:pStyle w:val="BodyText"/>
      </w:pPr>
      <w:r>
        <w:t xml:space="preserve">Figure 2: Graphical overview of findings for the primary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5">
    <w:nsid w:val="ea454b4c"/>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0">
    <w:abstractNumId w:val="990"/>
  </w:num>
  <w:num w:numId="100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aconway.dev/zhf" TargetMode="External" /><Relationship Type="http://schemas.openxmlformats.org/officeDocument/2006/relationships/hyperlink" Id="rId33" Target="https://github.com/awconway/zhf-review" TargetMode="External" /><Relationship Type="http://schemas.openxmlformats.org/officeDocument/2006/relationships/hyperlink" Id="rId30" Target="https://www.covidence.org" TargetMode="External" /><Relationship Type="http://schemas.openxmlformats.org/officeDocument/2006/relationships/hyperlink" Id="rId22" Target="mailto:aaron.conway@utoronto.ca" TargetMode="External" /></Relationships>
</file>

<file path=word/_rels/footnotes.xml.rels><?xml version="1.0" encoding="UTF-8"?>
<Relationships xmlns="http://schemas.openxmlformats.org/package/2006/relationships"><Relationship Type="http://schemas.openxmlformats.org/officeDocument/2006/relationships/hyperlink" Id="rId29" Target="https://aconway.dev/zhf" TargetMode="External" /><Relationship Type="http://schemas.openxmlformats.org/officeDocument/2006/relationships/hyperlink" Id="rId33" Target="https://github.com/awconway/zhf-review" TargetMode="External" /><Relationship Type="http://schemas.openxmlformats.org/officeDocument/2006/relationships/hyperlink" Id="rId30" Target="https://www.covidence.org" TargetMode="External" /><Relationship Type="http://schemas.openxmlformats.org/officeDocument/2006/relationships/hyperlink" Id="rId22"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 A systematic review and meta-analysis</dc:title>
  <dc:creator/>
  <cp:keywords/>
  <dcterms:created xsi:type="dcterms:W3CDTF">2019-12-04T20:55:49Z</dcterms:created>
  <dcterms:modified xsi:type="dcterms:W3CDTF">2019-12-04T20:55:49Z</dcterms:modified>
</cp:coreProperties>
</file>