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center"/>
        <w:rPr>
          <w:rFonts w:ascii="楷体" w:hAnsi="楷体" w:eastAsia="楷体"/>
          <w:sz w:val="44"/>
          <w:szCs w:val="44"/>
        </w:rPr>
      </w:pP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pacing w:line="600" w:lineRule="exact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hint="eastAsia" w:ascii="宋体" w:hAnsi="宋体"/>
          <w:b/>
          <w:bCs/>
          <w:sz w:val="48"/>
          <w:szCs w:val="48"/>
        </w:rPr>
        <w:t>仲裁反申请受理通知书</w:t>
      </w:r>
    </w:p>
    <w:p>
      <w:pPr>
        <w:pStyle w:val="3"/>
        <w:widowControl w:val="0"/>
        <w:wordWrap w:val="0"/>
        <w:spacing w:before="0" w:beforeAutospacing="0" w:after="0" w:afterAutospacing="0" w:line="620" w:lineRule="exact"/>
        <w:ind w:firstLine="4480" w:firstLineChars="1400"/>
        <w:jc w:val="right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 w:val="0"/>
          <w:sz w:val="32"/>
          <w:szCs w:val="32"/>
        </w:rPr>
        <w:t>永劳人仲案字[2026]105号</w:t>
      </w:r>
      <w:r>
        <w:rPr>
          <w:rFonts w:ascii="仿宋" w:hAnsi="仿宋" w:eastAsia="仿宋"/>
          <w:sz w:val="32"/>
          <w:szCs w:val="32"/>
        </w:rPr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>
      <w:pPr>
        <w:pStyle w:val="3"/>
        <w:spacing w:before="0" w:beforeAutospacing="0" w:after="0" w:afterAutospacing="0" w:line="760" w:lineRule="exact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  <w:u w:val="single"/>
        </w:rPr>
        <w:t>：</w:t>
      </w:r>
      <w:bookmarkStart w:id="0" w:name="_GoBack"/>
      <w:bookmarkEnd w:id="0"/>
    </w:p>
    <w:p>
      <w:pPr>
        <w:pStyle w:val="3"/>
        <w:spacing w:before="0" w:beforeAutospacing="0" w:after="0" w:afterAutospacing="0" w:line="760" w:lineRule="exact"/>
        <w:ind w:firstLine="640" w:firstLineChars="200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你（单位）于</w:t>
      </w:r>
      <w:r>
        <w:rPr>
          <w:rFonts w:ascii="仿宋" w:hAnsi="仿宋" w:eastAsia="仿宋"/>
          <w:sz w:val="32"/>
          <w:szCs w:val="32"/>
          <w:u w:val="single"/>
        </w:rPr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ascii="仿宋" w:hAnsi="仿宋" w:eastAsia="仿宋"/>
          <w:sz w:val="32"/>
          <w:szCs w:val="32"/>
          <w:u w:val="single"/>
        </w:rPr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ascii="仿宋" w:hAnsi="仿宋" w:eastAsia="仿宋"/>
          <w:sz w:val="32"/>
          <w:szCs w:val="32"/>
          <w:u w:val="single"/>
        </w:rPr>
      </w:r>
      <w:r>
        <w:rPr>
          <w:rFonts w:hint="eastAsia" w:ascii="仿宋" w:hAnsi="仿宋" w:eastAsia="仿宋"/>
          <w:sz w:val="32"/>
          <w:szCs w:val="32"/>
        </w:rPr>
        <w:t>日送来的仲裁反申请书已收悉。根据《中华人民共和国劳动争议调解仲裁法》、《劳动人事争议仲裁办案规则》等有关规定，经本委审查符合受理条件决定受理。现将有关事项通知如下：</w:t>
      </w:r>
    </w:p>
    <w:p>
      <w:pPr>
        <w:pStyle w:val="3"/>
        <w:spacing w:before="0" w:beforeAutospacing="0" w:after="0" w:afterAutospacing="0" w:line="760" w:lineRule="exact"/>
        <w:ind w:firstLine="640" w:firstLineChars="200"/>
        <w:textAlignment w:val="center"/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一、反申请人在仲裁过程中，有权行使法律规定的仲裁权利，同时必须遵守仲裁秩序，履行仲裁义务。</w:t>
      </w:r>
    </w:p>
    <w:p>
      <w:pPr>
        <w:spacing w:line="760" w:lineRule="exact"/>
        <w:ind w:firstLine="477" w:firstLineChars="149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二、反申请人在提起仲裁反申请时提交证据之外仍有证据提供的，应在收到本通知之日起三日内补充提供，如在期限内提交证据有困难的，可以在举证期届满前向本委申请延期举证，是否准许由本委决定，逾期不提交证据的视为放弃相关举证权利。反申请人向本委提供证据，应当提供经本委核对无异的复制件或者复制品，并应对提交的证据材料逐一分类编号，编制证据清单。对证据材料的来源、证明对象和内容作简要说明，依照对方当事人人数提出副本。</w:t>
      </w:r>
    </w:p>
    <w:p>
      <w:pPr>
        <w:spacing w:line="760" w:lineRule="exact"/>
        <w:ind w:firstLine="640" w:firstLineChars="200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三、反申请人增加、变更仲裁请求、申请证人出庭作证，应当在举证期限届满提出。</w:t>
      </w:r>
    </w:p>
    <w:p>
      <w:pPr>
        <w:spacing w:line="760" w:lineRule="exact"/>
        <w:ind w:firstLine="640" w:firstLineChars="200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>四、反申请人如委托代理人的，应在开庭前填写授权委托书提交本委。授权委托书应当载明委托事项和委托权限。</w:t>
      </w:r>
    </w:p>
    <w:p>
      <w:pPr>
        <w:pStyle w:val="3"/>
        <w:widowControl w:val="0"/>
        <w:spacing w:before="0" w:beforeAutospacing="0" w:after="0" w:afterAutospacing="0" w:line="760" w:lineRule="exact"/>
        <w:ind w:right="1280"/>
        <w:textAlignment w:val="center"/>
        <w:rPr>
          <w:rFonts w:ascii="仿宋" w:hAnsi="仿宋" w:eastAsia="仿宋"/>
          <w:bCs/>
          <w:color w:val="000000"/>
          <w:sz w:val="32"/>
          <w:szCs w:val="32"/>
        </w:rPr>
      </w:pPr>
    </w:p>
    <w:p>
      <w:pPr>
        <w:pStyle w:val="3"/>
        <w:widowControl w:val="0"/>
        <w:spacing w:before="0" w:beforeAutospacing="0" w:after="0" w:afterAutospacing="0" w:line="760" w:lineRule="exact"/>
        <w:jc w:val="right"/>
        <w:textAlignment w:val="center"/>
        <w:rPr>
          <w:rFonts w:ascii="仿宋" w:hAnsi="仿宋" w:eastAsia="仿宋"/>
          <w:bCs/>
          <w:color w:val="000000"/>
          <w:sz w:val="32"/>
          <w:szCs w:val="32"/>
        </w:rPr>
      </w:pPr>
    </w:p>
    <w:p>
      <w:pPr>
        <w:pStyle w:val="3"/>
        <w:widowControl w:val="0"/>
        <w:spacing w:before="0" w:beforeAutospacing="0" w:after="0" w:afterAutospacing="0" w:line="760" w:lineRule="exact"/>
        <w:ind w:right="320"/>
        <w:jc w:val="right"/>
        <w:textAlignment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bCs/>
          <w:color w:val="000000"/>
          <w:sz w:val="32"/>
          <w:szCs w:val="32"/>
        </w:rPr>
        <w:t>永安市</w:t>
      </w:r>
      <w:r>
        <w:rPr>
          <w:rFonts w:hint="eastAsia" w:ascii="仿宋" w:hAnsi="仿宋" w:eastAsia="仿宋"/>
          <w:sz w:val="32"/>
          <w:szCs w:val="32"/>
        </w:rPr>
        <w:t>劳动人事争议仲裁委员会</w:t>
      </w:r>
    </w:p>
    <w:p>
      <w:pPr>
        <w:pStyle w:val="3"/>
        <w:spacing w:before="0" w:beforeAutospacing="0" w:after="0" w:afterAutospacing="0" w:line="760" w:lineRule="exact"/>
        <w:ind w:right="632"/>
        <w:jc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</w:t>
      </w:r>
      <w:r>
        <w:rPr>
          <w:rFonts w:ascii="仿宋" w:hAnsi="仿宋" w:eastAsia="仿宋"/>
          <w:sz w:val="32"/>
          <w:szCs w:val="32"/>
        </w:rPr>
        <w:t xml:space="preserve">             </w:t>
      </w:r>
      <w:r>
        <w:rPr>
          <w:rFonts w:hint="eastAsia" w:ascii="仿宋" w:hAnsi="仿宋" w:eastAsia="仿宋"/>
          <w:sz w:val="32"/>
          <w:szCs w:val="32"/>
        </w:rPr>
      </w:r>
      <w:r>
        <w:rPr>
          <w:rFonts w:ascii="仿宋" w:hAnsi="仿宋" w:eastAsia="仿宋"/>
          <w:sz w:val="32"/>
          <w:szCs w:val="32"/>
        </w:rPr>
      </w:r>
    </w:p>
    <w:sectPr>
      <w:pgSz w:w="11906" w:h="16838"/>
      <w:pgMar w:top="1418" w:right="1531" w:bottom="1588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roman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E57"/>
    <w:rsid w:val="001F0DAE"/>
    <w:rsid w:val="002D687C"/>
    <w:rsid w:val="003330EE"/>
    <w:rsid w:val="003C420F"/>
    <w:rsid w:val="003F2BC2"/>
    <w:rsid w:val="004901B5"/>
    <w:rsid w:val="004E720E"/>
    <w:rsid w:val="005B11B9"/>
    <w:rsid w:val="005E697E"/>
    <w:rsid w:val="007F28BE"/>
    <w:rsid w:val="0085601E"/>
    <w:rsid w:val="00AD3C57"/>
    <w:rsid w:val="00AD76D4"/>
    <w:rsid w:val="00BA13AB"/>
    <w:rsid w:val="00C15EFA"/>
    <w:rsid w:val="00C554E8"/>
    <w:rsid w:val="00CE6E57"/>
    <w:rsid w:val="00D7040B"/>
    <w:rsid w:val="00D71FD4"/>
    <w:rsid w:val="00FB4E5C"/>
    <w:rsid w:val="209504D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6"/>
    <w:unhideWhenUsed/>
    <w:uiPriority w:val="99"/>
    <w:rPr>
      <w:sz w:val="18"/>
      <w:szCs w:val="18"/>
    </w:rPr>
  </w:style>
  <w:style w:type="paragraph" w:styleId="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character" w:customStyle="1" w:styleId="6">
    <w:name w:val="批注框文本 Char"/>
    <w:basedOn w:val="4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83</Words>
  <Characters>478</Characters>
  <Lines>3</Lines>
  <Paragraphs>1</Paragraphs>
  <ScaleCrop>false</ScaleCrop>
  <LinksUpToDate>false</LinksUpToDate>
  <CharactersWithSpaces>560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2026-03-05T08:32:00Z</dcterms:created>
  <dc:creator>PC</dc:creator>
  <cp:lastModifiedBy>Administrator</cp:lastModifiedBy>
  <cp:lastPrinted>2026-01-06T02:33:00Z</cp:lastPrinted>
  <dcterms:modified xsi:type="dcterms:W3CDTF">2026-03-11T03:01:04Z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