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9114" w14:textId="6F97087C" w:rsidR="00CF6D0E" w:rsidRPr="004A52A6" w:rsidRDefault="00330F24" w:rsidP="00330F24">
      <w:pPr>
        <w:jc w:val="right"/>
      </w:pPr>
      <w:r w:rsidRPr="004A52A6">
        <w:t>Amanda Wedergren</w:t>
      </w:r>
    </w:p>
    <w:p w14:paraId="3853D528" w14:textId="6D8F5FED" w:rsidR="00330F24" w:rsidRPr="004A52A6" w:rsidRDefault="00330F24" w:rsidP="00330F24">
      <w:pPr>
        <w:jc w:val="right"/>
      </w:pPr>
      <w:r w:rsidRPr="004A52A6">
        <w:t>December 15, 2025</w:t>
      </w:r>
    </w:p>
    <w:p w14:paraId="6E66CDC1" w14:textId="11246E21" w:rsidR="00330F24" w:rsidRPr="004A52A6" w:rsidRDefault="00330F24" w:rsidP="00330F24">
      <w:pPr>
        <w:jc w:val="right"/>
      </w:pPr>
      <w:r w:rsidRPr="004A52A6">
        <w:t>Module 12.2 Assignment</w:t>
      </w:r>
    </w:p>
    <w:p w14:paraId="7B297DA9" w14:textId="77777777" w:rsidR="00330F24" w:rsidRPr="004A52A6" w:rsidRDefault="00330F24" w:rsidP="00330F24">
      <w:pPr>
        <w:jc w:val="right"/>
      </w:pPr>
    </w:p>
    <w:p w14:paraId="32D0B8F1" w14:textId="592B237B" w:rsidR="00330F24" w:rsidRPr="004A52A6" w:rsidRDefault="00330F24" w:rsidP="00330F24">
      <w:r w:rsidRPr="004A52A6">
        <w:t xml:space="preserve">When reading the case studies “Providing Compliance in Regulated Environments” and “Relying on Production Telemetry for ATM Systems” in Chapter 23 of The DevOps Handbook, 2nd Edition, what stands out most is how the authors emphasize the importance of integrating compliance and monitoring directly into the deployment pipeline rather than treating them as afterthoughts. In the first case study, Providing Compliance in Regulated Environments, the authors argue that organizations working in highly regulated industries, such as finance, healthcare, or government, cannot afford to view compliance as a barrier to innovation. Instead, compliance should be embedded into the DevOps process through automation, continuous testing, and transparent documentation. By doing so, compliance becomes a natural outcome of the development workflow rather than a separate, burdensome process. This approach reduces risk, improves efficiency, and ensures that regulatory requirements are consistently met without slowing down delivery cycles </w:t>
      </w:r>
      <w:r w:rsidR="004A52A6" w:rsidRPr="004A52A6">
        <w:t>(Haver, 2021)</w:t>
      </w:r>
      <w:r w:rsidRPr="004A52A6">
        <w:t>. A key lesson here is that compliance and agility are not mutually exclusive; with the right practices, organizations can achieve both simultaneously.</w:t>
      </w:r>
    </w:p>
    <w:p w14:paraId="0C53D28A" w14:textId="50D0B447" w:rsidR="00330F24" w:rsidRPr="004A52A6" w:rsidRDefault="00330F24" w:rsidP="00330F24">
      <w:r w:rsidRPr="004A52A6">
        <w:t>The second case study, Relying on Production Telemetry for ATM Systems, shifts the focus to operational monitoring and the critical role of telemetry in maintaining system reliability. The authors describe how ATM systems, which are mission-critical and customer-facing, rely heavily on production telemetry to detect issues in real time, measure performance, and ensure availability. Telemetry provides visibility into the health of the system, enabling teams to respond quickly to anomalies and prevent downtime. More importantly, telemetry data supports proactive improvements by identifying patterns and potential bottlenecks before they escalate into failures (Kim et al., 2021). The lesson learned here is that monitoring is not just about troubleshooting, it is a strategic capability that drives resilience, customer trust, and continuous improvement.</w:t>
      </w:r>
    </w:p>
    <w:p w14:paraId="06C0BB92" w14:textId="02AD0CCB" w:rsidR="00330F24" w:rsidRPr="004A52A6" w:rsidRDefault="00330F24" w:rsidP="00330F24">
      <w:r w:rsidRPr="004A52A6">
        <w:t xml:space="preserve">Together, these case studies illustrate a broader theme: DevOps is not only about speed but also about building systems that are secure, compliant, and reliable. Embedding compliance into pipelines ensures that organizations in regulated environments can innovate without fear of penalties or breaches, while leveraging telemetry ensures that critical systems remain trustworthy and performant. Both practices highlight the DevOps principle of shifting left, bringing compliance and monitoring earlier into the development lifecycle rather than waiting until after deployment. This proactive mindset transforms </w:t>
      </w:r>
      <w:r w:rsidRPr="004A52A6">
        <w:lastRenderedPageBreak/>
        <w:t>potential obstacles into enablers of success. For students and professionals alike, the takeaway is clear: modern IT organizations must embrace automation, transparency, and data-driven monitoring to thrive in complex, regulated, and high-stakes environments.</w:t>
      </w:r>
    </w:p>
    <w:p w14:paraId="209913A0" w14:textId="77777777" w:rsidR="00330F24" w:rsidRPr="004A52A6" w:rsidRDefault="00330F24" w:rsidP="00330F24"/>
    <w:p w14:paraId="3646B0F9" w14:textId="77777777" w:rsidR="00330F24" w:rsidRPr="004A52A6" w:rsidRDefault="00330F24" w:rsidP="00330F24"/>
    <w:p w14:paraId="0BA1AB6C" w14:textId="77777777" w:rsidR="00330F24" w:rsidRPr="004A52A6" w:rsidRDefault="00330F24" w:rsidP="00330F24"/>
    <w:p w14:paraId="2AE895CD" w14:textId="77777777" w:rsidR="00330F24" w:rsidRPr="004A52A6" w:rsidRDefault="00330F24" w:rsidP="00330F24">
      <w:pPr>
        <w:jc w:val="center"/>
      </w:pPr>
      <w:r w:rsidRPr="004A52A6">
        <w:t>References</w:t>
      </w:r>
    </w:p>
    <w:p w14:paraId="214FE2C4" w14:textId="77777777" w:rsidR="004A52A6" w:rsidRPr="004A52A6" w:rsidRDefault="004A52A6" w:rsidP="004A52A6">
      <w:pPr>
        <w:ind w:left="720" w:hanging="720"/>
      </w:pPr>
      <w:r w:rsidRPr="004A52A6">
        <w:t xml:space="preserve">Haver, P. </w:t>
      </w:r>
      <w:proofErr w:type="spellStart"/>
      <w:r w:rsidRPr="004A52A6">
        <w:t>byThomas</w:t>
      </w:r>
      <w:proofErr w:type="spellEnd"/>
      <w:r w:rsidRPr="004A52A6">
        <w:t xml:space="preserve">. (2021, August 21). </w:t>
      </w:r>
      <w:r w:rsidRPr="004A52A6">
        <w:rPr>
          <w:i/>
          <w:iCs/>
        </w:rPr>
        <w:t xml:space="preserve">Book club: The </w:t>
      </w:r>
      <w:proofErr w:type="spellStart"/>
      <w:r w:rsidRPr="004A52A6">
        <w:rPr>
          <w:i/>
          <w:iCs/>
        </w:rPr>
        <w:t>devops</w:t>
      </w:r>
      <w:proofErr w:type="spellEnd"/>
      <w:r w:rsidRPr="004A52A6">
        <w:rPr>
          <w:i/>
          <w:iCs/>
        </w:rPr>
        <w:t xml:space="preserve"> handbook (Chapter 23. protecting the deployment pipeline and integrating into change management and other security and compliance controls)</w:t>
      </w:r>
      <w:r w:rsidRPr="004A52A6">
        <w:t xml:space="preserve">. </w:t>
      </w:r>
      <w:proofErr w:type="gramStart"/>
      <w:r w:rsidRPr="004A52A6">
        <w:t>Red Green</w:t>
      </w:r>
      <w:proofErr w:type="gramEnd"/>
      <w:r w:rsidRPr="004A52A6">
        <w:t xml:space="preserve"> Refactor. https://red-green-refactor.com/2021/08/21/book-club-the-devops-handbook-chapter-23-protecting-the-deployment-pipeline-and-integrating-into-change-management-and-other-security-and-compliance-controls/ </w:t>
      </w:r>
    </w:p>
    <w:p w14:paraId="10BB3214" w14:textId="77777777" w:rsidR="004A52A6" w:rsidRPr="004A52A6" w:rsidRDefault="004A52A6" w:rsidP="004A52A6">
      <w:pPr>
        <w:ind w:left="720" w:hanging="720"/>
      </w:pPr>
      <w:r w:rsidRPr="004A52A6">
        <w:t xml:space="preserve">Kim, G., Willis, J., Debois, P., Humble, J., &amp; Forsgren, N. (2021). </w:t>
      </w:r>
      <w:r w:rsidRPr="004A52A6">
        <w:rPr>
          <w:i/>
          <w:iCs/>
        </w:rPr>
        <w:t>The DevOps Handbook, Second edition</w:t>
      </w:r>
      <w:r w:rsidRPr="004A52A6">
        <w:t xml:space="preserve">. IT Revolution. https://itrevolution.com/the-devops-handbook/ </w:t>
      </w:r>
    </w:p>
    <w:p w14:paraId="3CFC70D5" w14:textId="77777777" w:rsidR="00330F24" w:rsidRPr="004A52A6" w:rsidRDefault="00330F24" w:rsidP="00330F24"/>
    <w:sectPr w:rsidR="00330F24" w:rsidRPr="004A5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24"/>
    <w:rsid w:val="000979CF"/>
    <w:rsid w:val="0017572E"/>
    <w:rsid w:val="00250BC1"/>
    <w:rsid w:val="00330F24"/>
    <w:rsid w:val="004A52A6"/>
    <w:rsid w:val="00CF6D0E"/>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77E6"/>
  <w15:chartTrackingRefBased/>
  <w15:docId w15:val="{AA8FB1D3-2D19-4A73-AB66-C04B68C6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24"/>
    <w:rPr>
      <w:rFonts w:eastAsiaTheme="majorEastAsia" w:cstheme="majorBidi"/>
      <w:color w:val="272727" w:themeColor="text1" w:themeTint="D8"/>
    </w:rPr>
  </w:style>
  <w:style w:type="paragraph" w:styleId="Title">
    <w:name w:val="Title"/>
    <w:basedOn w:val="Normal"/>
    <w:next w:val="Normal"/>
    <w:link w:val="TitleChar"/>
    <w:uiPriority w:val="10"/>
    <w:qFormat/>
    <w:rsid w:val="0033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2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30F2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30F24"/>
    <w:pPr>
      <w:spacing w:before="160"/>
      <w:jc w:val="center"/>
    </w:pPr>
    <w:rPr>
      <w:i/>
      <w:iCs/>
      <w:color w:val="000000" w:themeColor="text1"/>
    </w:rPr>
  </w:style>
  <w:style w:type="character" w:customStyle="1" w:styleId="QuoteChar">
    <w:name w:val="Quote Char"/>
    <w:basedOn w:val="DefaultParagraphFont"/>
    <w:link w:val="Quote"/>
    <w:uiPriority w:val="29"/>
    <w:rsid w:val="00330F24"/>
    <w:rPr>
      <w:i/>
      <w:iCs/>
      <w:color w:val="000000" w:themeColor="text1"/>
    </w:rPr>
  </w:style>
  <w:style w:type="paragraph" w:styleId="ListParagraph">
    <w:name w:val="List Paragraph"/>
    <w:basedOn w:val="Normal"/>
    <w:uiPriority w:val="34"/>
    <w:qFormat/>
    <w:rsid w:val="00330F24"/>
    <w:pPr>
      <w:ind w:left="720"/>
      <w:contextualSpacing/>
    </w:pPr>
  </w:style>
  <w:style w:type="character" w:styleId="IntenseEmphasis">
    <w:name w:val="Intense Emphasis"/>
    <w:basedOn w:val="DefaultParagraphFont"/>
    <w:uiPriority w:val="21"/>
    <w:qFormat/>
    <w:rsid w:val="00330F24"/>
    <w:rPr>
      <w:i/>
      <w:iCs/>
      <w:color w:val="0F4761" w:themeColor="accent1" w:themeShade="BF"/>
    </w:rPr>
  </w:style>
  <w:style w:type="paragraph" w:styleId="IntenseQuote">
    <w:name w:val="Intense Quote"/>
    <w:basedOn w:val="Normal"/>
    <w:next w:val="Normal"/>
    <w:link w:val="IntenseQuoteChar"/>
    <w:uiPriority w:val="30"/>
    <w:qFormat/>
    <w:rsid w:val="0033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F24"/>
    <w:rPr>
      <w:i/>
      <w:iCs/>
      <w:color w:val="0F4761" w:themeColor="accent1" w:themeShade="BF"/>
    </w:rPr>
  </w:style>
  <w:style w:type="character" w:styleId="IntenseReference">
    <w:name w:val="Intense Reference"/>
    <w:basedOn w:val="DefaultParagraphFont"/>
    <w:uiPriority w:val="32"/>
    <w:qFormat/>
    <w:rsid w:val="00330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462</Words>
  <Characters>3130</Characters>
  <Application>Microsoft Office Word</Application>
  <DocSecurity>0</DocSecurity>
  <Lines>50</Lines>
  <Paragraphs>10</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2</cp:revision>
  <dcterms:created xsi:type="dcterms:W3CDTF">2025-12-09T01:56:00Z</dcterms:created>
  <dcterms:modified xsi:type="dcterms:W3CDTF">2025-12-13T19:57:00Z</dcterms:modified>
</cp:coreProperties>
</file>