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97D89" w14:textId="634B9CA5" w:rsidR="00354887" w:rsidRDefault="00AC16FB">
      <w:pPr>
        <w:rPr>
          <w:rFonts w:ascii="Arial" w:hAnsi="Arial" w:cs="Arial"/>
          <w:b/>
          <w:sz w:val="26"/>
          <w:szCs w:val="26"/>
        </w:rPr>
      </w:pPr>
      <w:r>
        <w:rPr>
          <w:rFonts w:ascii="Arial" w:hAnsi="Arial" w:cs="Arial"/>
          <w:b/>
          <w:sz w:val="26"/>
          <w:szCs w:val="26"/>
        </w:rPr>
        <w:t xml:space="preserve">Evolution of Gene Regulation between Two Yeast Species </w:t>
      </w:r>
    </w:p>
    <w:p w14:paraId="49126F7B" w14:textId="66C55369" w:rsidR="00AC16FB" w:rsidRPr="00AC16FB" w:rsidRDefault="00AC16FB">
      <w:pPr>
        <w:rPr>
          <w:rFonts w:ascii="Arial" w:hAnsi="Arial" w:cs="Arial"/>
          <w:sz w:val="26"/>
          <w:szCs w:val="26"/>
        </w:rPr>
      </w:pPr>
      <w:r>
        <w:rPr>
          <w:rFonts w:ascii="Arial" w:hAnsi="Arial" w:cs="Arial"/>
          <w:sz w:val="26"/>
          <w:szCs w:val="26"/>
        </w:rPr>
        <w:t>Alexis Weinnig</w:t>
      </w:r>
    </w:p>
    <w:p w14:paraId="4131ECC7" w14:textId="77777777" w:rsidR="00354887" w:rsidRDefault="00354887">
      <w:pPr>
        <w:rPr>
          <w:rFonts w:ascii="Arial" w:hAnsi="Arial" w:cs="Arial"/>
          <w:b/>
          <w:sz w:val="26"/>
          <w:szCs w:val="26"/>
        </w:rPr>
      </w:pPr>
    </w:p>
    <w:p w14:paraId="3355595F" w14:textId="77777777" w:rsidR="005C3B3A" w:rsidRPr="000F3CB4" w:rsidRDefault="000F3CB4">
      <w:pPr>
        <w:rPr>
          <w:rFonts w:ascii="Arial" w:hAnsi="Arial" w:cs="Arial"/>
          <w:b/>
          <w:sz w:val="26"/>
          <w:szCs w:val="26"/>
        </w:rPr>
      </w:pPr>
      <w:r w:rsidRPr="000F3CB4">
        <w:rPr>
          <w:rFonts w:ascii="Arial" w:hAnsi="Arial" w:cs="Arial"/>
          <w:b/>
          <w:sz w:val="26"/>
          <w:szCs w:val="26"/>
        </w:rPr>
        <w:t xml:space="preserve">Introduction </w:t>
      </w:r>
    </w:p>
    <w:p w14:paraId="4B9D1521" w14:textId="7DCCB0F4" w:rsidR="00AE3613" w:rsidRDefault="00AE3613" w:rsidP="00F27266">
      <w:pPr>
        <w:ind w:firstLine="720"/>
        <w:jc w:val="both"/>
        <w:rPr>
          <w:rFonts w:ascii="Arial" w:hAnsi="Arial" w:cs="Arial"/>
        </w:rPr>
      </w:pPr>
      <w:r>
        <w:rPr>
          <w:rFonts w:ascii="Arial" w:hAnsi="Arial" w:cs="Arial"/>
        </w:rPr>
        <w:t xml:space="preserve">Phenotypic divergence is ultimately controlled </w:t>
      </w:r>
      <w:r w:rsidR="0011684C">
        <w:rPr>
          <w:rFonts w:ascii="Arial" w:hAnsi="Arial" w:cs="Arial"/>
        </w:rPr>
        <w:t xml:space="preserve">by the central dogma of biology, meaning a phenotype is determined by what genes are being transcribed and then translated to protein and at what </w:t>
      </w:r>
      <w:r w:rsidR="0011684C" w:rsidRPr="0011684C">
        <w:rPr>
          <w:rFonts w:ascii="Arial" w:hAnsi="Arial" w:cs="Arial"/>
          <w:i/>
        </w:rPr>
        <w:t>rate</w:t>
      </w:r>
      <w:r w:rsidR="0011684C">
        <w:rPr>
          <w:rFonts w:ascii="Arial" w:hAnsi="Arial" w:cs="Arial"/>
        </w:rPr>
        <w:t xml:space="preserve"> this processes is happening. Transcription can be quantified by analyzing the amount of mRNA present in a cell. The more mRNA present for a certain gene, the more that gene was transcribed from the DNA.</w:t>
      </w:r>
      <w:r w:rsidR="00730B80">
        <w:rPr>
          <w:rFonts w:ascii="Arial" w:hAnsi="Arial" w:cs="Arial"/>
        </w:rPr>
        <w:fldChar w:fldCharType="begin" w:fldLock="1"/>
      </w:r>
      <w:r w:rsidR="00686579">
        <w:rPr>
          <w:rFonts w:ascii="Arial" w:hAnsi="Arial" w:cs="Arial"/>
        </w:rPr>
        <w:instrText>ADDIN CSL_CITATION { "citationItems" : [ { "id" : "ITEM-1", "itemData" : { "DOI" : "10.1126/science.aaa8332", "ISSN" : "0036-8075", "author" : [ { "dropping-particle" : "", "family" : "Li", "given" : "J. J.", "non-dropping-particle" : "", "parse-names" : false, "suffix" : "" }, { "dropping-particle" : "", "family" : "Biggin", "given" : "M. D.", "non-dropping-particle" : "", "parse-names" : false, "suffix" : "" } ], "container-title" : "Science", "id" : "ITEM-1", "issue" : "6226", "issued" : { "date-parts" : [ [ "2015", "3", "6" ] ] }, "page" : "1066-1067", "title" : "Statistics requantitates the central dogma", "type" : "article-journal", "volume" : "347" }, "uris" : [ "http://www.mendeley.com/documents/?uuid=6531430a-1fd6-40e1-b727-b39afd3aaa4f" ] } ], "mendeley" : { "formattedCitation" : "&lt;sup&gt;1&lt;/sup&gt;", "plainTextFormattedCitation" : "1", "previouslyFormattedCitation" : "&lt;sup&gt;1&lt;/sup&gt;" }, "properties" : { "noteIndex" : 0 }, "schema" : "https://github.com/citation-style-language/schema/raw/master/csl-citation.json" }</w:instrText>
      </w:r>
      <w:r w:rsidR="00730B80">
        <w:rPr>
          <w:rFonts w:ascii="Arial" w:hAnsi="Arial" w:cs="Arial"/>
        </w:rPr>
        <w:fldChar w:fldCharType="separate"/>
      </w:r>
      <w:r w:rsidR="00730B80" w:rsidRPr="00730B80">
        <w:rPr>
          <w:rFonts w:ascii="Arial" w:hAnsi="Arial" w:cs="Arial"/>
          <w:noProof/>
          <w:vertAlign w:val="superscript"/>
        </w:rPr>
        <w:t>1</w:t>
      </w:r>
      <w:r w:rsidR="00730B80">
        <w:rPr>
          <w:rFonts w:ascii="Arial" w:hAnsi="Arial" w:cs="Arial"/>
        </w:rPr>
        <w:fldChar w:fldCharType="end"/>
      </w:r>
      <w:r w:rsidR="0011684C">
        <w:rPr>
          <w:rFonts w:ascii="Arial" w:hAnsi="Arial" w:cs="Arial"/>
        </w:rPr>
        <w:t xml:space="preserve"> Trans</w:t>
      </w:r>
      <w:r w:rsidR="00730B80">
        <w:rPr>
          <w:rFonts w:ascii="Arial" w:hAnsi="Arial" w:cs="Arial"/>
        </w:rPr>
        <w:t>lation</w:t>
      </w:r>
      <w:r w:rsidR="00DC0976">
        <w:rPr>
          <w:rFonts w:ascii="Arial" w:hAnsi="Arial" w:cs="Arial"/>
        </w:rPr>
        <w:t xml:space="preserve"> can then be quantified through ribosomal profiling and determining ribosomal occupancy. Ribosomal occupancy estimates the relative number of ribosomes translating mRNA from each gene, so the higher the ribosomal occupancy, the higher the protein synthesis from that mRNA</w:t>
      </w:r>
      <w:r w:rsidR="00DC0976">
        <w:rPr>
          <w:rFonts w:ascii="Arial" w:hAnsi="Arial" w:cs="Arial"/>
        </w:rPr>
        <w:fldChar w:fldCharType="begin" w:fldLock="1"/>
      </w:r>
      <w:r w:rsidR="00686579">
        <w:rPr>
          <w:rFonts w:ascii="Arial" w:hAnsi="Arial" w:cs="Arial"/>
        </w:rPr>
        <w:instrText>ADDIN CSL_CITATION { "citationItems" : [ { "id" : "ITEM-1", "itemData" : { "DOI" : "10.1126/science.1168978", "ISBN" : "1095-9203 (Electronic)\\n1095-9203 (Linking)", "ISSN" : "1095-9203", "PMID" : "19213877", "abstract" : "Techniques for systematically monitoring protein translation have lagged far behind methods for measuring messenger RNA (mRNA) levels. Here, we present a ribosome-profiling strategy that is based on the deep sequencing of ribosome-protected mRNA fragments and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in both determining absolute protein abundance and responding to environmental stress. We also observed distinct phases during translation that involve a large decrease in ribosome density going from early to late peptide elongation as well as widespread regulated initiation at non-adenine-uracil-guanine (AUG) codons. Ribosome profiling is readily adaptable to other organisms, making high-precision investigation of protein translation experimentally accessible.", "author" : [ { "dropping-particle" : "", "family" : "Ingolia", "given" : "Nicholas T", "non-dropping-particle" : "", "parse-names" : false, "suffix" : "" }, { "dropping-particle" : "", "family" : "Ghaemmaghami", "given" : "Sina", "non-dropping-particle" : "", "parse-names" : false, "suffix" : "" }, { "dropping-particle" : "", "family" : "Newman", "given" : "John R S", "non-dropping-particle" : "", "parse-names" : false, "suffix" : "" }, { "dropping-particle" : "", "family" : "Weissman", "given" : "Jonathan S", "non-dropping-particle" : "", "parse-names" : false, "suffix" : "" } ], "container-title" : "Science (New York, N.Y.)", "id" : "ITEM-1", "issue" : "5924", "issued" : { "date-parts" : [ [ "2009" ] ] }, "page" : "218-23", "title" : "Genome-wide analysis in vivo of translation with nucleotide resolution using ribosome profiling.", "type" : "article-journal", "volume" : "324" }, "uris" : [ "http://www.mendeley.com/documents/?uuid=35042616-5fa6-4160-9c1a-d0f97201f2e6" ] } ], "mendeley" : { "formattedCitation" : "&lt;sup&gt;2&lt;/sup&gt;", "plainTextFormattedCitation" : "2", "previouslyFormattedCitation" : "&lt;sup&gt;2&lt;/sup&gt;" }, "properties" : { "noteIndex" : 0 }, "schema" : "https://github.com/citation-style-language/schema/raw/master/csl-citation.json" }</w:instrText>
      </w:r>
      <w:r w:rsidR="00DC0976">
        <w:rPr>
          <w:rFonts w:ascii="Arial" w:hAnsi="Arial" w:cs="Arial"/>
        </w:rPr>
        <w:fldChar w:fldCharType="separate"/>
      </w:r>
      <w:r w:rsidR="00730B80" w:rsidRPr="00730B80">
        <w:rPr>
          <w:rFonts w:ascii="Arial" w:hAnsi="Arial" w:cs="Arial"/>
          <w:noProof/>
          <w:vertAlign w:val="superscript"/>
        </w:rPr>
        <w:t>2</w:t>
      </w:r>
      <w:r w:rsidR="00DC0976">
        <w:rPr>
          <w:rFonts w:ascii="Arial" w:hAnsi="Arial" w:cs="Arial"/>
        </w:rPr>
        <w:fldChar w:fldCharType="end"/>
      </w:r>
      <w:r w:rsidR="00DC0976">
        <w:rPr>
          <w:rFonts w:ascii="Arial" w:hAnsi="Arial" w:cs="Arial"/>
        </w:rPr>
        <w:t xml:space="preserve">. </w:t>
      </w:r>
      <w:r w:rsidR="00730B80">
        <w:rPr>
          <w:rFonts w:ascii="Arial" w:hAnsi="Arial" w:cs="Arial"/>
        </w:rPr>
        <w:t xml:space="preserve">Analyzing mRNA expression and translation efficiency (ribosomal occupancy/mRNA) can help to tease apart the evolutionary forces at each stage of gene regulation (transcription and translation) and shed light on the mechanisms behind speciation. </w:t>
      </w:r>
    </w:p>
    <w:p w14:paraId="6C526B80" w14:textId="75AB9478" w:rsidR="000F3CB4" w:rsidRPr="00F57C1E" w:rsidRDefault="006D5FE2" w:rsidP="00F27266">
      <w:pPr>
        <w:ind w:firstLine="720"/>
        <w:jc w:val="both"/>
        <w:rPr>
          <w:rFonts w:ascii="Arial" w:hAnsi="Arial" w:cs="Arial"/>
        </w:rPr>
      </w:pPr>
      <w:r>
        <w:rPr>
          <w:rFonts w:ascii="Arial" w:hAnsi="Arial" w:cs="Arial"/>
        </w:rPr>
        <w:t xml:space="preserve">The </w:t>
      </w:r>
      <w:r w:rsidR="00AC16FB">
        <w:rPr>
          <w:rFonts w:ascii="Arial" w:hAnsi="Arial" w:cs="Arial"/>
        </w:rPr>
        <w:t>subphylum Saccharomycotina</w:t>
      </w:r>
      <w:r>
        <w:rPr>
          <w:rFonts w:ascii="Arial" w:hAnsi="Arial" w:cs="Arial"/>
        </w:rPr>
        <w:t xml:space="preserve"> (</w:t>
      </w:r>
      <w:r>
        <w:rPr>
          <w:rFonts w:ascii="Arial" w:hAnsi="Arial" w:cs="Arial"/>
        </w:rPr>
        <w:t>Hemiascomycete yeasts</w:t>
      </w:r>
      <w:r>
        <w:rPr>
          <w:rFonts w:ascii="Arial" w:hAnsi="Arial" w:cs="Arial"/>
        </w:rPr>
        <w:t xml:space="preserve">), with its short and functional </w:t>
      </w:r>
      <w:r w:rsidR="00387C63">
        <w:rPr>
          <w:rFonts w:ascii="Arial" w:hAnsi="Arial" w:cs="Arial"/>
        </w:rPr>
        <w:t>gene-rich</w:t>
      </w:r>
      <w:r>
        <w:rPr>
          <w:rFonts w:ascii="Arial" w:hAnsi="Arial" w:cs="Arial"/>
        </w:rPr>
        <w:t xml:space="preserve"> genomes, has provided a platform for comparative genomic studies since the early 2000s</w:t>
      </w:r>
      <w:r>
        <w:rPr>
          <w:rFonts w:ascii="Arial" w:hAnsi="Arial" w:cs="Arial"/>
        </w:rPr>
        <w:fldChar w:fldCharType="begin" w:fldLock="1"/>
      </w:r>
      <w:r w:rsidR="00686579">
        <w:rPr>
          <w:rFonts w:ascii="Arial" w:hAnsi="Arial" w:cs="Arial"/>
        </w:rPr>
        <w:instrText>ADDIN CSL_CITATION { "citationItems" : [ { "id" : "ITEM-1", "itemData" : { "DOI" : "10.1016/j.tig.2006.05.007", "ISBN" : "0168-9525 (Print)", "ISSN" : "01689525", "PMID" : "16730849", "abstract" : "Hemiascomycetous yeasts have the greatest number of sequenced species for a single phylum, and are at the forefront of evolutionary genomics of eukaryotes. Yeast genomes show the dynamic interplay between the formation and loss of genes and help to characterize the mechanisms involved and their functional and evolutionary consequences. These mechanisms have equivalents in the genomes of multicellular organisms. Yeast genomes show extensive loss of introns and a reduced role of transposable elements, and so probably have a more limited potential to form novel genes and functions than multicellular organisms, possibly explaining their conserved biological and morphological properties despite their considerable evolutionary range. \u00a9 2006 Elsevier Ltd. All rights reserved.", "author" : [ { "dropping-particle" : "", "family" : "Dujon", "given" : "Bernard", "non-dropping-particle" : "", "parse-names" : false, "suffix" : "" } ], "container-title" : "Trends in Genetics", "id" : "ITEM-1", "issue" : "7", "issued" : { "date-parts" : [ [ "2006" ] ] }, "page" : "375-387", "title" : "Yeasts illustrate the molecular mechanisms of eukaryotic genome evolution", "type" : "article-journal", "volume" : "22" }, "uris" : [ "http://www.mendeley.com/documents/?uuid=6c59fe44-5170-413f-9e61-bb6e3452aaaf" ] }, { "id" : "ITEM-2", "itemData" : { "DOI" : "10.1111/j.1365-2958.2004.04182.x", "ISSN" : "0950-382X", "PMID" : "15228521", "abstract" : "For decades, unicellular yeasts have been general models to help understand the eukaryotic cell and also our own biology. Recently, over a dozen yeast genomes have been sequenced, providing the basis to resolve several complex biological questions. Analysis of the novel sequence data has shown that the minimum number of genes from each species that need to be compared to produce a reliable phylogeny is about 20. Yeast has also become an attractive model to study speciation in eukaryotes, especially to understand molecular mechanisms behind the establishment of reproductive isolation. Comparison of closely related species helps in gene annotation and to answer how many genes there really are within the genomes. Analysis of non-coding regions among closely related species has provided an example of how to determine novel gene regulatory sequences, which were previously difficult to analyse because they are short and degenerate and occupy different positions. Comparative genomics helps to understand the origin of yeasts and points out crucial molecular events in yeast evolutionary history, such as whole-genome duplication and horizontal gene transfer(s). In addition, the accumulating sequence data provide the background to use more yeast species in model studies, to combat pathogens and for efficient manipulation of industrial strains.", "author" : [ { "dropping-particle" : "", "family" : "Piskur", "given" : "Jure", "non-dropping-particle" : "", "parse-names" : false, "suffix" : "" }, { "dropping-particle" : "", "family" : "Langkjaer", "given" : "Rikke B", "non-dropping-particle" : "", "parse-names" : false, "suffix" : "" } ], "container-title" : "Molecular microbiology", "id" : "ITEM-2", "issue" : "2", "issued" : { "date-parts" : [ [ "2004" ] ] }, "page" : "381-9", "title" : "Yeast genome sequencing: the power of comparative genomics.", "type" : "article-journal", "volume" : "53" }, "uris" : [ "http://www.mendeley.com/documents/?uuid=1ecc3a1c-66fc-4af0-9182-c2f9add8fbde" ] } ], "mendeley" : { "formattedCitation" : "&lt;sup&gt;3,4&lt;/sup&gt;", "plainTextFormattedCitation" : "3,4", "previouslyFormattedCitation" : "&lt;sup&gt;3,4&lt;/sup&gt;" }, "properties" : { "noteIndex" : 0 }, "schema" : "https://github.com/citation-style-language/schema/raw/master/csl-citation.json" }</w:instrText>
      </w:r>
      <w:r>
        <w:rPr>
          <w:rFonts w:ascii="Arial" w:hAnsi="Arial" w:cs="Arial"/>
        </w:rPr>
        <w:fldChar w:fldCharType="separate"/>
      </w:r>
      <w:r w:rsidR="00730B80" w:rsidRPr="00730B80">
        <w:rPr>
          <w:rFonts w:ascii="Arial" w:hAnsi="Arial" w:cs="Arial"/>
          <w:noProof/>
          <w:vertAlign w:val="superscript"/>
        </w:rPr>
        <w:t>3,4</w:t>
      </w:r>
      <w:r>
        <w:rPr>
          <w:rFonts w:ascii="Arial" w:hAnsi="Arial" w:cs="Arial"/>
        </w:rPr>
        <w:fldChar w:fldCharType="end"/>
      </w:r>
      <w:r w:rsidR="00DC0976">
        <w:rPr>
          <w:rFonts w:ascii="Arial" w:hAnsi="Arial" w:cs="Arial"/>
        </w:rPr>
        <w:t>.</w:t>
      </w:r>
      <w:r w:rsidR="00D6415E">
        <w:rPr>
          <w:rFonts w:ascii="Arial" w:hAnsi="Arial" w:cs="Arial"/>
        </w:rPr>
        <w:t xml:space="preserve"> Two species within this subphylum, </w:t>
      </w:r>
      <w:r w:rsidR="00D6415E" w:rsidRPr="00286C2E">
        <w:rPr>
          <w:rFonts w:ascii="Arial" w:hAnsi="Arial" w:cs="Arial"/>
          <w:i/>
        </w:rPr>
        <w:t>Saccharomyces cerevisiae</w:t>
      </w:r>
      <w:r w:rsidR="00D6415E">
        <w:rPr>
          <w:rFonts w:ascii="Arial" w:hAnsi="Arial" w:cs="Arial"/>
        </w:rPr>
        <w:t xml:space="preserve"> and </w:t>
      </w:r>
      <w:r w:rsidR="00D6415E" w:rsidRPr="00286C2E">
        <w:rPr>
          <w:rFonts w:ascii="Arial" w:hAnsi="Arial" w:cs="Arial"/>
          <w:i/>
        </w:rPr>
        <w:t>Saccharyomyces paradoxus</w:t>
      </w:r>
      <w:r w:rsidR="00D6415E">
        <w:rPr>
          <w:rFonts w:ascii="Arial" w:hAnsi="Arial" w:cs="Arial"/>
        </w:rPr>
        <w:t>, diverged ~5 million years ago, yet they now occur in sympatry.</w:t>
      </w:r>
      <w:r w:rsidR="00D6415E">
        <w:rPr>
          <w:rFonts w:ascii="Arial" w:hAnsi="Arial" w:cs="Arial"/>
        </w:rPr>
        <w:fldChar w:fldCharType="begin" w:fldLock="1"/>
      </w:r>
      <w:r w:rsidR="00686579">
        <w:rPr>
          <w:rFonts w:ascii="Arial" w:hAnsi="Arial" w:cs="Arial"/>
        </w:rPr>
        <w:instrText>ADDIN CSL_CITATION { "citationItems" : [ { "id" : "ITEM-1", "itemData" : { "DOI" : "10.1016/S1567-1356(01)00043-5", "ISBN" : "10.1111/j.1567-1364.2002.tb00048.x", "ISSN" : "15671356", "PMID" : "12702333", "abstract" : "We report the isolation of multiple strains of Saccharomyces cerevisiae and Saccharomyces paradoxus from a natural woodland site in southeastern Pennsylvania, USA, using enrichment culturing in a medium containing 7.6% (v/v) ethanol. The method was applied to bark and flux material collected from broad-leaved trees (mostly Quercus spp.) and to associated soils. Many candidate wild strains of Saccharomyces were isolated using this method, most of them from soils associated with oaks. Matings to genetically marked tester strains of S. cerevisiae and S. paradoxus identified roughly equal numbers of these two species within this collection. The S. paradoxus isolates showed significant partial reproductive isolation from a conspecific European strain, whereas the S. cerevisiae isolates did not. Variability in both chromosome size and Ty1 element hybridization profiles was observed within both populations at this site. We discuss the relevance of our data to current debates concerning whether S. cerevisiae is a wild species or a domesticated species. ?? 2002 Federation of European Microbiological Societies. on behalf of the Federation of European Biochemical Societies. Published by Elsevier Science B.V. All rights reserved.", "author" : [ { "dropping-particle" : "", "family" : "Sniegowski", "given" : "Paul D.", "non-dropping-particle" : "", "parse-names" : false, "suffix" : "" }, { "dropping-particle" : "", "family" : "Dombrowski", "given" : "Peter G.", "non-dropping-particle" : "", "parse-names" : false, "suffix" : "" }, { "dropping-particle" : "", "family" : "Fingerman", "given" : "Ethan", "non-dropping-particle" : "", "parse-names" : false, "suffix" : "" } ], "container-title" : "FEMS Yeast Research", "id" : "ITEM-1", "issue" : "4", "issued" : { "date-parts" : [ [ "2002" ] ] }, "page" : "299-306", "title" : "Saccharomyces cerevisiae and Saccharomyces paradoxus coexist in a natural woodland site in North America and display different levels of reproductive isolation from European conspecifics", "type" : "article-journal", "volume" : "1" }, "uris" : [ "http://www.mendeley.com/documents/?uuid=97ecd5fa-d3d8-4590-8ae5-bfc72c8d20d6" ] } ], "mendeley" : { "formattedCitation" : "&lt;sup&gt;5&lt;/sup&gt;", "plainTextFormattedCitation" : "5", "previouslyFormattedCitation" : "&lt;sup&gt;5&lt;/sup&gt;" }, "properties" : { "noteIndex" : 0 }, "schema" : "https://github.com/citation-style-language/schema/raw/master/csl-citation.json" }</w:instrText>
      </w:r>
      <w:r w:rsidR="00D6415E">
        <w:rPr>
          <w:rFonts w:ascii="Arial" w:hAnsi="Arial" w:cs="Arial"/>
        </w:rPr>
        <w:fldChar w:fldCharType="separate"/>
      </w:r>
      <w:r w:rsidR="00730B80" w:rsidRPr="00730B80">
        <w:rPr>
          <w:rFonts w:ascii="Arial" w:hAnsi="Arial" w:cs="Arial"/>
          <w:noProof/>
          <w:vertAlign w:val="superscript"/>
        </w:rPr>
        <w:t>5</w:t>
      </w:r>
      <w:r w:rsidR="00D6415E">
        <w:rPr>
          <w:rFonts w:ascii="Arial" w:hAnsi="Arial" w:cs="Arial"/>
        </w:rPr>
        <w:fldChar w:fldCharType="end"/>
      </w:r>
      <w:r w:rsidR="00603BD1">
        <w:rPr>
          <w:rFonts w:ascii="Arial" w:hAnsi="Arial" w:cs="Arial"/>
        </w:rPr>
        <w:t xml:space="preserve"> Scannell </w:t>
      </w:r>
      <w:r w:rsidR="00603BD1" w:rsidRPr="00AE3613">
        <w:rPr>
          <w:rFonts w:ascii="Arial" w:hAnsi="Arial" w:cs="Arial"/>
          <w:i/>
        </w:rPr>
        <w:t>et al.</w:t>
      </w:r>
      <w:r w:rsidR="00603BD1">
        <w:rPr>
          <w:rFonts w:ascii="Arial" w:hAnsi="Arial" w:cs="Arial"/>
        </w:rPr>
        <w:t xml:space="preserve"> (2011) furthered the field of comparative genomics by generating three new genomes (</w:t>
      </w:r>
      <w:r w:rsidR="00603BD1" w:rsidRPr="00603BD1">
        <w:rPr>
          <w:rFonts w:ascii="Arial" w:hAnsi="Arial" w:cs="Arial"/>
          <w:i/>
        </w:rPr>
        <w:t>S. bayanus var. uvarum, S. kudriavzevii</w:t>
      </w:r>
      <w:r w:rsidR="00603BD1">
        <w:rPr>
          <w:rFonts w:ascii="Arial" w:hAnsi="Arial" w:cs="Arial"/>
        </w:rPr>
        <w:t xml:space="preserve">, and </w:t>
      </w:r>
      <w:r w:rsidR="00603BD1" w:rsidRPr="00603BD1">
        <w:rPr>
          <w:rFonts w:ascii="Arial" w:hAnsi="Arial" w:cs="Arial"/>
          <w:i/>
        </w:rPr>
        <w:t>S. mikatae</w:t>
      </w:r>
      <w:r w:rsidR="00603BD1">
        <w:rPr>
          <w:rFonts w:ascii="Arial" w:hAnsi="Arial" w:cs="Arial"/>
        </w:rPr>
        <w:t xml:space="preserve">) and comparing them to both </w:t>
      </w:r>
      <w:r w:rsidR="00603BD1" w:rsidRPr="00603BD1">
        <w:rPr>
          <w:rFonts w:ascii="Arial" w:hAnsi="Arial" w:cs="Arial"/>
          <w:i/>
        </w:rPr>
        <w:t>S. cerevisiae</w:t>
      </w:r>
      <w:r w:rsidR="00603BD1">
        <w:rPr>
          <w:rFonts w:ascii="Arial" w:hAnsi="Arial" w:cs="Arial"/>
        </w:rPr>
        <w:t xml:space="preserve"> and </w:t>
      </w:r>
      <w:r w:rsidR="00603BD1" w:rsidRPr="00603BD1">
        <w:rPr>
          <w:rFonts w:ascii="Arial" w:hAnsi="Arial" w:cs="Arial"/>
          <w:i/>
        </w:rPr>
        <w:t>S. paradoxus</w:t>
      </w:r>
      <w:r w:rsidR="00603BD1">
        <w:rPr>
          <w:rFonts w:ascii="Arial" w:hAnsi="Arial" w:cs="Arial"/>
        </w:rPr>
        <w:t>. This advanced the annotation of the existing genomes and provided an</w:t>
      </w:r>
      <w:r w:rsidR="00603BD1">
        <w:rPr>
          <w:rFonts w:ascii="Arial" w:hAnsi="Arial" w:cs="Arial"/>
        </w:rPr>
        <w:t xml:space="preserve"> invaluable tool for comparative genomic studies</w:t>
      </w:r>
      <w:r w:rsidR="00603BD1">
        <w:rPr>
          <w:rFonts w:ascii="Arial" w:hAnsi="Arial" w:cs="Arial"/>
        </w:rPr>
        <w:t xml:space="preserve"> through the genus </w:t>
      </w:r>
      <w:r w:rsidR="00603BD1" w:rsidRPr="00603BD1">
        <w:rPr>
          <w:rFonts w:ascii="Arial" w:hAnsi="Arial" w:cs="Arial"/>
          <w:i/>
        </w:rPr>
        <w:t>S. sensu strico</w:t>
      </w:r>
      <w:r w:rsidR="00AE3613">
        <w:rPr>
          <w:rFonts w:ascii="Arial" w:hAnsi="Arial" w:cs="Arial"/>
        </w:rPr>
        <w:fldChar w:fldCharType="begin" w:fldLock="1"/>
      </w:r>
      <w:r w:rsidR="00686579">
        <w:rPr>
          <w:rFonts w:ascii="Arial" w:hAnsi="Arial" w:cs="Arial"/>
        </w:rPr>
        <w:instrText>ADDIN CSL_CITATION { "citationItems" : [ { "id" : "ITEM-1", "itemData" : { "DOI" : "10.1534/g3.111.000273", "ISBN" : "2160-1836 (Electronic)\\r2160-1836 (Linking)", "ISSN" : "2160-1836", "PMID" : "22384314", "abstract" : "High-quality, well-annotated genome sequences and standardized laboratory strains fuel experimental and evolutionary research. We present improved genome sequences of three species of Saccharomyces sensu stricto yeasts: S. bayanus var. uvarum (CBS 7001), S. kudriavzevii (IFO 1802(T) and ZP 591), and S. mikatae (IFO 1815(T)), and describe their comparison to the genomes of S. cerevisiae and S. paradoxus. The new sequences, derived by assembling millions of short DNA sequence reads together with previously published Sanger shotgun reads, have vastly greater long-range continuity and far fewer gaps than the previously available genome sequences. New gene predictions defined a set of 5261 protein-coding orthologs across the five most commonly studied Saccharomyces yeasts, enabling a re-examination of the tempo and mode of yeast gene evolution and improved inferences of species-specific gains and losses. To facilitate experimental investigations, we generated genetically marked, stable haploid strains for all three of these Saccharomyces species. These nearly complete genome sequences and the collection of genetically marked strains provide a valuable toolset for comparative studies of gene function, metabolism, and evolution, and render Saccharomyces sensu stricto the most experimentally tractable model genus. These resources are freely available and accessible through www.SaccharomycesSensuStricto.org.", "author" : [ { "dropping-particle" : "", "family" : "Scannell", "given" : "Devin R", "non-dropping-particle" : "", "parse-names" : false, "suffix" : "" }, { "dropping-particle" : "", "family" : "Zill", "given" : "Oliver A", "non-dropping-particle" : "", "parse-names" : false, "suffix" : "" }, { "dropping-particle" : "", "family" : "Rokas", "given" : "Antonis", "non-dropping-particle" : "", "parse-names" : false, "suffix" : "" }, { "dropping-particle" : "", "family" : "Payen", "given" : "Celia", "non-dropping-particle" : "", "parse-names" : false, "suffix" : "" }, { "dropping-particle" : "", "family" : "Dunham", "given" : "Maitreya J", "non-dropping-particle" : "", "parse-names" : false, "suffix" : "" }, { "dropping-particle" : "", "family" : "Eisen", "given" : "Michael B", "non-dropping-particle" : "", "parse-names" : false, "suffix" : "" }, { "dropping-particle" : "", "family" : "Rine", "given" : "Jasper", "non-dropping-particle" : "", "parse-names" : false, "suffix" : "" }, { "dropping-particle" : "", "family" : "Johnston", "given" : "Mark", "non-dropping-particle" : "", "parse-names" : false, "suffix" : "" }, { "dropping-particle" : "", "family" : "Hittinger", "given" : "Chris Todd", "non-dropping-particle" : "", "parse-names" : false, "suffix" : "" } ], "container-title" : "G3 (Bethesda, Md.)", "id" : "ITEM-1", "issue" : "1", "issued" : { "date-parts" : [ [ "2011" ] ] }, "page" : "11-25", "title" : "The Awesome Power of Yeast Evolutionary Genetics: New Genome Sequences and Strain Resources for the Saccharomyces sensu stricto Genus.", "type" : "article-journal", "volume" : "1" }, "uris" : [ "http://www.mendeley.com/documents/?uuid=8a2634f0-8b01-4f57-9891-4818451ebb91" ] } ], "mendeley" : { "formattedCitation" : "&lt;sup&gt;6&lt;/sup&gt;", "plainTextFormattedCitation" : "6", "previouslyFormattedCitation" : "&lt;sup&gt;6&lt;/sup&gt;" }, "properties" : { "noteIndex" : 0 }, "schema" : "https://github.com/citation-style-language/schema/raw/master/csl-citation.json" }</w:instrText>
      </w:r>
      <w:r w:rsidR="00AE3613">
        <w:rPr>
          <w:rFonts w:ascii="Arial" w:hAnsi="Arial" w:cs="Arial"/>
        </w:rPr>
        <w:fldChar w:fldCharType="separate"/>
      </w:r>
      <w:r w:rsidR="00730B80" w:rsidRPr="00730B80">
        <w:rPr>
          <w:rFonts w:ascii="Arial" w:hAnsi="Arial" w:cs="Arial"/>
          <w:noProof/>
          <w:vertAlign w:val="superscript"/>
        </w:rPr>
        <w:t>6</w:t>
      </w:r>
      <w:r w:rsidR="00AE3613">
        <w:rPr>
          <w:rFonts w:ascii="Arial" w:hAnsi="Arial" w:cs="Arial"/>
        </w:rPr>
        <w:fldChar w:fldCharType="end"/>
      </w:r>
      <w:r w:rsidR="00DC0976">
        <w:rPr>
          <w:rFonts w:ascii="Arial" w:hAnsi="Arial" w:cs="Arial"/>
        </w:rPr>
        <w:t>.</w:t>
      </w:r>
      <w:r w:rsidR="00AE3613">
        <w:rPr>
          <w:rFonts w:ascii="Arial" w:hAnsi="Arial" w:cs="Arial"/>
        </w:rPr>
        <w:t xml:space="preserve"> Numerous studies have utilized this data to perform analyses on metabolism, gene function, and evolution; including ribosome profiling work by McManus </w:t>
      </w:r>
      <w:r w:rsidR="00AE3613" w:rsidRPr="00AE3613">
        <w:rPr>
          <w:rFonts w:ascii="Arial" w:hAnsi="Arial" w:cs="Arial"/>
          <w:i/>
        </w:rPr>
        <w:t>et al</w:t>
      </w:r>
      <w:r w:rsidR="00AE3613">
        <w:rPr>
          <w:rFonts w:ascii="Arial" w:hAnsi="Arial" w:cs="Arial"/>
        </w:rPr>
        <w:t>. (2014)</w:t>
      </w:r>
      <w:r w:rsidR="00AE3613">
        <w:rPr>
          <w:rFonts w:ascii="Arial" w:hAnsi="Arial" w:cs="Arial"/>
        </w:rPr>
        <w:fldChar w:fldCharType="begin" w:fldLock="1"/>
      </w:r>
      <w:r w:rsidR="00686579">
        <w:rPr>
          <w:rFonts w:ascii="Arial" w:hAnsi="Arial" w:cs="Arial"/>
        </w:rPr>
        <w:instrText>ADDIN CSL_CITATION { "citationItems" : [ { "id" : "ITEM-1", "itemData" : { "DOI" : "10.1101/gr.164996.113", "ISBN" : "1549-5469 (Electronic)\\r1088-9051 (Linking)", "ISSN" : "15495469", "PMID" : "24318730", "abstract" : "Understanding the patterns and causes of phenotypic divergence is a central goal in evolutionary biology. Much work has shown that mRNA abundance is highly variable between closely related species. However, the extent and mechanisms of post-transcriptional gene regulatory evolution are largely unknown. Here we used ribosome profiling to compare transcript abundance and translation efficiency in two closely related yeast species (S. cerevisiae and S. paradoxus). By comparing translation regulatory divergence to interspecies differences in mRNA sequence features, we show that differences in transcript leaders and codon bias substantially contribute to divergent translation. Globally, we find that translation regulatory divergence often buffers species-differences in mRNA abundance, such that ribosome occupancy is more conserved than transcript abundance. We used allele-specific ribosome profiling in interspecies hybrids to compare the relative contributions of cis- and trans-regulatory divergence to species differences in mRNA abundance and translation efficiency. The mode of gene regulatory divergence differs for these processes, as trans-regulatory changes play a greater role in divergent mRNA abundance than in divergent translation efficiency. Strikingly, most genes with aberrant transcript abundance in F1 hybrids (either over- or under-expressed compared to both parent species) did not exhibit aberrant ribosome occupancy. Our results show that interspecies differences in translation contribute substantially to the evolution of gene expression. Compensatory differences in transcript abundance and translation efficiency may increase the robustness of gene regulation.", "author" : [ { "dropping-particle" : "", "family" : "McManus", "given" : "C. Joel", "non-dropping-particle" : "", "parse-names" : false, "suffix" : "" }, { "dropping-particle" : "", "family" : "May", "given" : "Gemma E.", "non-dropping-particle" : "", "parse-names" : false, "suffix" : "" }, { "dropping-particle" : "", "family" : "Spealman", "given" : "Pieter", "non-dropping-particle" : "", "parse-names" : false, "suffix" : "" }, { "dropping-particle" : "", "family" : "Shteyman", "given" : "Alan", "non-dropping-particle" : "", "parse-names" : false, "suffix" : "" } ], "container-title" : "Genome Research", "id" : "ITEM-1", "issue" : "3", "issued" : { "date-parts" : [ [ "2014" ] ] }, "page" : "422-430", "title" : "Ribosome profiling reveals post-transcriptional buffering of divergent gene expression in yeast", "type" : "article-journal", "volume" : "24" }, "uris" : [ "http://www.mendeley.com/documents/?uuid=0b9f277a-8118-46eb-8a09-1bcba1a37d1f" ] } ], "mendeley" : { "formattedCitation" : "&lt;sup&gt;7&lt;/sup&gt;", "plainTextFormattedCitation" : "7", "previouslyFormattedCitation" : "&lt;sup&gt;7&lt;/sup&gt;" }, "properties" : { "noteIndex" : 0 }, "schema" : "https://github.com/citation-style-language/schema/raw/master/csl-citation.json" }</w:instrText>
      </w:r>
      <w:r w:rsidR="00AE3613">
        <w:rPr>
          <w:rFonts w:ascii="Arial" w:hAnsi="Arial" w:cs="Arial"/>
        </w:rPr>
        <w:fldChar w:fldCharType="separate"/>
      </w:r>
      <w:r w:rsidR="00730B80" w:rsidRPr="00730B80">
        <w:rPr>
          <w:rFonts w:ascii="Arial" w:hAnsi="Arial" w:cs="Arial"/>
          <w:noProof/>
          <w:vertAlign w:val="superscript"/>
        </w:rPr>
        <w:t>7</w:t>
      </w:r>
      <w:r w:rsidR="00AE3613">
        <w:rPr>
          <w:rFonts w:ascii="Arial" w:hAnsi="Arial" w:cs="Arial"/>
        </w:rPr>
        <w:fldChar w:fldCharType="end"/>
      </w:r>
      <w:r w:rsidR="00DC0976">
        <w:rPr>
          <w:rFonts w:ascii="Arial" w:hAnsi="Arial" w:cs="Arial"/>
        </w:rPr>
        <w:t>.</w:t>
      </w:r>
      <w:r w:rsidR="00AE3613">
        <w:rPr>
          <w:rFonts w:ascii="Arial" w:hAnsi="Arial" w:cs="Arial"/>
        </w:rPr>
        <w:t xml:space="preserve"> We utilized part of the data set (mRNA</w:t>
      </w:r>
      <w:r w:rsidR="009C4454">
        <w:rPr>
          <w:rFonts w:ascii="Arial" w:hAnsi="Arial" w:cs="Arial"/>
        </w:rPr>
        <w:t>-S</w:t>
      </w:r>
      <w:r w:rsidR="00AE3613">
        <w:rPr>
          <w:rFonts w:ascii="Arial" w:hAnsi="Arial" w:cs="Arial"/>
        </w:rPr>
        <w:t xml:space="preserve">eq and ribosomal profiling data) from </w:t>
      </w:r>
      <w:r w:rsidR="00AE3613">
        <w:rPr>
          <w:rFonts w:ascii="Arial" w:hAnsi="Arial" w:cs="Arial"/>
        </w:rPr>
        <w:t xml:space="preserve">McManus </w:t>
      </w:r>
      <w:r w:rsidR="00AE3613" w:rsidRPr="00AE3613">
        <w:rPr>
          <w:rFonts w:ascii="Arial" w:hAnsi="Arial" w:cs="Arial"/>
          <w:i/>
        </w:rPr>
        <w:t>et al</w:t>
      </w:r>
      <w:r w:rsidR="00AE3613">
        <w:rPr>
          <w:rFonts w:ascii="Arial" w:hAnsi="Arial" w:cs="Arial"/>
        </w:rPr>
        <w:t>. (2014)</w:t>
      </w:r>
      <w:r w:rsidR="00AE3613">
        <w:rPr>
          <w:rFonts w:ascii="Arial" w:hAnsi="Arial" w:cs="Arial"/>
        </w:rPr>
        <w:t xml:space="preserve"> to investigate how evolution occurred at the transcriptional and translational level between </w:t>
      </w:r>
      <w:r w:rsidR="00AE3613">
        <w:rPr>
          <w:rFonts w:ascii="Arial" w:hAnsi="Arial" w:cs="Arial"/>
          <w:i/>
        </w:rPr>
        <w:t>S.</w:t>
      </w:r>
      <w:r w:rsidR="00AE3613" w:rsidRPr="00286C2E">
        <w:rPr>
          <w:rFonts w:ascii="Arial" w:hAnsi="Arial" w:cs="Arial"/>
          <w:i/>
        </w:rPr>
        <w:t xml:space="preserve"> cerevisiae</w:t>
      </w:r>
      <w:r w:rsidR="00AE3613">
        <w:rPr>
          <w:rFonts w:ascii="Arial" w:hAnsi="Arial" w:cs="Arial"/>
        </w:rPr>
        <w:t xml:space="preserve"> and </w:t>
      </w:r>
      <w:r w:rsidR="00AE3613">
        <w:rPr>
          <w:rFonts w:ascii="Arial" w:hAnsi="Arial" w:cs="Arial"/>
          <w:i/>
        </w:rPr>
        <w:t>S.</w:t>
      </w:r>
      <w:r w:rsidR="00AE3613" w:rsidRPr="00286C2E">
        <w:rPr>
          <w:rFonts w:ascii="Arial" w:hAnsi="Arial" w:cs="Arial"/>
          <w:i/>
        </w:rPr>
        <w:t xml:space="preserve"> paradoxus</w:t>
      </w:r>
      <w:r w:rsidR="00AE3613">
        <w:rPr>
          <w:rFonts w:ascii="Arial" w:hAnsi="Arial" w:cs="Arial"/>
          <w:i/>
        </w:rPr>
        <w:t>.</w:t>
      </w:r>
      <w:r w:rsidR="00F57C1E">
        <w:rPr>
          <w:rFonts w:ascii="Arial" w:hAnsi="Arial" w:cs="Arial"/>
          <w:i/>
        </w:rPr>
        <w:t xml:space="preserve"> </w:t>
      </w:r>
      <w:r w:rsidR="00F57C1E">
        <w:rPr>
          <w:rFonts w:ascii="Arial" w:hAnsi="Arial" w:cs="Arial"/>
        </w:rPr>
        <w:t xml:space="preserve">Taking it a step further, we investigate which “mode” of regulatory evolution (coordinated or compensatory) </w:t>
      </w:r>
      <w:r w:rsidR="00CB2D05">
        <w:rPr>
          <w:rFonts w:ascii="Arial" w:hAnsi="Arial" w:cs="Arial"/>
        </w:rPr>
        <w:t xml:space="preserve">has acted upon each gene, aiming to improve the understanding of the roles played by the evolution of gene regulatory mechanisms, which contributed to the divergence of these two species. </w:t>
      </w:r>
    </w:p>
    <w:p w14:paraId="149F3018" w14:textId="77777777" w:rsidR="007E5800" w:rsidRPr="000F3CB4" w:rsidRDefault="007E5800">
      <w:pPr>
        <w:rPr>
          <w:rFonts w:ascii="Arial" w:hAnsi="Arial" w:cs="Arial"/>
        </w:rPr>
      </w:pPr>
    </w:p>
    <w:p w14:paraId="30F2ED1C" w14:textId="77777777" w:rsidR="000F3CB4" w:rsidRDefault="000F3CB4">
      <w:pPr>
        <w:rPr>
          <w:rFonts w:ascii="Arial" w:hAnsi="Arial" w:cs="Arial"/>
          <w:b/>
          <w:sz w:val="26"/>
          <w:szCs w:val="26"/>
        </w:rPr>
      </w:pPr>
      <w:r w:rsidRPr="000F3CB4">
        <w:rPr>
          <w:rFonts w:ascii="Arial" w:hAnsi="Arial" w:cs="Arial"/>
          <w:b/>
          <w:sz w:val="26"/>
          <w:szCs w:val="26"/>
        </w:rPr>
        <w:t xml:space="preserve">Methods </w:t>
      </w:r>
    </w:p>
    <w:p w14:paraId="23030BC3" w14:textId="77777777" w:rsidR="00AC4050" w:rsidRPr="000F3CB4" w:rsidRDefault="00AC4050">
      <w:pPr>
        <w:rPr>
          <w:rFonts w:ascii="Arial" w:hAnsi="Arial" w:cs="Arial"/>
          <w:b/>
          <w:sz w:val="26"/>
          <w:szCs w:val="26"/>
        </w:rPr>
      </w:pPr>
    </w:p>
    <w:p w14:paraId="727F1C51" w14:textId="02481966" w:rsidR="000F3CB4" w:rsidRPr="00354887" w:rsidRDefault="000F3CB4">
      <w:pPr>
        <w:rPr>
          <w:rFonts w:ascii="Arial" w:hAnsi="Arial" w:cs="Arial"/>
          <w:i/>
        </w:rPr>
      </w:pPr>
      <w:r w:rsidRPr="00354887">
        <w:rPr>
          <w:rFonts w:ascii="Arial" w:hAnsi="Arial" w:cs="Arial"/>
          <w:i/>
        </w:rPr>
        <w:t xml:space="preserve">Sequence data acquisition </w:t>
      </w:r>
      <w:r w:rsidR="00AC4050">
        <w:rPr>
          <w:rFonts w:ascii="Arial" w:hAnsi="Arial" w:cs="Arial"/>
          <w:i/>
        </w:rPr>
        <w:t xml:space="preserve">and </w:t>
      </w:r>
      <w:r w:rsidR="00AC4050" w:rsidRPr="00354887">
        <w:rPr>
          <w:rFonts w:ascii="Arial" w:hAnsi="Arial" w:cs="Arial"/>
          <w:i/>
        </w:rPr>
        <w:t>alignment</w:t>
      </w:r>
    </w:p>
    <w:p w14:paraId="116E44C4" w14:textId="41737642" w:rsidR="000F3CB4" w:rsidRDefault="00286C2E" w:rsidP="00F27266">
      <w:pPr>
        <w:ind w:firstLine="720"/>
        <w:jc w:val="both"/>
        <w:rPr>
          <w:rFonts w:ascii="Arial" w:hAnsi="Arial" w:cs="Arial"/>
        </w:rPr>
      </w:pPr>
      <w:r>
        <w:rPr>
          <w:rFonts w:ascii="Arial" w:hAnsi="Arial" w:cs="Arial"/>
        </w:rPr>
        <w:t xml:space="preserve">mRNAseq and ribosomal profiling data from two yeast strains, </w:t>
      </w:r>
      <w:r w:rsidR="00D6415E">
        <w:rPr>
          <w:rFonts w:ascii="Arial" w:hAnsi="Arial" w:cs="Arial"/>
          <w:i/>
        </w:rPr>
        <w:t>S.</w:t>
      </w:r>
      <w:r w:rsidRPr="00286C2E">
        <w:rPr>
          <w:rFonts w:ascii="Arial" w:hAnsi="Arial" w:cs="Arial"/>
          <w:i/>
        </w:rPr>
        <w:t xml:space="preserve"> cerevisiae</w:t>
      </w:r>
      <w:r>
        <w:rPr>
          <w:rFonts w:ascii="Arial" w:hAnsi="Arial" w:cs="Arial"/>
        </w:rPr>
        <w:t xml:space="preserve"> and </w:t>
      </w:r>
      <w:r w:rsidR="00D6415E">
        <w:rPr>
          <w:rFonts w:ascii="Arial" w:hAnsi="Arial" w:cs="Arial"/>
          <w:i/>
        </w:rPr>
        <w:t>S.</w:t>
      </w:r>
      <w:r w:rsidRPr="00286C2E">
        <w:rPr>
          <w:rFonts w:ascii="Arial" w:hAnsi="Arial" w:cs="Arial"/>
          <w:i/>
        </w:rPr>
        <w:t xml:space="preserve"> paradoxus</w:t>
      </w:r>
      <w:r>
        <w:rPr>
          <w:rFonts w:ascii="Arial" w:hAnsi="Arial" w:cs="Arial"/>
        </w:rPr>
        <w:t xml:space="preserve"> was provided from McManus et al (2014). </w:t>
      </w:r>
      <w:r w:rsidR="00AC4050">
        <w:rPr>
          <w:rFonts w:ascii="Arial" w:hAnsi="Arial" w:cs="Arial"/>
        </w:rPr>
        <w:t xml:space="preserve">Transcriptomes for each yeast strain were generated from the complete genomes using bed files containing gene coordinates. The was accomplished using a python script that read the genome in as a dictionary, using the chromosome number as the key. Then each gene was extracted from its respective chromosome using the start and stop positions identified in the bed file. All genes </w:t>
      </w:r>
      <w:r w:rsidR="00AF60ED">
        <w:rPr>
          <w:rFonts w:ascii="Arial" w:hAnsi="Arial" w:cs="Arial"/>
        </w:rPr>
        <w:t xml:space="preserve">names and </w:t>
      </w:r>
      <w:r w:rsidR="00AC4050">
        <w:rPr>
          <w:rFonts w:ascii="Arial" w:hAnsi="Arial" w:cs="Arial"/>
        </w:rPr>
        <w:t xml:space="preserve">sequences were </w:t>
      </w:r>
      <w:r w:rsidR="00AF60ED">
        <w:rPr>
          <w:rFonts w:ascii="Arial" w:hAnsi="Arial" w:cs="Arial"/>
        </w:rPr>
        <w:t>concatenated in a fasta file. The transcriptome files were then indexed and the indexed transcriptomes were used to quantify expression of both the mRNA and ribosomal profiling data of both yeast strains using kallisto</w:t>
      </w:r>
      <w:r w:rsidR="00B7779F">
        <w:rPr>
          <w:rFonts w:ascii="Arial" w:hAnsi="Arial" w:cs="Arial"/>
        </w:rPr>
        <w:fldChar w:fldCharType="begin" w:fldLock="1"/>
      </w:r>
      <w:r w:rsidR="00686579">
        <w:rPr>
          <w:rFonts w:ascii="Arial" w:hAnsi="Arial" w:cs="Arial"/>
        </w:rPr>
        <w:instrText>ADDIN CSL_CITATION { "citationItems" : [ { "id" : "ITEM-1", "itemData" : { "DOI" : "10.1038/nbt.3519", "ISBN" : "1546-1696 (Electronic)\r1087-0156 (Linking)", "ISSN" : "1087-0156", "PMID" : "27043002",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 ] }, "page" : "525-527", "title" : "Near-optimal probabilistic RNA-seq quantification", "type" : "article-journal", "volume" : "34" }, "uris" : [ "http://www.mendeley.com/documents/?uuid=c14f0c1f-b4a4-42df-b62f-fe7468de050f" ] } ], "mendeley" : { "formattedCitation" : "&lt;sup&gt;8&lt;/sup&gt;", "plainTextFormattedCitation" : "8", "previouslyFormattedCitation" : "&lt;sup&gt;8&lt;/sup&gt;" }, "properties" : { "noteIndex" : 0 }, "schema" : "https://github.com/citation-style-language/schema/raw/master/csl-citation.json" }</w:instrText>
      </w:r>
      <w:r w:rsidR="00B7779F">
        <w:rPr>
          <w:rFonts w:ascii="Arial" w:hAnsi="Arial" w:cs="Arial"/>
        </w:rPr>
        <w:fldChar w:fldCharType="separate"/>
      </w:r>
      <w:r w:rsidR="00730B80" w:rsidRPr="00730B80">
        <w:rPr>
          <w:rFonts w:ascii="Arial" w:hAnsi="Arial" w:cs="Arial"/>
          <w:noProof/>
          <w:vertAlign w:val="superscript"/>
        </w:rPr>
        <w:t>8</w:t>
      </w:r>
      <w:r w:rsidR="00B7779F">
        <w:rPr>
          <w:rFonts w:ascii="Arial" w:hAnsi="Arial" w:cs="Arial"/>
        </w:rPr>
        <w:fldChar w:fldCharType="end"/>
      </w:r>
      <w:r w:rsidR="00DC0976">
        <w:rPr>
          <w:rFonts w:ascii="Arial" w:hAnsi="Arial" w:cs="Arial"/>
        </w:rPr>
        <w:t>.</w:t>
      </w:r>
      <w:r w:rsidR="00AF60ED">
        <w:rPr>
          <w:rFonts w:ascii="Arial" w:hAnsi="Arial" w:cs="Arial"/>
        </w:rPr>
        <w:t xml:space="preserve"> </w:t>
      </w:r>
    </w:p>
    <w:p w14:paraId="0790F821" w14:textId="77777777" w:rsidR="000F3CB4" w:rsidRDefault="000F3CB4">
      <w:pPr>
        <w:rPr>
          <w:rFonts w:ascii="Arial" w:hAnsi="Arial" w:cs="Arial"/>
        </w:rPr>
      </w:pPr>
    </w:p>
    <w:p w14:paraId="461AF4F3" w14:textId="77777777" w:rsidR="00F27266" w:rsidRDefault="00F27266">
      <w:pPr>
        <w:rPr>
          <w:rFonts w:ascii="Arial" w:hAnsi="Arial" w:cs="Arial"/>
          <w:i/>
        </w:rPr>
      </w:pPr>
    </w:p>
    <w:p w14:paraId="1333E605" w14:textId="77777777" w:rsidR="00F27266" w:rsidRDefault="00F27266">
      <w:pPr>
        <w:rPr>
          <w:rFonts w:ascii="Arial" w:hAnsi="Arial" w:cs="Arial"/>
          <w:i/>
        </w:rPr>
      </w:pPr>
    </w:p>
    <w:p w14:paraId="490C1C31" w14:textId="77777777" w:rsidR="00F27266" w:rsidRDefault="00F27266">
      <w:pPr>
        <w:rPr>
          <w:rFonts w:ascii="Arial" w:hAnsi="Arial" w:cs="Arial"/>
          <w:i/>
        </w:rPr>
      </w:pPr>
    </w:p>
    <w:p w14:paraId="5F8BBC0A" w14:textId="77777777" w:rsidR="000F3CB4" w:rsidRPr="00354887" w:rsidRDefault="000F3CB4">
      <w:pPr>
        <w:rPr>
          <w:rFonts w:ascii="Arial" w:hAnsi="Arial" w:cs="Arial"/>
          <w:i/>
        </w:rPr>
      </w:pPr>
      <w:r w:rsidRPr="00354887">
        <w:rPr>
          <w:rFonts w:ascii="Arial" w:hAnsi="Arial" w:cs="Arial"/>
          <w:i/>
        </w:rPr>
        <w:lastRenderedPageBreak/>
        <w:t xml:space="preserve">Gene expression analyses </w:t>
      </w:r>
    </w:p>
    <w:p w14:paraId="0EB9B25D" w14:textId="77777777" w:rsidR="000F3CB4" w:rsidRDefault="000F3CB4">
      <w:pPr>
        <w:rPr>
          <w:rFonts w:ascii="Arial" w:hAnsi="Arial" w:cs="Arial"/>
        </w:rPr>
      </w:pPr>
    </w:p>
    <w:p w14:paraId="607C2F74" w14:textId="70BDDDC1" w:rsidR="002369A3" w:rsidRDefault="00B7779F" w:rsidP="00F27266">
      <w:pPr>
        <w:jc w:val="both"/>
        <w:rPr>
          <w:rFonts w:ascii="Arial" w:hAnsi="Arial" w:cs="Arial"/>
        </w:rPr>
      </w:pPr>
      <w:r>
        <w:rPr>
          <w:rFonts w:ascii="Arial" w:hAnsi="Arial" w:cs="Arial"/>
        </w:rPr>
        <w:tab/>
        <w:t xml:space="preserve">The mRNA differential gene expression and differential ribosomal occupancy </w:t>
      </w:r>
      <w:r w:rsidR="00931A19">
        <w:rPr>
          <w:rFonts w:ascii="Arial" w:hAnsi="Arial" w:cs="Arial"/>
        </w:rPr>
        <w:t xml:space="preserve">(RPF) between species </w:t>
      </w:r>
      <w:r>
        <w:rPr>
          <w:rFonts w:ascii="Arial" w:hAnsi="Arial" w:cs="Arial"/>
        </w:rPr>
        <w:t>were determined using DESeq2</w:t>
      </w:r>
      <w:r w:rsidR="00931A19">
        <w:rPr>
          <w:rFonts w:ascii="Arial" w:hAnsi="Arial" w:cs="Arial"/>
        </w:rPr>
        <w:t xml:space="preserve"> using R (version 3.4.0)</w:t>
      </w:r>
      <w:r>
        <w:rPr>
          <w:rFonts w:ascii="Arial" w:hAnsi="Arial" w:cs="Arial"/>
        </w:rPr>
        <w:fldChar w:fldCharType="begin" w:fldLock="1"/>
      </w:r>
      <w:r w:rsidR="00686579">
        <w:rPr>
          <w:rFonts w:ascii="Arial" w:hAnsi="Arial" w:cs="Arial"/>
        </w:rPr>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"page" : "550", "title" : "Moderated estimation of fold change and dispersion for RNA-seq data with DESeq2.", "type" : "article-journal", "volume" : "15" }, "uris" : [ "http://www.mendeley.com/documents/?uuid=b38867ec-e400-4a15-bfb4-e07e266bc900" ] }, { "id" : "ITEM-2", "itemData" : { "DOI" : "10.12688/f1000research.7563.2", "ISBN" : "2046-1402 (Linking)", "ISSN" : "2046-1402", "PMID" : "26925227", "abstract" : "High-throughput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 tximport) to help users integrate transcript-level abundance estimates from common quantification pipelines into count-based statistical inference engines.", "author" : [ { "dropping-particle" : "", "family" : "Soneson", "given" : "Charlotte", "non-dropping-particle" : "", "parse-names" : false, "suffix" : "" }, { "dropping-particle" : "", "family" : "Love", "given" : "Michael I.", "non-dropping-particle" : "", "parse-names" : false, "suffix" : "" }, { "dropping-particle" : "", "family" : "Robinson", "given" : "Mark D.", "non-dropping-particle" : "", "parse-names" : false, "suffix" : "" } ], "container-title" : "F1000Research", "id" : "ITEM-2", "issue" : "0", "issued" : { "date-parts" : [ [ "2015" ] ] }, "page" : "1521", "title" : "Differential analyses for RNA-seq: transcript-level estimates improve gene-level inferences.", "type" : "article-journal", "volume" : "4" }, "uris" : [ "http://www.mendeley.com/documents/?uuid=c99bdb4f-7018-444b-8ccd-96f2e6250b4c" ] } ], "mendeley" : { "formattedCitation" : "&lt;sup&gt;9,10&lt;/sup&gt;", "plainTextFormattedCitation" : "9,10", "previouslyFormattedCitation" : "&lt;sup&gt;9,10&lt;/sup&gt;" }, "properties" : { "noteIndex" : 0 }, "schema" : "https://github.com/citation-style-language/schema/raw/master/csl-citation.json" }</w:instrText>
      </w:r>
      <w:r>
        <w:rPr>
          <w:rFonts w:ascii="Arial" w:hAnsi="Arial" w:cs="Arial"/>
        </w:rPr>
        <w:fldChar w:fldCharType="separate"/>
      </w:r>
      <w:r w:rsidR="00730B80" w:rsidRPr="00730B80">
        <w:rPr>
          <w:rFonts w:ascii="Arial" w:hAnsi="Arial" w:cs="Arial"/>
          <w:noProof/>
          <w:vertAlign w:val="superscript"/>
        </w:rPr>
        <w:t>9,10</w:t>
      </w:r>
      <w:r>
        <w:rPr>
          <w:rFonts w:ascii="Arial" w:hAnsi="Arial" w:cs="Arial"/>
        </w:rPr>
        <w:fldChar w:fldCharType="end"/>
      </w:r>
      <w:r w:rsidR="00DC0976">
        <w:rPr>
          <w:rFonts w:ascii="Arial" w:hAnsi="Arial" w:cs="Arial"/>
        </w:rPr>
        <w:t>.</w:t>
      </w:r>
      <w:r w:rsidR="002369A3">
        <w:rPr>
          <w:rFonts w:ascii="Arial" w:hAnsi="Arial" w:cs="Arial"/>
        </w:rPr>
        <w:t xml:space="preserve"> </w:t>
      </w:r>
      <w:r w:rsidR="00931A19">
        <w:rPr>
          <w:rFonts w:ascii="Arial" w:hAnsi="Arial" w:cs="Arial"/>
        </w:rPr>
        <w:t>DESeq2 was also used to detect differences in translation efficiency (RPF/mRNA)</w:t>
      </w:r>
      <w:r w:rsidR="002369A3">
        <w:rPr>
          <w:rFonts w:ascii="Arial" w:hAnsi="Arial" w:cs="Arial"/>
        </w:rPr>
        <w:t xml:space="preserve"> between species. However, a likelihood ratio test (LRT) was used to account for this. For mRNA </w:t>
      </w:r>
      <w:r w:rsidR="002369A3">
        <w:rPr>
          <w:rFonts w:ascii="Arial" w:hAnsi="Arial" w:cs="Arial"/>
        </w:rPr>
        <w:t>differential expression,</w:t>
      </w:r>
      <w:r w:rsidR="002369A3">
        <w:rPr>
          <w:rFonts w:ascii="Arial" w:hAnsi="Arial" w:cs="Arial"/>
        </w:rPr>
        <w:t xml:space="preserve"> RPF, and translation efficiency (TE)</w:t>
      </w:r>
      <w:r w:rsidR="002369A3">
        <w:rPr>
          <w:rFonts w:ascii="Arial" w:hAnsi="Arial" w:cs="Arial"/>
        </w:rPr>
        <w:t xml:space="preserve"> significant differences were identified using and adjusted false discovery rate (FDR) of 10%.</w:t>
      </w:r>
      <w:r w:rsidR="002369A3">
        <w:rPr>
          <w:rFonts w:ascii="Arial" w:hAnsi="Arial" w:cs="Arial"/>
        </w:rPr>
        <w:t xml:space="preserve"> </w:t>
      </w:r>
    </w:p>
    <w:p w14:paraId="607D268D" w14:textId="17355919" w:rsidR="00B7779F" w:rsidRDefault="00931A19">
      <w:pPr>
        <w:rPr>
          <w:rFonts w:ascii="Arial" w:hAnsi="Arial" w:cs="Arial"/>
        </w:rPr>
      </w:pPr>
      <w:r>
        <w:rPr>
          <w:rFonts w:ascii="Arial" w:hAnsi="Arial" w:cs="Arial"/>
        </w:rPr>
        <w:t xml:space="preserve"> </w:t>
      </w:r>
    </w:p>
    <w:p w14:paraId="04FC4E64" w14:textId="77777777" w:rsidR="000F3CB4" w:rsidRPr="00354887" w:rsidRDefault="000F3CB4">
      <w:pPr>
        <w:rPr>
          <w:rFonts w:ascii="Arial" w:hAnsi="Arial" w:cs="Arial"/>
          <w:i/>
        </w:rPr>
      </w:pPr>
      <w:r w:rsidRPr="00354887">
        <w:rPr>
          <w:rFonts w:ascii="Arial" w:hAnsi="Arial" w:cs="Arial"/>
          <w:i/>
        </w:rPr>
        <w:t xml:space="preserve">Determining compensatory or coordinated evolution  </w:t>
      </w:r>
    </w:p>
    <w:p w14:paraId="5E57F312" w14:textId="77777777" w:rsidR="000F3CB4" w:rsidRDefault="000F3CB4">
      <w:pPr>
        <w:rPr>
          <w:rFonts w:ascii="Arial" w:hAnsi="Arial" w:cs="Arial"/>
        </w:rPr>
      </w:pPr>
    </w:p>
    <w:p w14:paraId="65D7A8A0" w14:textId="38225F3A" w:rsidR="002369A3" w:rsidRDefault="002369A3" w:rsidP="00F27266">
      <w:pPr>
        <w:jc w:val="both"/>
        <w:rPr>
          <w:rFonts w:ascii="Arial" w:hAnsi="Arial" w:cs="Arial"/>
        </w:rPr>
      </w:pPr>
      <w:r>
        <w:rPr>
          <w:rFonts w:ascii="Arial" w:hAnsi="Arial" w:cs="Arial"/>
        </w:rPr>
        <w:tab/>
        <w:t xml:space="preserve">The number of genes undergoing compensatory and coordinated evolution were determined using R. If a gene met the condition of having </w:t>
      </w:r>
      <w:r w:rsidR="001577FF">
        <w:rPr>
          <w:rFonts w:ascii="Arial" w:hAnsi="Arial" w:cs="Arial"/>
        </w:rPr>
        <w:t xml:space="preserve">opposite mRNA expression and TE (ex. mRNA up &amp; TE down) directions of effect it was categorized as compensatory evolution. If a gene met the condition of having the same mRNA expression and TE (ex. mRNA up &amp; TE up) direction of effect it was categorized a coordinated evolution. </w:t>
      </w:r>
    </w:p>
    <w:p w14:paraId="19AC1554" w14:textId="77777777" w:rsidR="001577FF" w:rsidRPr="000F3CB4" w:rsidRDefault="001577FF">
      <w:pPr>
        <w:rPr>
          <w:rFonts w:ascii="Arial" w:hAnsi="Arial" w:cs="Arial"/>
        </w:rPr>
      </w:pPr>
    </w:p>
    <w:p w14:paraId="6F14E1D6" w14:textId="77777777" w:rsidR="000F3CB4" w:rsidRDefault="000F3CB4">
      <w:pPr>
        <w:rPr>
          <w:rFonts w:ascii="Arial" w:hAnsi="Arial" w:cs="Arial"/>
          <w:b/>
          <w:sz w:val="26"/>
          <w:szCs w:val="26"/>
        </w:rPr>
      </w:pPr>
      <w:r w:rsidRPr="000F3CB4">
        <w:rPr>
          <w:rFonts w:ascii="Arial" w:hAnsi="Arial" w:cs="Arial"/>
          <w:b/>
          <w:sz w:val="26"/>
          <w:szCs w:val="26"/>
        </w:rPr>
        <w:t xml:space="preserve">Results </w:t>
      </w:r>
    </w:p>
    <w:p w14:paraId="0F28C8F4" w14:textId="77777777" w:rsidR="00354887" w:rsidRDefault="00354887">
      <w:pPr>
        <w:rPr>
          <w:rFonts w:ascii="Arial" w:hAnsi="Arial" w:cs="Arial"/>
          <w:b/>
          <w:sz w:val="26"/>
          <w:szCs w:val="26"/>
        </w:rPr>
      </w:pPr>
    </w:p>
    <w:p w14:paraId="79BB0883" w14:textId="68E7C23C" w:rsidR="001577FF" w:rsidRDefault="001577FF" w:rsidP="00F27266">
      <w:pPr>
        <w:jc w:val="both"/>
        <w:rPr>
          <w:rFonts w:ascii="Arial" w:hAnsi="Arial" w:cs="Arial"/>
        </w:rPr>
      </w:pPr>
      <w:r>
        <w:rPr>
          <w:rFonts w:ascii="Arial" w:hAnsi="Arial" w:cs="Arial"/>
          <w:b/>
          <w:sz w:val="26"/>
          <w:szCs w:val="26"/>
        </w:rPr>
        <w:tab/>
      </w:r>
      <w:r>
        <w:rPr>
          <w:rFonts w:ascii="Arial" w:hAnsi="Arial" w:cs="Arial"/>
        </w:rPr>
        <w:t xml:space="preserve">Overall, </w:t>
      </w:r>
      <w:r w:rsidR="005E38A9">
        <w:rPr>
          <w:rFonts w:ascii="Arial" w:hAnsi="Arial" w:cs="Arial"/>
        </w:rPr>
        <w:t xml:space="preserve">out of 5438 genes total, </w:t>
      </w:r>
      <w:r>
        <w:rPr>
          <w:rFonts w:ascii="Arial" w:hAnsi="Arial" w:cs="Arial"/>
        </w:rPr>
        <w:t>2472 genes were significantly differentially expressed between S.</w:t>
      </w:r>
      <w:r w:rsidRPr="001577FF">
        <w:rPr>
          <w:rFonts w:ascii="Arial" w:hAnsi="Arial" w:cs="Arial"/>
          <w:i/>
        </w:rPr>
        <w:t xml:space="preserve"> </w:t>
      </w:r>
      <w:r w:rsidRPr="00286C2E">
        <w:rPr>
          <w:rFonts w:ascii="Arial" w:hAnsi="Arial" w:cs="Arial"/>
          <w:i/>
        </w:rPr>
        <w:t>cerevisiae</w:t>
      </w:r>
      <w:r>
        <w:rPr>
          <w:rFonts w:ascii="Arial" w:hAnsi="Arial" w:cs="Arial"/>
        </w:rPr>
        <w:t xml:space="preserve"> and </w:t>
      </w:r>
      <w:r>
        <w:rPr>
          <w:rFonts w:ascii="Arial" w:hAnsi="Arial" w:cs="Arial"/>
          <w:i/>
        </w:rPr>
        <w:t>S.</w:t>
      </w:r>
      <w:r w:rsidRPr="00286C2E">
        <w:rPr>
          <w:rFonts w:ascii="Arial" w:hAnsi="Arial" w:cs="Arial"/>
          <w:i/>
        </w:rPr>
        <w:t xml:space="preserve"> paradoxus</w:t>
      </w:r>
      <w:r w:rsidR="005E38A9">
        <w:rPr>
          <w:rFonts w:ascii="Arial" w:hAnsi="Arial" w:cs="Arial"/>
        </w:rPr>
        <w:t xml:space="preserve"> </w:t>
      </w:r>
      <w:r w:rsidR="005E38A9">
        <w:rPr>
          <w:rFonts w:ascii="Arial" w:hAnsi="Arial" w:cs="Arial"/>
        </w:rPr>
        <w:t>(FDR: 10%</w:t>
      </w:r>
      <w:r w:rsidR="005E38A9">
        <w:rPr>
          <w:rFonts w:ascii="Arial" w:hAnsi="Arial" w:cs="Arial"/>
        </w:rPr>
        <w:t xml:space="preserve">, </w:t>
      </w:r>
      <w:r w:rsidRPr="001577FF">
        <w:rPr>
          <w:rFonts w:ascii="Arial" w:hAnsi="Arial" w:cs="Arial"/>
        </w:rPr>
        <w:t>Sup. Material</w:t>
      </w:r>
      <w:r>
        <w:rPr>
          <w:rFonts w:ascii="Arial" w:hAnsi="Arial" w:cs="Arial"/>
        </w:rPr>
        <w:t>: Table</w:t>
      </w:r>
      <w:r w:rsidRPr="001577FF">
        <w:rPr>
          <w:rFonts w:ascii="Arial" w:hAnsi="Arial" w:cs="Arial"/>
        </w:rPr>
        <w:t xml:space="preserve"> 1).</w:t>
      </w:r>
      <w:r>
        <w:rPr>
          <w:rFonts w:ascii="Arial" w:hAnsi="Arial" w:cs="Arial"/>
        </w:rPr>
        <w:t xml:space="preserve"> Of those genes 1284 (52%) were up regulated (LFC</w:t>
      </w:r>
      <w:r w:rsidR="005E38A9">
        <w:rPr>
          <w:rFonts w:ascii="Arial" w:hAnsi="Arial" w:cs="Arial"/>
        </w:rPr>
        <w:t xml:space="preserve"> </w:t>
      </w:r>
      <w:r>
        <w:rPr>
          <w:rFonts w:ascii="Arial" w:hAnsi="Arial" w:cs="Arial"/>
        </w:rPr>
        <w:t>&gt;</w:t>
      </w:r>
      <w:r w:rsidR="005E38A9">
        <w:rPr>
          <w:rFonts w:ascii="Arial" w:hAnsi="Arial" w:cs="Arial"/>
        </w:rPr>
        <w:t xml:space="preserve"> </w:t>
      </w:r>
      <w:r>
        <w:rPr>
          <w:rFonts w:ascii="Arial" w:hAnsi="Arial" w:cs="Arial"/>
        </w:rPr>
        <w:t>0) and 1188</w:t>
      </w:r>
      <w:r w:rsidR="005E38A9">
        <w:rPr>
          <w:rFonts w:ascii="Arial" w:hAnsi="Arial" w:cs="Arial"/>
        </w:rPr>
        <w:t xml:space="preserve"> (58%) were down regulated (LFC &lt; 0). 556 genes exhibited differential ribosomal occupancy </w:t>
      </w:r>
      <w:r w:rsidR="005E38A9">
        <w:rPr>
          <w:rFonts w:ascii="Arial" w:hAnsi="Arial" w:cs="Arial"/>
        </w:rPr>
        <w:t xml:space="preserve">(FDR: 10%, </w:t>
      </w:r>
      <w:r w:rsidR="005E38A9" w:rsidRPr="001577FF">
        <w:rPr>
          <w:rFonts w:ascii="Arial" w:hAnsi="Arial" w:cs="Arial"/>
        </w:rPr>
        <w:t>Sup. Material</w:t>
      </w:r>
      <w:r w:rsidR="005E38A9">
        <w:rPr>
          <w:rFonts w:ascii="Arial" w:hAnsi="Arial" w:cs="Arial"/>
        </w:rPr>
        <w:t>: Table</w:t>
      </w:r>
      <w:r w:rsidR="005E38A9">
        <w:rPr>
          <w:rFonts w:ascii="Arial" w:hAnsi="Arial" w:cs="Arial"/>
        </w:rPr>
        <w:t xml:space="preserve"> 2</w:t>
      </w:r>
      <w:r w:rsidR="005E38A9" w:rsidRPr="001577FF">
        <w:rPr>
          <w:rFonts w:ascii="Arial" w:hAnsi="Arial" w:cs="Arial"/>
        </w:rPr>
        <w:t>).</w:t>
      </w:r>
      <w:r w:rsidR="005E38A9">
        <w:rPr>
          <w:rFonts w:ascii="Arial" w:hAnsi="Arial" w:cs="Arial"/>
        </w:rPr>
        <w:t xml:space="preserve"> Of those genes 232 (42%) had an increased number or ribosomes per gene (LFC &gt;0) and 324 (58%) had a decreased number of ribosomes per gene (LFC &lt; 0). Lastly, 332 genes showed differential translation efficiency </w:t>
      </w:r>
      <w:r w:rsidR="005E38A9">
        <w:rPr>
          <w:rFonts w:ascii="Arial" w:hAnsi="Arial" w:cs="Arial"/>
        </w:rPr>
        <w:t xml:space="preserve">(FDR: 10%, </w:t>
      </w:r>
      <w:r w:rsidR="005E38A9" w:rsidRPr="001577FF">
        <w:rPr>
          <w:rFonts w:ascii="Arial" w:hAnsi="Arial" w:cs="Arial"/>
        </w:rPr>
        <w:t>Sup. Material</w:t>
      </w:r>
      <w:r w:rsidR="005E38A9">
        <w:rPr>
          <w:rFonts w:ascii="Arial" w:hAnsi="Arial" w:cs="Arial"/>
        </w:rPr>
        <w:t>: Table</w:t>
      </w:r>
      <w:r w:rsidR="005E38A9">
        <w:rPr>
          <w:rFonts w:ascii="Arial" w:hAnsi="Arial" w:cs="Arial"/>
        </w:rPr>
        <w:t xml:space="preserve"> 3</w:t>
      </w:r>
      <w:r w:rsidR="005E38A9" w:rsidRPr="001577FF">
        <w:rPr>
          <w:rFonts w:ascii="Arial" w:hAnsi="Arial" w:cs="Arial"/>
        </w:rPr>
        <w:t>).</w:t>
      </w:r>
      <w:r w:rsidR="005E38A9">
        <w:rPr>
          <w:rFonts w:ascii="Arial" w:hAnsi="Arial" w:cs="Arial"/>
        </w:rPr>
        <w:t xml:space="preserve"> 98 genes </w:t>
      </w:r>
      <w:r w:rsidR="00490017">
        <w:rPr>
          <w:rFonts w:ascii="Arial" w:hAnsi="Arial" w:cs="Arial"/>
        </w:rPr>
        <w:t xml:space="preserve">(30%) had increased translation efficiency (LFC &gt; 0) and 234 genes (70%) had decreased translation efficiency (LFC &lt; 0). </w:t>
      </w:r>
    </w:p>
    <w:p w14:paraId="2DA0B5EF" w14:textId="57890D52" w:rsidR="00F27266" w:rsidRDefault="00F27266" w:rsidP="00F27266">
      <w:pPr>
        <w:jc w:val="center"/>
        <w:rPr>
          <w:rFonts w:ascii="Arial" w:hAnsi="Arial" w:cs="Arial"/>
        </w:rPr>
      </w:pPr>
      <w:r>
        <w:rPr>
          <w:rFonts w:ascii="Arial" w:hAnsi="Arial" w:cs="Arial"/>
          <w:noProof/>
        </w:rPr>
        <w:drawing>
          <wp:inline distT="0" distB="0" distL="0" distR="0" wp14:anchorId="67AA51E2" wp14:editId="0C142E63">
            <wp:extent cx="5943600" cy="2554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panel_MAplot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14:paraId="348C7C39" w14:textId="7A127EC5" w:rsidR="00F27266" w:rsidRDefault="00F27266" w:rsidP="00F27266">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E922D63" wp14:editId="69C85969">
                <wp:simplePos x="0" y="0"/>
                <wp:positionH relativeFrom="column">
                  <wp:posOffset>395605</wp:posOffset>
                </wp:positionH>
                <wp:positionV relativeFrom="paragraph">
                  <wp:posOffset>48260</wp:posOffset>
                </wp:positionV>
                <wp:extent cx="5714365" cy="8026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1436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63CD7" w14:textId="49E82176" w:rsidR="0019061C" w:rsidRPr="0019061C" w:rsidRDefault="0019061C">
                            <w:pPr>
                              <w:rPr>
                                <w:rFonts w:ascii="Arial" w:hAnsi="Arial" w:cs="Arial"/>
                                <w:sz w:val="20"/>
                                <w:szCs w:val="20"/>
                              </w:rPr>
                            </w:pPr>
                            <w:r w:rsidRPr="0059759F">
                              <w:rPr>
                                <w:rFonts w:ascii="Arial" w:hAnsi="Arial" w:cs="Arial"/>
                                <w:b/>
                                <w:sz w:val="20"/>
                                <w:szCs w:val="20"/>
                              </w:rPr>
                              <w:t>Figure 1.</w:t>
                            </w:r>
                            <w:r>
                              <w:rPr>
                                <w:rFonts w:ascii="Arial" w:hAnsi="Arial" w:cs="Arial"/>
                                <w:sz w:val="20"/>
                                <w:szCs w:val="20"/>
                              </w:rPr>
                              <w:t xml:space="preserve"> </w:t>
                            </w:r>
                            <w:r w:rsidR="0059759F">
                              <w:rPr>
                                <w:rFonts w:ascii="Arial" w:hAnsi="Arial" w:cs="Arial"/>
                                <w:sz w:val="20"/>
                                <w:szCs w:val="20"/>
                              </w:rPr>
                              <w:t xml:space="preserve">MA plots showing the log2 fold change (y-axis) vs the mean of normalized counts (x-axis) for A) differentially expressed genes, B) genes with differential ribosomal occupancy, and C) genes with differential translation efficiency </w:t>
                            </w:r>
                            <w:r w:rsidR="0059759F">
                              <w:rPr>
                                <w:rFonts w:ascii="Arial" w:hAnsi="Arial" w:cs="Arial"/>
                                <w:sz w:val="20"/>
                                <w:szCs w:val="20"/>
                              </w:rPr>
                              <w:t xml:space="preserve">between </w:t>
                            </w:r>
                            <w:r w:rsidR="0059759F" w:rsidRPr="0059759F">
                              <w:rPr>
                                <w:rFonts w:ascii="Arial" w:hAnsi="Arial" w:cs="Arial"/>
                                <w:sz w:val="20"/>
                                <w:szCs w:val="20"/>
                              </w:rPr>
                              <w:t>S.</w:t>
                            </w:r>
                            <w:r w:rsidR="0059759F" w:rsidRPr="0059759F">
                              <w:rPr>
                                <w:rFonts w:ascii="Arial" w:hAnsi="Arial" w:cs="Arial"/>
                                <w:i/>
                                <w:sz w:val="20"/>
                                <w:szCs w:val="20"/>
                              </w:rPr>
                              <w:t xml:space="preserve"> cerevisiae</w:t>
                            </w:r>
                            <w:r w:rsidR="0059759F" w:rsidRPr="0059759F">
                              <w:rPr>
                                <w:rFonts w:ascii="Arial" w:hAnsi="Arial" w:cs="Arial"/>
                                <w:sz w:val="20"/>
                                <w:szCs w:val="20"/>
                              </w:rPr>
                              <w:t xml:space="preserve"> and </w:t>
                            </w:r>
                            <w:r w:rsidR="0059759F" w:rsidRPr="0059759F">
                              <w:rPr>
                                <w:rFonts w:ascii="Arial" w:hAnsi="Arial" w:cs="Arial"/>
                                <w:i/>
                                <w:sz w:val="20"/>
                                <w:szCs w:val="20"/>
                              </w:rPr>
                              <w:t>S. paradoxus</w:t>
                            </w:r>
                            <w:r w:rsidR="0059759F">
                              <w:rPr>
                                <w:rFonts w:ascii="Arial" w:hAnsi="Arial" w:cs="Arial"/>
                                <w:sz w:val="20"/>
                                <w:szCs w:val="20"/>
                              </w:rPr>
                              <w:t xml:space="preserve">. Each red point represents a single gene that passed the significance threshold (FDR: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22D63" id="_x0000_t202" coordsize="21600,21600" o:spt="202" path="m0,0l0,21600,21600,21600,21600,0xe">
                <v:stroke joinstyle="miter"/>
                <v:path gradientshapeok="t" o:connecttype="rect"/>
              </v:shapetype>
              <v:shape id="Text Box 2" o:spid="_x0000_s1026" type="#_x0000_t202" style="position:absolute;left:0;text-align:left;margin-left:31.15pt;margin-top:3.8pt;width:449.9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" filled="f" stroked="f">
                <v:textbox>
                  <w:txbxContent>
                    <w:p w14:paraId="4B663CD7" w14:textId="49E82176" w:rsidR="0019061C" w:rsidRPr="0019061C" w:rsidRDefault="0019061C">
                      <w:pPr>
                        <w:rPr>
                          <w:rFonts w:ascii="Arial" w:hAnsi="Arial" w:cs="Arial"/>
                          <w:sz w:val="20"/>
                          <w:szCs w:val="20"/>
                        </w:rPr>
                      </w:pPr>
                      <w:r w:rsidRPr="0059759F">
                        <w:rPr>
                          <w:rFonts w:ascii="Arial" w:hAnsi="Arial" w:cs="Arial"/>
                          <w:b/>
                          <w:sz w:val="20"/>
                          <w:szCs w:val="20"/>
                        </w:rPr>
                        <w:t>Figure 1.</w:t>
                      </w:r>
                      <w:r>
                        <w:rPr>
                          <w:rFonts w:ascii="Arial" w:hAnsi="Arial" w:cs="Arial"/>
                          <w:sz w:val="20"/>
                          <w:szCs w:val="20"/>
                        </w:rPr>
                        <w:t xml:space="preserve"> </w:t>
                      </w:r>
                      <w:r w:rsidR="0059759F">
                        <w:rPr>
                          <w:rFonts w:ascii="Arial" w:hAnsi="Arial" w:cs="Arial"/>
                          <w:sz w:val="20"/>
                          <w:szCs w:val="20"/>
                        </w:rPr>
                        <w:t xml:space="preserve">MA plots showing the log2 fold change (y-axis) vs the mean of normalized counts (x-axis) for A) differentially expressed genes, B) genes with differential ribosomal occupancy, and C) genes with differential translation efficiency </w:t>
                      </w:r>
                      <w:r w:rsidR="0059759F">
                        <w:rPr>
                          <w:rFonts w:ascii="Arial" w:hAnsi="Arial" w:cs="Arial"/>
                          <w:sz w:val="20"/>
                          <w:szCs w:val="20"/>
                        </w:rPr>
                        <w:t xml:space="preserve">between </w:t>
                      </w:r>
                      <w:r w:rsidR="0059759F" w:rsidRPr="0059759F">
                        <w:rPr>
                          <w:rFonts w:ascii="Arial" w:hAnsi="Arial" w:cs="Arial"/>
                          <w:sz w:val="20"/>
                          <w:szCs w:val="20"/>
                        </w:rPr>
                        <w:t>S.</w:t>
                      </w:r>
                      <w:r w:rsidR="0059759F" w:rsidRPr="0059759F">
                        <w:rPr>
                          <w:rFonts w:ascii="Arial" w:hAnsi="Arial" w:cs="Arial"/>
                          <w:i/>
                          <w:sz w:val="20"/>
                          <w:szCs w:val="20"/>
                        </w:rPr>
                        <w:t xml:space="preserve"> cerevisiae</w:t>
                      </w:r>
                      <w:r w:rsidR="0059759F" w:rsidRPr="0059759F">
                        <w:rPr>
                          <w:rFonts w:ascii="Arial" w:hAnsi="Arial" w:cs="Arial"/>
                          <w:sz w:val="20"/>
                          <w:szCs w:val="20"/>
                        </w:rPr>
                        <w:t xml:space="preserve"> and </w:t>
                      </w:r>
                      <w:r w:rsidR="0059759F" w:rsidRPr="0059759F">
                        <w:rPr>
                          <w:rFonts w:ascii="Arial" w:hAnsi="Arial" w:cs="Arial"/>
                          <w:i/>
                          <w:sz w:val="20"/>
                          <w:szCs w:val="20"/>
                        </w:rPr>
                        <w:t>S. paradoxus</w:t>
                      </w:r>
                      <w:r w:rsidR="0059759F">
                        <w:rPr>
                          <w:rFonts w:ascii="Arial" w:hAnsi="Arial" w:cs="Arial"/>
                          <w:sz w:val="20"/>
                          <w:szCs w:val="20"/>
                        </w:rPr>
                        <w:t xml:space="preserve">. Each red point represents a single gene that passed the significance threshold (FDR: 10%). </w:t>
                      </w:r>
                    </w:p>
                  </w:txbxContent>
                </v:textbox>
                <w10:wrap type="square"/>
              </v:shape>
            </w:pict>
          </mc:Fallback>
        </mc:AlternateContent>
      </w:r>
    </w:p>
    <w:p w14:paraId="0C865773" w14:textId="2AFAFEEC" w:rsidR="00F27266" w:rsidRDefault="00F27266" w:rsidP="00F27266">
      <w:pPr>
        <w:jc w:val="center"/>
        <w:rPr>
          <w:rFonts w:ascii="Arial" w:hAnsi="Arial" w:cs="Arial"/>
        </w:rPr>
      </w:pPr>
    </w:p>
    <w:p w14:paraId="18D587DC" w14:textId="13CB3095" w:rsidR="00F27266" w:rsidRDefault="00F27266" w:rsidP="00F27266">
      <w:pPr>
        <w:jc w:val="center"/>
        <w:rPr>
          <w:rFonts w:ascii="Arial" w:hAnsi="Arial" w:cs="Arial"/>
        </w:rPr>
      </w:pPr>
    </w:p>
    <w:p w14:paraId="52C9B56C" w14:textId="7C56115C" w:rsidR="00F27266" w:rsidRDefault="00F27266" w:rsidP="00F27266">
      <w:pPr>
        <w:jc w:val="center"/>
        <w:rPr>
          <w:rFonts w:ascii="Arial" w:hAnsi="Arial" w:cs="Arial"/>
        </w:rPr>
      </w:pPr>
    </w:p>
    <w:p w14:paraId="1F41DA69" w14:textId="6B9BFCA7" w:rsidR="00F27266" w:rsidRDefault="00F27266" w:rsidP="00F27266">
      <w:pPr>
        <w:jc w:val="center"/>
        <w:rPr>
          <w:rFonts w:ascii="Arial" w:hAnsi="Arial" w:cs="Arial"/>
        </w:rPr>
      </w:pPr>
    </w:p>
    <w:p w14:paraId="7DCF68F4" w14:textId="176E5A06" w:rsidR="00F27266" w:rsidRDefault="00F27266" w:rsidP="00F27266">
      <w:pPr>
        <w:rPr>
          <w:rFonts w:ascii="Arial" w:hAnsi="Arial" w:cs="Arial"/>
        </w:rPr>
      </w:pPr>
    </w:p>
    <w:p w14:paraId="701B61AA" w14:textId="6CFEBBD4" w:rsidR="00490017" w:rsidRPr="00F27266" w:rsidRDefault="0019061C" w:rsidP="00F27266">
      <w:pPr>
        <w:ind w:firstLine="720"/>
        <w:jc w:val="both"/>
        <w:rPr>
          <w:rFonts w:ascii="Arial" w:hAnsi="Arial" w:cs="Arial"/>
          <w:b/>
        </w:rPr>
      </w:pPr>
      <w:r>
        <w:rPr>
          <w:rFonts w:ascii="Arial" w:hAnsi="Arial" w:cs="Arial"/>
        </w:rPr>
        <w:t>Generally, significant</w:t>
      </w:r>
      <w:r w:rsidR="004E1F0F">
        <w:rPr>
          <w:rFonts w:ascii="Arial" w:hAnsi="Arial" w:cs="Arial"/>
        </w:rPr>
        <w:t xml:space="preserve"> log fold change (LFC) in mRNA abundance, ribosomal occupancy and translational efficiency decreases as the mean of normalized counts increases (Fig 1). </w:t>
      </w:r>
      <w:r w:rsidR="005E1C54">
        <w:rPr>
          <w:rFonts w:ascii="Arial" w:hAnsi="Arial" w:cs="Arial"/>
        </w:rPr>
        <w:t xml:space="preserve">Each red dot in Figure 1 represents a gene that was significantly </w:t>
      </w:r>
      <w:r w:rsidR="007D35D1">
        <w:rPr>
          <w:rFonts w:ascii="Arial" w:hAnsi="Arial" w:cs="Arial"/>
        </w:rPr>
        <w:t xml:space="preserve">different (FDR: 10%) between the two yeast species. </w:t>
      </w:r>
      <w:r w:rsidR="00B111FB">
        <w:rPr>
          <w:rFonts w:ascii="Arial" w:hAnsi="Arial" w:cs="Arial"/>
        </w:rPr>
        <w:t xml:space="preserve">Differential mRNA expression had the highest number of genes with significant differences (Fig 1A, </w:t>
      </w:r>
      <w:r w:rsidR="00B111FB">
        <w:rPr>
          <w:rFonts w:ascii="Arial" w:hAnsi="Arial" w:cs="Arial"/>
        </w:rPr>
        <w:t>2472</w:t>
      </w:r>
      <w:r w:rsidR="00B111FB">
        <w:rPr>
          <w:rFonts w:ascii="Arial" w:hAnsi="Arial" w:cs="Arial"/>
        </w:rPr>
        <w:t xml:space="preserve"> genes), followed by ribosomal occupancy (Fig 1B, 556 genes), and translational efficiency had the least number of significant differences between species (Fig 1C,</w:t>
      </w:r>
      <w:r w:rsidR="00F27266" w:rsidRPr="00F27266">
        <w:rPr>
          <w:rFonts w:ascii="Arial" w:hAnsi="Arial" w:cs="Arial"/>
          <w:noProof/>
        </w:rPr>
        <w:t xml:space="preserve"> </w:t>
      </w:r>
      <w:r w:rsidR="00B111FB">
        <w:rPr>
          <w:rFonts w:ascii="Arial" w:hAnsi="Arial" w:cs="Arial"/>
        </w:rPr>
        <w:t>332</w:t>
      </w:r>
      <w:r w:rsidR="00B111FB">
        <w:rPr>
          <w:rFonts w:ascii="Arial" w:hAnsi="Arial" w:cs="Arial"/>
        </w:rPr>
        <w:t xml:space="preserve"> genes).</w:t>
      </w:r>
    </w:p>
    <w:p w14:paraId="2AB1F602" w14:textId="335328E3" w:rsidR="000F3CB4" w:rsidRDefault="00F27266">
      <w:pPr>
        <w:rPr>
          <w:rFonts w:ascii="Arial" w:hAnsi="Arial" w:cs="Arial"/>
        </w:rPr>
      </w:pPr>
      <w:r>
        <w:rPr>
          <w:rFonts w:ascii="Arial" w:hAnsi="Arial" w:cs="Arial"/>
          <w:noProof/>
        </w:rPr>
        <w:drawing>
          <wp:anchor distT="0" distB="0" distL="114300" distR="114300" simplePos="0" relativeHeight="251662336" behindDoc="0" locked="0" layoutInCell="1" allowOverlap="1" wp14:anchorId="226F5411" wp14:editId="24805AE0">
            <wp:simplePos x="0" y="0"/>
            <wp:positionH relativeFrom="column">
              <wp:posOffset>-135890</wp:posOffset>
            </wp:positionH>
            <wp:positionV relativeFrom="paragraph">
              <wp:posOffset>33020</wp:posOffset>
            </wp:positionV>
            <wp:extent cx="3622675" cy="4688840"/>
            <wp:effectExtent l="0" t="0" r="952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NA_vs_TE_sig.pdf"/>
                    <pic:cNvPicPr/>
                  </pic:nvPicPr>
                  <pic:blipFill>
                    <a:blip r:embed="rId9">
                      <a:extLst>
                        <a:ext uri="{28A0092B-C50C-407E-A947-70E740481C1C}">
                          <a14:useLocalDpi xmlns:a14="http://schemas.microsoft.com/office/drawing/2010/main" val="0"/>
                        </a:ext>
                      </a:extLst>
                    </a:blip>
                    <a:stretch>
                      <a:fillRect/>
                    </a:stretch>
                  </pic:blipFill>
                  <pic:spPr>
                    <a:xfrm>
                      <a:off x="0" y="0"/>
                      <a:ext cx="3622675" cy="4688840"/>
                    </a:xfrm>
                    <a:prstGeom prst="rect">
                      <a:avLst/>
                    </a:prstGeom>
                  </pic:spPr>
                </pic:pic>
              </a:graphicData>
            </a:graphic>
            <wp14:sizeRelH relativeFrom="page">
              <wp14:pctWidth>0</wp14:pctWidth>
            </wp14:sizeRelH>
            <wp14:sizeRelV relativeFrom="page">
              <wp14:pctHeight>0</wp14:pctHeight>
            </wp14:sizeRelV>
          </wp:anchor>
        </w:drawing>
      </w:r>
    </w:p>
    <w:p w14:paraId="39E26647" w14:textId="7905E6B3" w:rsidR="007306E3" w:rsidRDefault="007306E3" w:rsidP="00F27266">
      <w:pPr>
        <w:ind w:firstLine="720"/>
        <w:jc w:val="both"/>
        <w:rPr>
          <w:rFonts w:ascii="Arial" w:hAnsi="Arial" w:cs="Arial"/>
        </w:rPr>
      </w:pPr>
      <w:r>
        <w:rPr>
          <w:rFonts w:ascii="Arial" w:hAnsi="Arial" w:cs="Arial"/>
        </w:rPr>
        <w:t xml:space="preserve">Additionally, the log fold change of mRNA abundance and log fold change of translation efficiency are negatively correlated (Fig 2). However, the </w:t>
      </w:r>
      <w:r w:rsidR="00016B07">
        <w:rPr>
          <w:rFonts w:ascii="Arial" w:hAnsi="Arial" w:cs="Arial"/>
        </w:rPr>
        <w:t>majority of genes are clustered in the center of the plot, exhibiting relatively low log fold change</w:t>
      </w:r>
      <w:r w:rsidR="00EE6558">
        <w:rPr>
          <w:rFonts w:ascii="Arial" w:hAnsi="Arial" w:cs="Arial"/>
        </w:rPr>
        <w:t>s</w:t>
      </w:r>
      <w:r w:rsidR="00016B07">
        <w:rPr>
          <w:rFonts w:ascii="Arial" w:hAnsi="Arial" w:cs="Arial"/>
        </w:rPr>
        <w:t xml:space="preserve">. This negative trend suggests that the majority of genes have undergone compensatory evolution instead of coordinated evolution. </w:t>
      </w:r>
      <w:r w:rsidR="00EE6558">
        <w:rPr>
          <w:rFonts w:ascii="Arial" w:hAnsi="Arial" w:cs="Arial"/>
        </w:rPr>
        <w:t xml:space="preserve">Occurrences of compensatory evolution (1,310 genes, Table 1) are more frequent than occurrences of coordinated evolution (1,162 genes, Table 1), which aligns with Figure 2.  </w:t>
      </w:r>
    </w:p>
    <w:p w14:paraId="4982CA03" w14:textId="2FD6D915" w:rsidR="00490017" w:rsidRDefault="00490017">
      <w:pPr>
        <w:rPr>
          <w:rFonts w:ascii="Arial" w:hAnsi="Arial" w:cs="Arial"/>
        </w:rPr>
      </w:pPr>
    </w:p>
    <w:p w14:paraId="398C9F45" w14:textId="04F748FE" w:rsidR="00490017" w:rsidRDefault="00490017">
      <w:pPr>
        <w:rPr>
          <w:rFonts w:ascii="Arial" w:hAnsi="Arial" w:cs="Arial"/>
        </w:rPr>
      </w:pPr>
    </w:p>
    <w:p w14:paraId="680CC611" w14:textId="613726FD" w:rsidR="007D35D1" w:rsidRDefault="007D35D1">
      <w:pPr>
        <w:rPr>
          <w:rFonts w:ascii="Arial" w:hAnsi="Arial" w:cs="Arial"/>
        </w:rPr>
      </w:pPr>
    </w:p>
    <w:p w14:paraId="62C6ED29" w14:textId="77777777" w:rsidR="00490017" w:rsidRPr="000F3CB4" w:rsidRDefault="00490017">
      <w:pPr>
        <w:rPr>
          <w:rFonts w:ascii="Arial" w:hAnsi="Arial" w:cs="Arial"/>
        </w:rPr>
      </w:pPr>
    </w:p>
    <w:p w14:paraId="4ED0F927" w14:textId="43FA933E" w:rsidR="007D35D1" w:rsidRDefault="007D35D1">
      <w:pPr>
        <w:rPr>
          <w:rFonts w:ascii="Arial" w:hAnsi="Arial" w:cs="Arial"/>
          <w:b/>
          <w:sz w:val="26"/>
          <w:szCs w:val="26"/>
        </w:rPr>
      </w:pPr>
    </w:p>
    <w:p w14:paraId="114F2D2F" w14:textId="2B04FC6E" w:rsidR="007D35D1" w:rsidRDefault="007D35D1">
      <w:pPr>
        <w:rPr>
          <w:rFonts w:ascii="Arial" w:hAnsi="Arial" w:cs="Arial"/>
          <w:b/>
          <w:sz w:val="26"/>
          <w:szCs w:val="26"/>
        </w:rPr>
      </w:pPr>
    </w:p>
    <w:p w14:paraId="25851B60" w14:textId="0FDC591E" w:rsidR="007D35D1" w:rsidRDefault="007D35D1">
      <w:pPr>
        <w:rPr>
          <w:rFonts w:ascii="Arial" w:hAnsi="Arial" w:cs="Arial"/>
          <w:b/>
          <w:sz w:val="26"/>
          <w:szCs w:val="26"/>
        </w:rPr>
      </w:pPr>
    </w:p>
    <w:p w14:paraId="353068F3" w14:textId="3E2D071B" w:rsidR="00016B07" w:rsidRDefault="00016B07">
      <w:pPr>
        <w:rPr>
          <w:rFonts w:ascii="Arial" w:hAnsi="Arial" w:cs="Arial"/>
          <w:b/>
          <w:sz w:val="26"/>
          <w:szCs w:val="26"/>
        </w:rPr>
      </w:pPr>
    </w:p>
    <w:p w14:paraId="1D37108A" w14:textId="483C06EE" w:rsidR="00016B07" w:rsidRDefault="00FB028C">
      <w:pPr>
        <w:rPr>
          <w:rFonts w:ascii="Arial" w:hAnsi="Arial" w:cs="Arial"/>
          <w:b/>
          <w:sz w:val="26"/>
          <w:szCs w:val="26"/>
        </w:rPr>
      </w:pPr>
      <w:r>
        <w:rPr>
          <w:rFonts w:ascii="Arial" w:hAnsi="Arial" w:cs="Arial"/>
          <w:noProof/>
        </w:rPr>
        <w:t xml:space="preserve"> </w:t>
      </w:r>
    </w:p>
    <w:p w14:paraId="587B35CC" w14:textId="73F2FEFB" w:rsidR="00FB028C" w:rsidRDefault="00F27266">
      <w:pPr>
        <w:rPr>
          <w:rFonts w:ascii="Arial" w:hAnsi="Arial" w:cs="Arial"/>
          <w:b/>
          <w:sz w:val="26"/>
          <w:szCs w:val="26"/>
        </w:rPr>
      </w:pPr>
      <w:r w:rsidRPr="000F3CB4">
        <w:rPr>
          <w:rFonts w:ascii="Arial" w:hAnsi="Arial" w:cs="Arial"/>
          <w:b/>
          <w:sz w:val="26"/>
          <w:szCs w:val="26"/>
        </w:rPr>
        <w:t xml:space="preserve"> </w:t>
      </w:r>
    </w:p>
    <w:p w14:paraId="699F0AF1" w14:textId="4C2CE4E2" w:rsidR="00FB028C" w:rsidRDefault="0096765F">
      <w:pPr>
        <w:rPr>
          <w:rFonts w:ascii="Arial" w:hAnsi="Arial" w:cs="Arial"/>
          <w:b/>
          <w:sz w:val="26"/>
          <w:szCs w:val="26"/>
        </w:rPr>
      </w:pPr>
      <w:r>
        <w:rPr>
          <w:rFonts w:ascii="Arial" w:hAnsi="Arial" w:cs="Arial"/>
          <w:noProof/>
        </w:rPr>
        <mc:AlternateContent>
          <mc:Choice Requires="wps">
            <w:drawing>
              <wp:anchor distT="0" distB="0" distL="114300" distR="114300" simplePos="0" relativeHeight="251660288" behindDoc="0" locked="0" layoutInCell="1" allowOverlap="1" wp14:anchorId="4675F90D" wp14:editId="7C535249">
                <wp:simplePos x="0" y="0"/>
                <wp:positionH relativeFrom="column">
                  <wp:posOffset>165100</wp:posOffset>
                </wp:positionH>
                <wp:positionV relativeFrom="paragraph">
                  <wp:posOffset>71755</wp:posOffset>
                </wp:positionV>
                <wp:extent cx="327787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7787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03D136" w14:textId="0E74E4E4" w:rsidR="007D35D1" w:rsidRPr="007D35D1" w:rsidRDefault="007D35D1">
                            <w:pPr>
                              <w:rPr>
                                <w:rFonts w:ascii="Arial" w:hAnsi="Arial" w:cs="Arial"/>
                                <w:sz w:val="20"/>
                                <w:szCs w:val="20"/>
                              </w:rPr>
                            </w:pPr>
                            <w:r w:rsidRPr="007D35D1">
                              <w:rPr>
                                <w:rFonts w:ascii="Arial" w:hAnsi="Arial" w:cs="Arial"/>
                                <w:b/>
                                <w:sz w:val="20"/>
                                <w:szCs w:val="20"/>
                              </w:rPr>
                              <w:t>Figure 2.</w:t>
                            </w:r>
                            <w:r>
                              <w:rPr>
                                <w:rFonts w:ascii="Arial" w:hAnsi="Arial" w:cs="Arial"/>
                                <w:sz w:val="20"/>
                                <w:szCs w:val="20"/>
                              </w:rPr>
                              <w:t xml:space="preserve"> Scatter plot of log fold change of translation efficiency vs log fold change of mRNA abundance between species. Each black circle represents a gene that passed the significance threshold (FDR: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F90D" id="Text Box 5" o:spid="_x0000_s1027" type="#_x0000_t202" style="position:absolute;margin-left:13pt;margin-top:5.65pt;width:258.1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" filled="f" stroked="f">
                <v:textbox>
                  <w:txbxContent>
                    <w:p w14:paraId="5303D136" w14:textId="0E74E4E4" w:rsidR="007D35D1" w:rsidRPr="007D35D1" w:rsidRDefault="007D35D1">
                      <w:pPr>
                        <w:rPr>
                          <w:rFonts w:ascii="Arial" w:hAnsi="Arial" w:cs="Arial"/>
                          <w:sz w:val="20"/>
                          <w:szCs w:val="20"/>
                        </w:rPr>
                      </w:pPr>
                      <w:r w:rsidRPr="007D35D1">
                        <w:rPr>
                          <w:rFonts w:ascii="Arial" w:hAnsi="Arial" w:cs="Arial"/>
                          <w:b/>
                          <w:sz w:val="20"/>
                          <w:szCs w:val="20"/>
                        </w:rPr>
                        <w:t>Figure 2.</w:t>
                      </w:r>
                      <w:r>
                        <w:rPr>
                          <w:rFonts w:ascii="Arial" w:hAnsi="Arial" w:cs="Arial"/>
                          <w:sz w:val="20"/>
                          <w:szCs w:val="20"/>
                        </w:rPr>
                        <w:t xml:space="preserve"> Scatter plot of log fold change of translation efficiency vs log fold change of mRNA abundance between species. Each black circle represents a gene that passed the significance threshold (FDR: 10%). </w:t>
                      </w:r>
                    </w:p>
                  </w:txbxContent>
                </v:textbox>
                <w10:wrap type="square"/>
              </v:shape>
            </w:pict>
          </mc:Fallback>
        </mc:AlternateContent>
      </w:r>
    </w:p>
    <w:tbl>
      <w:tblPr>
        <w:tblStyle w:val="TableGrid"/>
        <w:tblpPr w:leftFromText="180" w:rightFromText="180" w:vertAnchor="page" w:horzAnchor="page" w:tblpX="1090" w:tblpY="12785"/>
        <w:tblW w:w="10347" w:type="dxa"/>
        <w:tblLook w:val="04A0" w:firstRow="1" w:lastRow="0" w:firstColumn="1" w:lastColumn="0" w:noHBand="0" w:noVBand="1"/>
      </w:tblPr>
      <w:tblGrid>
        <w:gridCol w:w="870"/>
        <w:gridCol w:w="2301"/>
        <w:gridCol w:w="2302"/>
        <w:gridCol w:w="2303"/>
        <w:gridCol w:w="2571"/>
      </w:tblGrid>
      <w:tr w:rsidR="00FB028C" w:rsidRPr="00FB028C" w14:paraId="65325F17" w14:textId="77777777" w:rsidTr="00FB028C">
        <w:tc>
          <w:tcPr>
            <w:tcW w:w="870" w:type="dxa"/>
            <w:vMerge w:val="restart"/>
          </w:tcPr>
          <w:p w14:paraId="188A87ED" w14:textId="77777777" w:rsidR="00FB028C" w:rsidRPr="00FB028C" w:rsidRDefault="00FB028C" w:rsidP="00FB028C">
            <w:pPr>
              <w:rPr>
                <w:rFonts w:ascii="Arial" w:hAnsi="Arial" w:cs="Arial"/>
                <w:sz w:val="21"/>
                <w:szCs w:val="21"/>
              </w:rPr>
            </w:pPr>
          </w:p>
        </w:tc>
        <w:tc>
          <w:tcPr>
            <w:tcW w:w="4603" w:type="dxa"/>
            <w:gridSpan w:val="2"/>
          </w:tcPr>
          <w:p w14:paraId="158D4832"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Compensatory Evolution</w:t>
            </w:r>
          </w:p>
        </w:tc>
        <w:tc>
          <w:tcPr>
            <w:tcW w:w="4874" w:type="dxa"/>
            <w:gridSpan w:val="2"/>
          </w:tcPr>
          <w:p w14:paraId="6817695F"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Coordinated Evolution</w:t>
            </w:r>
          </w:p>
        </w:tc>
      </w:tr>
      <w:tr w:rsidR="00FB028C" w:rsidRPr="00FB028C" w14:paraId="415FFDB6" w14:textId="77777777" w:rsidTr="00FB028C">
        <w:tc>
          <w:tcPr>
            <w:tcW w:w="870" w:type="dxa"/>
            <w:vMerge/>
          </w:tcPr>
          <w:p w14:paraId="5876DFAD" w14:textId="77777777" w:rsidR="00FB028C" w:rsidRPr="00FB028C" w:rsidRDefault="00FB028C" w:rsidP="00FB028C">
            <w:pPr>
              <w:rPr>
                <w:rFonts w:ascii="Arial" w:hAnsi="Arial" w:cs="Arial"/>
                <w:sz w:val="21"/>
                <w:szCs w:val="21"/>
              </w:rPr>
            </w:pPr>
          </w:p>
        </w:tc>
        <w:tc>
          <w:tcPr>
            <w:tcW w:w="2301" w:type="dxa"/>
          </w:tcPr>
          <w:p w14:paraId="636FE662"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mRNA up &amp; TE down</w:t>
            </w:r>
          </w:p>
        </w:tc>
        <w:tc>
          <w:tcPr>
            <w:tcW w:w="2302" w:type="dxa"/>
          </w:tcPr>
          <w:p w14:paraId="56E62514"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mRNA down &amp; TE up</w:t>
            </w:r>
          </w:p>
        </w:tc>
        <w:tc>
          <w:tcPr>
            <w:tcW w:w="2303" w:type="dxa"/>
          </w:tcPr>
          <w:p w14:paraId="5629442F"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mRNA up &amp; TE up</w:t>
            </w:r>
          </w:p>
        </w:tc>
        <w:tc>
          <w:tcPr>
            <w:tcW w:w="2571" w:type="dxa"/>
          </w:tcPr>
          <w:p w14:paraId="0829A9B3"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mRNA down &amp; TE down</w:t>
            </w:r>
          </w:p>
        </w:tc>
      </w:tr>
      <w:tr w:rsidR="00FB028C" w:rsidRPr="00FB028C" w14:paraId="78413D60" w14:textId="77777777" w:rsidTr="00FB028C">
        <w:tc>
          <w:tcPr>
            <w:tcW w:w="870" w:type="dxa"/>
          </w:tcPr>
          <w:p w14:paraId="1A95061D"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All genes</w:t>
            </w:r>
          </w:p>
        </w:tc>
        <w:tc>
          <w:tcPr>
            <w:tcW w:w="2301" w:type="dxa"/>
          </w:tcPr>
          <w:p w14:paraId="62183597"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1815</w:t>
            </w:r>
          </w:p>
        </w:tc>
        <w:tc>
          <w:tcPr>
            <w:tcW w:w="2302" w:type="dxa"/>
          </w:tcPr>
          <w:p w14:paraId="55CCBE64"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1707</w:t>
            </w:r>
          </w:p>
        </w:tc>
        <w:tc>
          <w:tcPr>
            <w:tcW w:w="2303" w:type="dxa"/>
          </w:tcPr>
          <w:p w14:paraId="2AB0E8AF"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892</w:t>
            </w:r>
          </w:p>
        </w:tc>
        <w:tc>
          <w:tcPr>
            <w:tcW w:w="2571" w:type="dxa"/>
          </w:tcPr>
          <w:p w14:paraId="5FDB39B2"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1024</w:t>
            </w:r>
          </w:p>
        </w:tc>
      </w:tr>
      <w:tr w:rsidR="00FB028C" w:rsidRPr="00FB028C" w14:paraId="2F839347" w14:textId="77777777" w:rsidTr="00FB028C">
        <w:tc>
          <w:tcPr>
            <w:tcW w:w="870" w:type="dxa"/>
          </w:tcPr>
          <w:p w14:paraId="79DC724C"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10 % FDR</w:t>
            </w:r>
          </w:p>
        </w:tc>
        <w:tc>
          <w:tcPr>
            <w:tcW w:w="2301" w:type="dxa"/>
          </w:tcPr>
          <w:p w14:paraId="1919D981"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931</w:t>
            </w:r>
          </w:p>
        </w:tc>
        <w:tc>
          <w:tcPr>
            <w:tcW w:w="2302" w:type="dxa"/>
          </w:tcPr>
          <w:p w14:paraId="0FB9E223"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379</w:t>
            </w:r>
          </w:p>
        </w:tc>
        <w:tc>
          <w:tcPr>
            <w:tcW w:w="2303" w:type="dxa"/>
          </w:tcPr>
          <w:p w14:paraId="69251C00"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353</w:t>
            </w:r>
          </w:p>
        </w:tc>
        <w:tc>
          <w:tcPr>
            <w:tcW w:w="2571" w:type="dxa"/>
          </w:tcPr>
          <w:p w14:paraId="4FB00A2F" w14:textId="77777777" w:rsidR="00FB028C" w:rsidRPr="00FB028C" w:rsidRDefault="00FB028C" w:rsidP="00FB028C">
            <w:pPr>
              <w:jc w:val="center"/>
              <w:rPr>
                <w:rFonts w:ascii="Arial" w:hAnsi="Arial" w:cs="Arial"/>
                <w:sz w:val="21"/>
                <w:szCs w:val="21"/>
              </w:rPr>
            </w:pPr>
            <w:r w:rsidRPr="00FB028C">
              <w:rPr>
                <w:rFonts w:ascii="Arial" w:hAnsi="Arial" w:cs="Arial"/>
                <w:sz w:val="21"/>
                <w:szCs w:val="21"/>
              </w:rPr>
              <w:t>809</w:t>
            </w:r>
          </w:p>
        </w:tc>
      </w:tr>
    </w:tbl>
    <w:p w14:paraId="1573B09F" w14:textId="50BD3310" w:rsidR="00FB028C" w:rsidRDefault="00FB028C">
      <w:pPr>
        <w:rPr>
          <w:rFonts w:ascii="Arial" w:hAnsi="Arial" w:cs="Arial"/>
          <w:b/>
          <w:sz w:val="26"/>
          <w:szCs w:val="26"/>
        </w:rPr>
      </w:pPr>
    </w:p>
    <w:p w14:paraId="124B7AE9" w14:textId="59BD8874" w:rsidR="00FB028C" w:rsidRDefault="00FB028C">
      <w:pPr>
        <w:rPr>
          <w:rFonts w:ascii="Arial" w:hAnsi="Arial" w:cs="Arial"/>
          <w:b/>
          <w:sz w:val="26"/>
          <w:szCs w:val="26"/>
        </w:rPr>
      </w:pPr>
    </w:p>
    <w:p w14:paraId="6A5B64FE" w14:textId="3828D333" w:rsidR="00FB028C" w:rsidRDefault="00FB028C">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1312" behindDoc="0" locked="0" layoutInCell="1" allowOverlap="1" wp14:anchorId="7F8ED240" wp14:editId="6A525289">
                <wp:simplePos x="0" y="0"/>
                <wp:positionH relativeFrom="column">
                  <wp:posOffset>-65405</wp:posOffset>
                </wp:positionH>
                <wp:positionV relativeFrom="paragraph">
                  <wp:posOffset>290830</wp:posOffset>
                </wp:positionV>
                <wp:extent cx="6630670" cy="56769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630670"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C00546" w14:textId="371B709C" w:rsidR="00016B07" w:rsidRPr="00016B07" w:rsidRDefault="00016B07">
                            <w:pPr>
                              <w:rPr>
                                <w:rFonts w:ascii="Arial" w:hAnsi="Arial" w:cs="Arial"/>
                                <w:sz w:val="20"/>
                                <w:szCs w:val="20"/>
                              </w:rPr>
                            </w:pPr>
                            <w:r w:rsidRPr="00EE6558">
                              <w:rPr>
                                <w:rFonts w:ascii="Arial" w:hAnsi="Arial" w:cs="Arial"/>
                                <w:b/>
                                <w:sz w:val="20"/>
                                <w:szCs w:val="20"/>
                              </w:rPr>
                              <w:t>Table 1.</w:t>
                            </w:r>
                            <w:r>
                              <w:rPr>
                                <w:rFonts w:ascii="Arial" w:hAnsi="Arial" w:cs="Arial"/>
                                <w:sz w:val="20"/>
                                <w:szCs w:val="20"/>
                              </w:rPr>
                              <w:t xml:space="preserve"> Genes undergoing compensatory evolution (mRNA and translation efficiency (TE) changes in opposite directions) and coordinated evolution (mRNA and TE changes in the same direction) for all genes and genes that passed the significance threshold (FDR: 10%)</w:t>
                            </w:r>
                            <w:r w:rsidR="00EE6558">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D240" id="Text Box 6" o:spid="_x0000_s1028" type="#_x0000_t202" style="position:absolute;margin-left:-5.15pt;margin-top:22.9pt;width:522.1pt;height:4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" filled="f" stroked="f">
                <v:textbox>
                  <w:txbxContent>
                    <w:p w14:paraId="45C00546" w14:textId="371B709C" w:rsidR="00016B07" w:rsidRPr="00016B07" w:rsidRDefault="00016B07">
                      <w:pPr>
                        <w:rPr>
                          <w:rFonts w:ascii="Arial" w:hAnsi="Arial" w:cs="Arial"/>
                          <w:sz w:val="20"/>
                          <w:szCs w:val="20"/>
                        </w:rPr>
                      </w:pPr>
                      <w:r w:rsidRPr="00EE6558">
                        <w:rPr>
                          <w:rFonts w:ascii="Arial" w:hAnsi="Arial" w:cs="Arial"/>
                          <w:b/>
                          <w:sz w:val="20"/>
                          <w:szCs w:val="20"/>
                        </w:rPr>
                        <w:t>Table 1.</w:t>
                      </w:r>
                      <w:r>
                        <w:rPr>
                          <w:rFonts w:ascii="Arial" w:hAnsi="Arial" w:cs="Arial"/>
                          <w:sz w:val="20"/>
                          <w:szCs w:val="20"/>
                        </w:rPr>
                        <w:t xml:space="preserve"> Genes undergoing compensatory evolution (mRNA and translation efficiency (TE) changes in opposite directions) and coordinated evolution (mRNA and TE changes in the same direction) for all genes and genes that passed the significance threshold (FDR: 10%)</w:t>
                      </w:r>
                      <w:r w:rsidR="00EE6558">
                        <w:rPr>
                          <w:rFonts w:ascii="Arial" w:hAnsi="Arial" w:cs="Arial"/>
                          <w:sz w:val="20"/>
                          <w:szCs w:val="20"/>
                        </w:rPr>
                        <w:t xml:space="preserve">. </w:t>
                      </w:r>
                    </w:p>
                  </w:txbxContent>
                </v:textbox>
                <w10:wrap type="square"/>
              </v:shape>
            </w:pict>
          </mc:Fallback>
        </mc:AlternateContent>
      </w:r>
    </w:p>
    <w:p w14:paraId="2676E8EA" w14:textId="77777777" w:rsidR="00FB028C" w:rsidRDefault="00FB028C">
      <w:pPr>
        <w:rPr>
          <w:rFonts w:ascii="Arial" w:hAnsi="Arial" w:cs="Arial"/>
          <w:b/>
          <w:sz w:val="26"/>
          <w:szCs w:val="26"/>
        </w:rPr>
      </w:pPr>
    </w:p>
    <w:p w14:paraId="08377B81" w14:textId="09CBC707" w:rsidR="000F3CB4" w:rsidRDefault="000F3CB4">
      <w:pPr>
        <w:rPr>
          <w:rFonts w:ascii="Arial" w:hAnsi="Arial" w:cs="Arial"/>
          <w:b/>
          <w:sz w:val="26"/>
          <w:szCs w:val="26"/>
        </w:rPr>
      </w:pPr>
      <w:r w:rsidRPr="000F3CB4">
        <w:rPr>
          <w:rFonts w:ascii="Arial" w:hAnsi="Arial" w:cs="Arial"/>
          <w:b/>
          <w:sz w:val="26"/>
          <w:szCs w:val="26"/>
        </w:rPr>
        <w:t xml:space="preserve">Discussion </w:t>
      </w:r>
    </w:p>
    <w:p w14:paraId="4DEA1DAF" w14:textId="13936FA9" w:rsidR="00FA31A8" w:rsidRDefault="00B95D55" w:rsidP="00692C04">
      <w:pPr>
        <w:jc w:val="both"/>
        <w:rPr>
          <w:rFonts w:ascii="Arial" w:hAnsi="Arial" w:cs="Arial"/>
        </w:rPr>
      </w:pPr>
      <w:r>
        <w:rPr>
          <w:rFonts w:ascii="Arial" w:hAnsi="Arial" w:cs="Arial"/>
          <w:b/>
          <w:sz w:val="26"/>
          <w:szCs w:val="26"/>
        </w:rPr>
        <w:tab/>
      </w:r>
      <w:r w:rsidR="00B960BF">
        <w:rPr>
          <w:rFonts w:ascii="Arial" w:hAnsi="Arial" w:cs="Arial"/>
        </w:rPr>
        <w:t>Several</w:t>
      </w:r>
      <w:r w:rsidR="000E454F" w:rsidRPr="000E454F">
        <w:rPr>
          <w:rFonts w:ascii="Arial" w:hAnsi="Arial" w:cs="Arial"/>
        </w:rPr>
        <w:t xml:space="preserve"> previous studies have noted that, while evolutionary changes in mRNA abundance are definitely important, they may not always account for interspecies differences in gene expression.</w:t>
      </w:r>
      <w:r w:rsidR="00686579">
        <w:rPr>
          <w:rFonts w:ascii="Arial" w:hAnsi="Arial" w:cs="Arial"/>
        </w:rPr>
        <w:fldChar w:fldCharType="begin" w:fldLock="1"/>
      </w:r>
      <w:r w:rsidR="00FA31A8">
        <w:rPr>
          <w:rFonts w:ascii="Arial" w:hAnsi="Arial" w:cs="Arial"/>
        </w:rPr>
        <w:instrText>ADDIN CSL_CITATION { "citationItems" : [ { "id" : "ITEM-1", "itemData" : { "DOI" : "10.1371/journal.pbio.1001144", "ISBN" : "1544-9173", "ISSN" : "15449173", "PMID" : "21909241", "abstract" : "Networks of co-regulated transcripts in genetically diverse populations have been studied extensively, but little is known about the degree to which these networks cause similar co-variation at the protein level. We quantified 354 proteins in a genetically diverse population of yeast segregants, which allowed for the first time construction of a coherent protein co-variation matrix. We identified tightly co-regulated groups of 36 and 93 proteins that were made up predominantly of genes involved in ribosome biogenesis and amino acid metabolism, respectively. Even though the ribosomal genes were tightly co-regulated at both the protein and transcript levels, genetic regulation of proteins was entirely distinct from that of transcripts, and almost no genes in this network showed a significant correlation between protein and transcript levels. This result calls into question the widely held belief that in yeast, as opposed to higher eukaryotes, ribosomal protein levels are regulated primarily by regulating transcript levels. Furthermore, although genetic regulation of the amino acid network was more similar for proteins and transcripts, regression analysis demonstrated that even here, proteins vary predominantly as a result of non-transcriptional variation. We also found that cis regulation, which is common in the transcriptome, is rare at the level of the proteome. We conclude that most inter-individual variation in levels of these particular high abundance proteins in this genetically diverse population is not caused by variation of their underlying transcripts.", "author" : [ { "dropping-particle" : "", "family" : "Foss", "given" : "Eric J.", "non-dropping-particle" : "", "parse-names" : false, "suffix" : "" }, { "dropping-particle" : "", "family" : "Radulovic", "given" : "Dragan", "non-dropping-particle" : "", "parse-names" : false, "suffix" : "" }, { "dropping-particle" : "", "family" : "Shaffer", "given" : "Scott A.", "non-dropping-particle" : "", "parse-names" : false, "suffix" : "" }, { "dropping-particle" : "", "family" : "Goodlett", "given" : "David R.", "non-dropping-particle" : "", "parse-names" : false, "suffix" : "" }, { "dropping-particle" : "", "family" : "Kruglyak", "given" : "Leonid", "non-dropping-particle" : "", "parse-names" : false, "suffix" : "" }, { "dropping-particle" : "", "family" : "Bedalov", "given" : "Antonio", "non-dropping-particle" : "", "parse-names" : false, "suffix" : "" } ], "container-title" : "PLoS Biology", "id" : "ITEM-1", "issue" : "9", "issued" : { "date-parts" : [ [ "2011" ] ] }, "title" : "Genetic variation shapes protein networks mainly through non-transcriptional mechanisms", "type" : "article-journal", "volume" : "9" }, "uris" : [ "http://www.mendeley.com/documents/?uuid=1076cf87-e4bc-4ae9-ab9a-441ce22dbd5d" ] }, { "id" : "ITEM-2", "itemData" : { "DOI" : "10.1038/nature12223", "ISBN" : "1476-4687 (Electronic)\\n0028-0836 (Linking)", "ISSN" : "1476-4687", "PMID" : "23676674", "abstract" : "Gene expression differs among individuals and populations and is thought to be a major determinant of phenotypic variation. Although variation and genetic loci responsible for RNA expression levels have been analysed extensively in human populations, our knowledge is limited regarding the differences in human protein abundance and the genetic basis for this difference. Variation in messenger RNA expression is not a perfect surrogate for protein expression because the latter is influenced by an array of post-transcriptional regulatory mechanisms, and, empirically, the correlation between protein and mRNA levels is generally modest. Here we used isobaric tag-based quantitative mass spectrometry to determine relative protein levels of 5,953 genes in lymphoblastoid cell lines from 95 diverse individuals genotyped in the HapMap Project. We found that protein levels are heritable molecular phenotypes that exhibit considerable variation between individuals, populations and sexes. Levels of specific sets of proteins involved in the same biological process covary among individuals, indicating that these processes are tightly regulated at the protein level. We identified cis-pQTLs (protein quantitative trait loci), including variants not detected by previous transcriptome studies. This study demonstrates the feasibility of high-throughput human proteome quantification that, when integrated with DNA variation and transcriptome information, adds a new dimension to the characterization of gene expression regulation.", "author" : [ { "dropping-particle" : "", "family" : "Wu", "given" : "Linfeng", "non-dropping-particle" : "", "parse-names" : false, "suffix" : "" }, { "dropping-particle" : "", "family" : "Candille", "given" : "Sophie I.", "non-dropping-particle" : "", "parse-names" : false, "suffix" : "" }, { "dropping-particle" : "", "family" : "Choi", "given" : "Yoonha", "non-dropping-particle" : "", "parse-names" : false, "suffix" : "" }, { "dropping-particle" : "", "family" : "Xie", "given" : "Dan", "non-dropping-particle" : "", "parse-names" : false, "suffix" : "" }, { "dropping-particle" : "", "family" : "Jiang", "given" : "Lihua", "non-dropping-particle" : "", "parse-names" : false, "suffix" : "" }, { "dropping-particle" : "", "family" : "Li-Pook-Than", "given" : "Jennifer", "non-dropping-particle" : "", "parse-names" : false, "suffix" : "" }, { "dropping-particle" : "", "family" : "Tang", "given" : "Hua", "non-dropping-particle" : "", "parse-names" : false, "suffix" : "" }, { "dropping-particle" : "", "family" : "Snyder", "given" : "Michael", "non-dropping-particle" : "", "parse-names" : false, "suffix" : "" } ], "container-title" : "Nature", "id" : "ITEM-2", "issue" : "7456", "issued" : { "date-parts" : [ [ "2013" ] ] }, "page" : "79-82", "publisher" : "Nature Publishing Group", "title" : "Variation and genetic control of protein abundance in humans.", "type" : "article-journal", "volume" : "499" }, "uris" : [ "http://www.mendeley.com/documents/?uuid=fcd485fc-e741-4e89-8e9c-2607c0c64f23" ] }, { "id" : "ITEM-3", "itemData" : { "DOI" : "10.1101/gr.164996.113", "ISBN" : "1549-5469 (Electronic)\\r1088-9051 (Linking)", "ISSN" : "15495469", "PMID" : "24318730", "abstract" : "Understanding the patterns and causes of phenotypic divergence is a central goal in evolutionary biology. Much work has shown that mRNA abundance is highly variable between closely related species. However, the extent and mechanisms of post-transcriptional gene regulatory evolution are largely unknown. Here we used ribosome profiling to compare transcript abundance and translation efficiency in two closely related yeast species (S. cerevisiae and S. paradoxus). By comparing translation regulatory divergence to interspecies differences in mRNA sequence features, we show that differences in transcript leaders and codon bias substantially contribute to divergent translation. Globally, we find that translation regulatory divergence often buffers species-differences in mRNA abundance, such that ribosome occupancy is more conserved than transcript abundance. We used allele-specific ribosome profiling in interspecies hybrids to compare the relative contributions of cis- and trans-regulatory divergence to species differences in mRNA abundance and translation efficiency. The mode of gene regulatory divergence differs for these processes, as trans-regulatory changes play a greater role in divergent mRNA abundance than in divergent translation efficiency. Strikingly, most genes with aberrant transcript abundance in F1 hybrids (either over- or under-expressed compared to both parent species) did not exhibit aberrant ribosome occupancy. Our results show that interspecies differences in translation contribute substantially to the evolution of gene expression. Compensatory differences in transcript abundance and translation efficiency may increase the robustness of gene regulation.", "author" : [ { "dropping-particle" : "", "family" : "McManus", "given" : "C. Joel", "non-dropping-particle" : "", "parse-names" : false, "suffix" : "" }, { "dropping-particle" : "", "family" : "May", "given" : "Gemma E.", "non-dropping-particle" : "", "parse-names" : false, "suffix" : "" }, { "dropping-particle" : "", "family" : "Spealman", "given" : "Pieter", "non-dropping-particle" : "", "parse-names" : false, "suffix" : "" }, { "dropping-particle" : "", "family" : "Shteyman", "given" : "Alan", "non-dropping-particle" : "", "parse-names" : false, "suffix" : "" } ], "container-title" : "Genome Research", "id" : "ITEM-3", "issue" : "3", "issued" : { "date-parts" : [ [ "2014" ] ] }, "page" : "422-430", "title" : "Ribosome profiling reveals post-transcriptional buffering of divergent gene expression in yeast", "type" : "article-journal", "volume" : "24" }, "uris" : [ "http://www.mendeley.com/documents/?uuid=0b9f277a-8118-46eb-8a09-1bcba1a37d1f" ] } ], "mendeley" : { "formattedCitation" : "&lt;sup&gt;7,11,12&lt;/sup&gt;", "plainTextFormattedCitation" : "7,11,12", "previouslyFormattedCitation" : "&lt;sup&gt;7,11,12&lt;/sup&gt;" }, "properties" : { "noteIndex" : 0 }, "schema" : "https://github.com/citation-style-language/schema/raw/master/csl-citation.json" }</w:instrText>
      </w:r>
      <w:r w:rsidR="00686579">
        <w:rPr>
          <w:rFonts w:ascii="Arial" w:hAnsi="Arial" w:cs="Arial"/>
        </w:rPr>
        <w:fldChar w:fldCharType="separate"/>
      </w:r>
      <w:r w:rsidR="00B960BF" w:rsidRPr="00B960BF">
        <w:rPr>
          <w:rFonts w:ascii="Arial" w:hAnsi="Arial" w:cs="Arial"/>
          <w:noProof/>
          <w:vertAlign w:val="superscript"/>
        </w:rPr>
        <w:t>7,11,12</w:t>
      </w:r>
      <w:r w:rsidR="00686579">
        <w:rPr>
          <w:rFonts w:ascii="Arial" w:hAnsi="Arial" w:cs="Arial"/>
        </w:rPr>
        <w:fldChar w:fldCharType="end"/>
      </w:r>
      <w:r w:rsidR="00686579">
        <w:rPr>
          <w:rFonts w:ascii="Arial" w:hAnsi="Arial" w:cs="Arial"/>
        </w:rPr>
        <w:t xml:space="preserve"> </w:t>
      </w:r>
      <w:r w:rsidR="00B960BF">
        <w:rPr>
          <w:rFonts w:ascii="Arial" w:hAnsi="Arial" w:cs="Arial"/>
        </w:rPr>
        <w:t xml:space="preserve">Overall, these studies suggest that </w:t>
      </w:r>
      <w:r w:rsidR="00CF2D3D">
        <w:rPr>
          <w:rFonts w:ascii="Arial" w:hAnsi="Arial" w:cs="Arial"/>
        </w:rPr>
        <w:t xml:space="preserve">differences in </w:t>
      </w:r>
      <w:r w:rsidR="00B960BF">
        <w:rPr>
          <w:rFonts w:ascii="Arial" w:hAnsi="Arial" w:cs="Arial"/>
        </w:rPr>
        <w:t xml:space="preserve">translation regulation </w:t>
      </w:r>
      <w:r w:rsidR="00CF2D3D">
        <w:rPr>
          <w:rFonts w:ascii="Arial" w:hAnsi="Arial" w:cs="Arial"/>
        </w:rPr>
        <w:t>play</w:t>
      </w:r>
      <w:r w:rsidR="00B960BF">
        <w:rPr>
          <w:rFonts w:ascii="Arial" w:hAnsi="Arial" w:cs="Arial"/>
        </w:rPr>
        <w:t xml:space="preserve"> a considerable role in t</w:t>
      </w:r>
      <w:r w:rsidR="00CF2D3D">
        <w:rPr>
          <w:rFonts w:ascii="Arial" w:hAnsi="Arial" w:cs="Arial"/>
        </w:rPr>
        <w:t xml:space="preserve">he evolution of gene expression. However, in this study, only roughly 6% of </w:t>
      </w:r>
      <w:r w:rsidR="00FA31A8">
        <w:rPr>
          <w:rFonts w:ascii="Arial" w:hAnsi="Arial" w:cs="Arial"/>
        </w:rPr>
        <w:t xml:space="preserve">the total </w:t>
      </w:r>
      <w:r w:rsidR="00CF2D3D">
        <w:rPr>
          <w:rFonts w:ascii="Arial" w:hAnsi="Arial" w:cs="Arial"/>
        </w:rPr>
        <w:t>genes (332 out of 5438) exhibited differential translational efficiency</w:t>
      </w:r>
      <w:r w:rsidR="00CA0DB2">
        <w:rPr>
          <w:rFonts w:ascii="Arial" w:hAnsi="Arial" w:cs="Arial"/>
        </w:rPr>
        <w:t xml:space="preserve"> (TE)</w:t>
      </w:r>
      <w:r w:rsidR="00CF2D3D">
        <w:rPr>
          <w:rFonts w:ascii="Arial" w:hAnsi="Arial" w:cs="Arial"/>
        </w:rPr>
        <w:t xml:space="preserve">. </w:t>
      </w:r>
      <w:r w:rsidR="00FA31A8">
        <w:rPr>
          <w:rFonts w:ascii="Arial" w:hAnsi="Arial" w:cs="Arial"/>
        </w:rPr>
        <w:t xml:space="preserve">When observing just the significantly differently expressed genes the ratio of genes experiencing differential </w:t>
      </w:r>
      <w:r w:rsidR="00CA0DB2">
        <w:rPr>
          <w:rFonts w:ascii="Arial" w:hAnsi="Arial" w:cs="Arial"/>
        </w:rPr>
        <w:t>TE</w:t>
      </w:r>
      <w:r w:rsidR="00FA31A8">
        <w:rPr>
          <w:rFonts w:ascii="Arial" w:hAnsi="Arial" w:cs="Arial"/>
        </w:rPr>
        <w:t xml:space="preserve"> increases to </w:t>
      </w:r>
      <w:r w:rsidR="00C52703">
        <w:rPr>
          <w:rFonts w:ascii="Arial" w:hAnsi="Arial" w:cs="Arial"/>
        </w:rPr>
        <w:t>~</w:t>
      </w:r>
      <w:r w:rsidR="00FA31A8">
        <w:rPr>
          <w:rFonts w:ascii="Arial" w:hAnsi="Arial" w:cs="Arial"/>
        </w:rPr>
        <w:t>13% (332 out of 2472), but this is still less than the 25% observed in previous studies.</w:t>
      </w:r>
      <w:r w:rsidR="00FA31A8">
        <w:rPr>
          <w:rFonts w:ascii="Arial" w:hAnsi="Arial" w:cs="Arial"/>
        </w:rPr>
        <w:fldChar w:fldCharType="begin" w:fldLock="1"/>
      </w:r>
      <w:r w:rsidR="00FA31A8">
        <w:rPr>
          <w:rFonts w:ascii="Arial" w:hAnsi="Arial" w:cs="Arial"/>
        </w:rPr>
        <w:instrText>ADDIN CSL_CITATION { "citationItems" : [ { "id" : "ITEM-1", "itemData" : { "DOI" : "10.1101/gr.164996.113", "ISBN" : "1549-5469 (Electronic)\\r1088-9051 (Linking)", "ISSN" : "15495469", "PMID" : "24318730", "abstract" : "Understanding the patterns and causes of phenotypic divergence is a central goal in evolutionary biology. Much work has shown that mRNA abundance is highly variable between closely related species. However, the extent and mechanisms of post-transcriptional gene regulatory evolution are largely unknown. Here we used ribosome profiling to compare transcript abundance and translation efficiency in two closely related yeast species (S. cerevisiae and S. paradoxus). By comparing translation regulatory divergence to interspecies differences in mRNA sequence features, we show that differences in transcript leaders and codon bias substantially contribute to divergent translation. Globally, we find that translation regulatory divergence often buffers species-differences in mRNA abundance, such that ribosome occupancy is more conserved than transcript abundance. We used allele-specific ribosome profiling in interspecies hybrids to compare the relative contributions of cis- and trans-regulatory divergence to species differences in mRNA abundance and translation efficiency. The mode of gene regulatory divergence differs for these processes, as trans-regulatory changes play a greater role in divergent mRNA abundance than in divergent translation efficiency. Strikingly, most genes with aberrant transcript abundance in F1 hybrids (either over- or under-expressed compared to both parent species) did not exhibit aberrant ribosome occupancy. Our results show that interspecies differences in translation contribute substantially to the evolution of gene expression. Compensatory differences in transcript abundance and translation efficiency may increase the robustness of gene regulation.", "author" : [ { "dropping-particle" : "", "family" : "McManus", "given" : "C. Joel", "non-dropping-particle" : "", "parse-names" : false, "suffix" : "" }, { "dropping-particle" : "", "family" : "May", "given" : "Gemma E.", "non-dropping-particle" : "", "parse-names" : false, "suffix" : "" }, { "dropping-particle" : "", "family" : "Spealman", "given" : "Pieter", "non-dropping-particle" : "", "parse-names" : false, "suffix" : "" }, { "dropping-particle" : "", "family" : "Shteyman", "given" : "Alan", "non-dropping-particle" : "", "parse-names" : false, "suffix" : "" } ], "container-title" : "Genome Research", "id" : "ITEM-1", "issue" : "3", "issued" : { "date-parts" : [ [ "2014" ] ] }, "page" : "422-430", "title" : "Ribosome profiling reveals post-transcriptional buffering of divergent gene expression in yeast", "type" : "article-journal", "volume" : "24" }, "uris" : [ "http://www.mendeley.com/documents/?uuid=0b9f277a-8118-46eb-8a09-1bcba1a37d1f" ] } ], "mendeley" : { "formattedCitation" : "&lt;sup&gt;7&lt;/sup&gt;", "plainTextFormattedCitation" : "7" }, "properties" : { "noteIndex" : 0 }, "schema" : "https://github.com/citation-style-language/schema/raw/master/csl-citation.json" }</w:instrText>
      </w:r>
      <w:r w:rsidR="00FA31A8">
        <w:rPr>
          <w:rFonts w:ascii="Arial" w:hAnsi="Arial" w:cs="Arial"/>
        </w:rPr>
        <w:fldChar w:fldCharType="separate"/>
      </w:r>
      <w:r w:rsidR="00FA31A8" w:rsidRPr="00FA31A8">
        <w:rPr>
          <w:rFonts w:ascii="Arial" w:hAnsi="Arial" w:cs="Arial"/>
          <w:noProof/>
          <w:vertAlign w:val="superscript"/>
        </w:rPr>
        <w:t>7</w:t>
      </w:r>
      <w:r w:rsidR="00FA31A8">
        <w:rPr>
          <w:rFonts w:ascii="Arial" w:hAnsi="Arial" w:cs="Arial"/>
        </w:rPr>
        <w:fldChar w:fldCharType="end"/>
      </w:r>
    </w:p>
    <w:p w14:paraId="113B2E96" w14:textId="759F9686" w:rsidR="00FB028C" w:rsidRPr="000E454F" w:rsidRDefault="00FA31A8" w:rsidP="00692C04">
      <w:pPr>
        <w:jc w:val="both"/>
        <w:rPr>
          <w:rFonts w:ascii="Arial" w:hAnsi="Arial" w:cs="Arial"/>
        </w:rPr>
      </w:pPr>
      <w:r>
        <w:rPr>
          <w:rFonts w:ascii="Arial" w:hAnsi="Arial" w:cs="Arial"/>
        </w:rPr>
        <w:tab/>
        <w:t xml:space="preserve"> In the pool of significantly differentially expressed genes, </w:t>
      </w:r>
      <w:r w:rsidR="00C52703">
        <w:rPr>
          <w:rFonts w:ascii="Arial" w:hAnsi="Arial" w:cs="Arial"/>
        </w:rPr>
        <w:t>~53% of</w:t>
      </w:r>
      <w:r>
        <w:rPr>
          <w:rFonts w:ascii="Arial" w:hAnsi="Arial" w:cs="Arial"/>
        </w:rPr>
        <w:t xml:space="preserve"> genes were experiencing compensatory evolution (1,310 genes) </w:t>
      </w:r>
      <w:r w:rsidR="00C52703">
        <w:rPr>
          <w:rFonts w:ascii="Arial" w:hAnsi="Arial" w:cs="Arial"/>
        </w:rPr>
        <w:t>and ~47% of genes were experiencing coordinated evolution (</w:t>
      </w:r>
      <w:r w:rsidR="00C52703">
        <w:rPr>
          <w:rFonts w:ascii="Arial" w:hAnsi="Arial" w:cs="Arial"/>
        </w:rPr>
        <w:t>1,162 genes</w:t>
      </w:r>
      <w:r w:rsidR="00C52703">
        <w:rPr>
          <w:rFonts w:ascii="Arial" w:hAnsi="Arial" w:cs="Arial"/>
        </w:rPr>
        <w:t xml:space="preserve">). This is different than expected and it is speculated that the low number of genes experiencing differential </w:t>
      </w:r>
      <w:r w:rsidR="00CA0DB2">
        <w:rPr>
          <w:rFonts w:ascii="Arial" w:hAnsi="Arial" w:cs="Arial"/>
        </w:rPr>
        <w:t>TE</w:t>
      </w:r>
      <w:r w:rsidR="009C4454">
        <w:rPr>
          <w:rFonts w:ascii="Arial" w:hAnsi="Arial" w:cs="Arial"/>
        </w:rPr>
        <w:t xml:space="preserve"> (~13% of genes)</w:t>
      </w:r>
      <w:r w:rsidR="00C52703">
        <w:rPr>
          <w:rFonts w:ascii="Arial" w:hAnsi="Arial" w:cs="Arial"/>
        </w:rPr>
        <w:t xml:space="preserve"> is affecting this distribution. </w:t>
      </w:r>
      <w:r w:rsidR="00CA0DB2">
        <w:rPr>
          <w:rFonts w:ascii="Arial" w:hAnsi="Arial" w:cs="Arial"/>
        </w:rPr>
        <w:t>However, it appears that when TE is decreased significantly, many more genes pass the significance threshold regardless of mRNA expression. When mRNA is up regulated and TE is down regulated ~37% of genes are experiencing compensatory evolution, compared to when mRNA is down regulated and TE is up regulated (~15% of genes).</w:t>
      </w:r>
      <w:r w:rsidR="009C4454">
        <w:rPr>
          <w:rFonts w:ascii="Arial" w:hAnsi="Arial" w:cs="Arial"/>
        </w:rPr>
        <w:t xml:space="preserve"> Also, when mRNA and TE are downregulated ~33</w:t>
      </w:r>
      <w:r w:rsidR="00CA0DB2">
        <w:rPr>
          <w:rFonts w:ascii="Arial" w:hAnsi="Arial" w:cs="Arial"/>
        </w:rPr>
        <w:t>% of genes are experiencing coordinated evolution, compa</w:t>
      </w:r>
      <w:r w:rsidR="009C4454">
        <w:rPr>
          <w:rFonts w:ascii="Arial" w:hAnsi="Arial" w:cs="Arial"/>
        </w:rPr>
        <w:t>red to when mRNA and TE are up</w:t>
      </w:r>
      <w:r w:rsidR="00CA0DB2">
        <w:rPr>
          <w:rFonts w:ascii="Arial" w:hAnsi="Arial" w:cs="Arial"/>
        </w:rPr>
        <w:t>regulated (</w:t>
      </w:r>
      <w:r w:rsidR="009C4454">
        <w:rPr>
          <w:rFonts w:ascii="Arial" w:hAnsi="Arial" w:cs="Arial"/>
        </w:rPr>
        <w:t xml:space="preserve">~14% of genes). </w:t>
      </w:r>
      <w:r w:rsidR="00CA0DB2">
        <w:rPr>
          <w:rFonts w:ascii="Arial" w:hAnsi="Arial" w:cs="Arial"/>
        </w:rPr>
        <w:t xml:space="preserve">This could suggest that </w:t>
      </w:r>
      <w:r w:rsidR="009C4454">
        <w:rPr>
          <w:rFonts w:ascii="Arial" w:hAnsi="Arial" w:cs="Arial"/>
        </w:rPr>
        <w:t xml:space="preserve">negative </w:t>
      </w:r>
      <w:r w:rsidR="00CA0DB2">
        <w:rPr>
          <w:rFonts w:ascii="Arial" w:hAnsi="Arial" w:cs="Arial"/>
        </w:rPr>
        <w:t xml:space="preserve">changes in TE could affect divergence more than mRNA abundance.   </w:t>
      </w:r>
      <w:bookmarkStart w:id="0" w:name="_GoBack"/>
      <w:bookmarkEnd w:id="0"/>
    </w:p>
    <w:p w14:paraId="5389AFFF" w14:textId="77777777" w:rsidR="000F3CB4" w:rsidRPr="000F3CB4" w:rsidRDefault="000F3CB4">
      <w:pPr>
        <w:rPr>
          <w:rFonts w:ascii="Arial" w:hAnsi="Arial" w:cs="Arial"/>
        </w:rPr>
      </w:pPr>
    </w:p>
    <w:p w14:paraId="2EDFA19F" w14:textId="502147E8" w:rsidR="00490017" w:rsidRDefault="00490017">
      <w:pPr>
        <w:rPr>
          <w:rFonts w:ascii="Arial" w:hAnsi="Arial" w:cs="Arial"/>
          <w:b/>
          <w:sz w:val="26"/>
          <w:szCs w:val="26"/>
        </w:rPr>
      </w:pPr>
      <w:r w:rsidRPr="00490017">
        <w:rPr>
          <w:rFonts w:ascii="Arial" w:hAnsi="Arial" w:cs="Arial"/>
          <w:b/>
          <w:sz w:val="26"/>
          <w:szCs w:val="26"/>
        </w:rPr>
        <w:t xml:space="preserve">Supplemental Material </w:t>
      </w:r>
    </w:p>
    <w:p w14:paraId="27D07722" w14:textId="387D2BC7" w:rsidR="007E5800" w:rsidRPr="000E454F" w:rsidRDefault="007E5800" w:rsidP="007E5800">
      <w:pPr>
        <w:pStyle w:val="ListParagraph"/>
        <w:numPr>
          <w:ilvl w:val="0"/>
          <w:numId w:val="1"/>
        </w:numPr>
        <w:rPr>
          <w:rFonts w:ascii="Arial" w:hAnsi="Arial" w:cs="Arial"/>
        </w:rPr>
      </w:pPr>
      <w:r>
        <w:rPr>
          <w:rFonts w:ascii="Arial" w:hAnsi="Arial" w:cs="Arial"/>
          <w:sz w:val="26"/>
          <w:szCs w:val="26"/>
        </w:rPr>
        <w:t>‘</w:t>
      </w:r>
      <w:r w:rsidRPr="000E454F">
        <w:rPr>
          <w:rFonts w:ascii="Arial" w:hAnsi="Arial" w:cs="Arial"/>
        </w:rPr>
        <w:t xml:space="preserve">mRNA_diff_exp.pdf’ – Table of differentially expressed genes between </w:t>
      </w:r>
      <w:r w:rsidRPr="000E454F">
        <w:rPr>
          <w:rFonts w:ascii="Arial" w:hAnsi="Arial" w:cs="Arial"/>
        </w:rPr>
        <w:t>S.</w:t>
      </w:r>
      <w:r w:rsidRPr="000E454F">
        <w:rPr>
          <w:rFonts w:ascii="Arial" w:hAnsi="Arial" w:cs="Arial"/>
          <w:i/>
        </w:rPr>
        <w:t xml:space="preserve"> cerevisiae</w:t>
      </w:r>
      <w:r w:rsidRPr="000E454F">
        <w:rPr>
          <w:rFonts w:ascii="Arial" w:hAnsi="Arial" w:cs="Arial"/>
        </w:rPr>
        <w:t xml:space="preserve"> and </w:t>
      </w:r>
      <w:r w:rsidRPr="000E454F">
        <w:rPr>
          <w:rFonts w:ascii="Arial" w:hAnsi="Arial" w:cs="Arial"/>
          <w:i/>
        </w:rPr>
        <w:t>S. paradoxus</w:t>
      </w:r>
      <w:r w:rsidRPr="000E454F">
        <w:rPr>
          <w:rFonts w:ascii="Arial" w:hAnsi="Arial" w:cs="Arial"/>
        </w:rPr>
        <w:t xml:space="preserve"> </w:t>
      </w:r>
      <w:r w:rsidRPr="000E454F">
        <w:rPr>
          <w:rFonts w:ascii="Arial" w:hAnsi="Arial" w:cs="Arial"/>
        </w:rPr>
        <w:t>that pass the significance threshold (FDR: 10%)</w:t>
      </w:r>
    </w:p>
    <w:p w14:paraId="21619AD2" w14:textId="306692A4" w:rsidR="007E5800" w:rsidRPr="000E454F" w:rsidRDefault="007E5800" w:rsidP="007E5800">
      <w:pPr>
        <w:pStyle w:val="ListParagraph"/>
        <w:numPr>
          <w:ilvl w:val="0"/>
          <w:numId w:val="1"/>
        </w:numPr>
        <w:rPr>
          <w:rFonts w:ascii="Arial" w:hAnsi="Arial" w:cs="Arial"/>
        </w:rPr>
      </w:pPr>
      <w:r w:rsidRPr="000E454F">
        <w:rPr>
          <w:rFonts w:ascii="Arial" w:hAnsi="Arial" w:cs="Arial"/>
        </w:rPr>
        <w:t xml:space="preserve">‘rRNA_diff_exp.pdf’ – Table of genes with differential ribosomal occupancy between </w:t>
      </w:r>
      <w:r w:rsidRPr="000E454F">
        <w:rPr>
          <w:rFonts w:ascii="Arial" w:hAnsi="Arial" w:cs="Arial"/>
        </w:rPr>
        <w:t>S.</w:t>
      </w:r>
      <w:r w:rsidRPr="000E454F">
        <w:rPr>
          <w:rFonts w:ascii="Arial" w:hAnsi="Arial" w:cs="Arial"/>
          <w:i/>
        </w:rPr>
        <w:t xml:space="preserve"> cerevisiae</w:t>
      </w:r>
      <w:r w:rsidRPr="000E454F">
        <w:rPr>
          <w:rFonts w:ascii="Arial" w:hAnsi="Arial" w:cs="Arial"/>
        </w:rPr>
        <w:t xml:space="preserve"> and </w:t>
      </w:r>
      <w:r w:rsidRPr="000E454F">
        <w:rPr>
          <w:rFonts w:ascii="Arial" w:hAnsi="Arial" w:cs="Arial"/>
          <w:i/>
        </w:rPr>
        <w:t>S. paradoxus</w:t>
      </w:r>
      <w:r w:rsidRPr="000E454F">
        <w:rPr>
          <w:rFonts w:ascii="Arial" w:hAnsi="Arial" w:cs="Arial"/>
        </w:rPr>
        <w:t xml:space="preserve"> that pass the significance threshold (FDR: 10%)</w:t>
      </w:r>
    </w:p>
    <w:p w14:paraId="1541C24B" w14:textId="4C723CF8" w:rsidR="007E5800" w:rsidRPr="000E454F" w:rsidRDefault="007E5800" w:rsidP="007E5800">
      <w:pPr>
        <w:pStyle w:val="ListParagraph"/>
        <w:numPr>
          <w:ilvl w:val="0"/>
          <w:numId w:val="1"/>
        </w:numPr>
        <w:rPr>
          <w:rFonts w:ascii="Arial" w:hAnsi="Arial" w:cs="Arial"/>
        </w:rPr>
      </w:pPr>
      <w:r w:rsidRPr="000E454F">
        <w:rPr>
          <w:rFonts w:ascii="Arial" w:hAnsi="Arial" w:cs="Arial"/>
        </w:rPr>
        <w:t xml:space="preserve">‘trans_eff_diff_exp.pdf’ - </w:t>
      </w:r>
      <w:r w:rsidRPr="000E454F">
        <w:rPr>
          <w:rFonts w:ascii="Arial" w:hAnsi="Arial" w:cs="Arial"/>
        </w:rPr>
        <w:t xml:space="preserve">Table of genes with differential </w:t>
      </w:r>
      <w:r w:rsidRPr="000E454F">
        <w:rPr>
          <w:rFonts w:ascii="Arial" w:hAnsi="Arial" w:cs="Arial"/>
        </w:rPr>
        <w:t>translational efficiency</w:t>
      </w:r>
      <w:r w:rsidRPr="000E454F">
        <w:rPr>
          <w:rFonts w:ascii="Arial" w:hAnsi="Arial" w:cs="Arial"/>
        </w:rPr>
        <w:t xml:space="preserve"> between S.</w:t>
      </w:r>
      <w:r w:rsidRPr="000E454F">
        <w:rPr>
          <w:rFonts w:ascii="Arial" w:hAnsi="Arial" w:cs="Arial"/>
          <w:i/>
        </w:rPr>
        <w:t xml:space="preserve"> cerevisiae</w:t>
      </w:r>
      <w:r w:rsidRPr="000E454F">
        <w:rPr>
          <w:rFonts w:ascii="Arial" w:hAnsi="Arial" w:cs="Arial"/>
        </w:rPr>
        <w:t xml:space="preserve"> and </w:t>
      </w:r>
      <w:r w:rsidRPr="000E454F">
        <w:rPr>
          <w:rFonts w:ascii="Arial" w:hAnsi="Arial" w:cs="Arial"/>
          <w:i/>
        </w:rPr>
        <w:t>S. paradoxus</w:t>
      </w:r>
      <w:r w:rsidRPr="000E454F">
        <w:rPr>
          <w:rFonts w:ascii="Arial" w:hAnsi="Arial" w:cs="Arial"/>
        </w:rPr>
        <w:t xml:space="preserve"> that pass the significance threshold (FDR: 10%)</w:t>
      </w:r>
    </w:p>
    <w:p w14:paraId="707E0AD7" w14:textId="77777777" w:rsidR="00AE3613" w:rsidRPr="000E454F" w:rsidRDefault="00AE3613" w:rsidP="007E5800">
      <w:pPr>
        <w:rPr>
          <w:rFonts w:ascii="Arial" w:hAnsi="Arial" w:cs="Arial"/>
        </w:rPr>
      </w:pPr>
    </w:p>
    <w:p w14:paraId="3FB57C19" w14:textId="06976ED9" w:rsidR="007E5800" w:rsidRDefault="007E5800" w:rsidP="007E5800">
      <w:pPr>
        <w:rPr>
          <w:rFonts w:ascii="Arial" w:hAnsi="Arial" w:cs="Arial"/>
          <w:sz w:val="26"/>
          <w:szCs w:val="26"/>
        </w:rPr>
      </w:pPr>
      <w:r>
        <w:rPr>
          <w:rFonts w:ascii="Arial" w:hAnsi="Arial" w:cs="Arial"/>
          <w:sz w:val="26"/>
          <w:szCs w:val="26"/>
        </w:rPr>
        <w:t xml:space="preserve">Supplemental material and all scripts can be found at: </w:t>
      </w:r>
    </w:p>
    <w:p w14:paraId="5599C13F" w14:textId="78D51126" w:rsidR="007E5800" w:rsidRDefault="007E5800" w:rsidP="007E5800">
      <w:pPr>
        <w:rPr>
          <w:rFonts w:ascii="Arial" w:hAnsi="Arial" w:cs="Arial"/>
          <w:sz w:val="26"/>
          <w:szCs w:val="26"/>
        </w:rPr>
      </w:pPr>
      <w:hyperlink r:id="rId10" w:history="1">
        <w:r w:rsidRPr="00072F14">
          <w:rPr>
            <w:rStyle w:val="Hyperlink"/>
            <w:rFonts w:ascii="Arial" w:hAnsi="Arial" w:cs="Arial"/>
            <w:sz w:val="26"/>
            <w:szCs w:val="26"/>
          </w:rPr>
          <w:t>https://github.com/aweinnig/HTS-Seminar/tree/master/Final</w:t>
        </w:r>
      </w:hyperlink>
    </w:p>
    <w:p w14:paraId="20FFE920" w14:textId="77777777" w:rsidR="007E5800" w:rsidRPr="007E5800" w:rsidRDefault="007E5800" w:rsidP="007E5800">
      <w:pPr>
        <w:rPr>
          <w:rFonts w:ascii="Arial" w:hAnsi="Arial" w:cs="Arial"/>
          <w:sz w:val="26"/>
          <w:szCs w:val="26"/>
        </w:rPr>
      </w:pPr>
    </w:p>
    <w:p w14:paraId="5F4531E5" w14:textId="6EF5A30D" w:rsidR="000F3CB4" w:rsidRPr="00B7779F" w:rsidRDefault="00B7779F">
      <w:pPr>
        <w:rPr>
          <w:rFonts w:ascii="Arial" w:hAnsi="Arial" w:cs="Arial"/>
          <w:b/>
          <w:sz w:val="26"/>
          <w:szCs w:val="26"/>
        </w:rPr>
      </w:pPr>
      <w:r w:rsidRPr="00B7779F">
        <w:rPr>
          <w:rFonts w:ascii="Arial" w:hAnsi="Arial" w:cs="Arial"/>
          <w:b/>
          <w:sz w:val="26"/>
          <w:szCs w:val="26"/>
        </w:rPr>
        <w:t>References</w:t>
      </w:r>
    </w:p>
    <w:p w14:paraId="7C98146D" w14:textId="77777777" w:rsidR="000F3CB4" w:rsidRPr="000F3CB4" w:rsidRDefault="000F3CB4">
      <w:pPr>
        <w:rPr>
          <w:rFonts w:ascii="Arial" w:hAnsi="Arial" w:cs="Arial"/>
        </w:rPr>
      </w:pPr>
    </w:p>
    <w:p w14:paraId="7E6226B3" w14:textId="41F0CCB5" w:rsidR="00FA31A8" w:rsidRPr="00FA31A8" w:rsidRDefault="00B7779F" w:rsidP="00FA31A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FA31A8" w:rsidRPr="00FA31A8">
        <w:rPr>
          <w:rFonts w:ascii="Calibri" w:eastAsia="Times New Roman" w:hAnsi="Calibri" w:cs="Times New Roman"/>
          <w:noProof/>
        </w:rPr>
        <w:t>1.</w:t>
      </w:r>
      <w:r w:rsidR="00FA31A8" w:rsidRPr="00FA31A8">
        <w:rPr>
          <w:rFonts w:ascii="Calibri" w:eastAsia="Times New Roman" w:hAnsi="Calibri" w:cs="Times New Roman"/>
          <w:noProof/>
        </w:rPr>
        <w:tab/>
        <w:t xml:space="preserve">Li, J. J. &amp; Biggin, M. D. Statistics requantitates the central dogma. </w:t>
      </w:r>
      <w:r w:rsidR="00FA31A8" w:rsidRPr="00FA31A8">
        <w:rPr>
          <w:rFonts w:ascii="Calibri" w:eastAsia="Times New Roman" w:hAnsi="Calibri" w:cs="Times New Roman"/>
          <w:i/>
          <w:iCs/>
          <w:noProof/>
        </w:rPr>
        <w:t>Science (80-. ).</w:t>
      </w:r>
      <w:r w:rsidR="00FA31A8" w:rsidRPr="00FA31A8">
        <w:rPr>
          <w:rFonts w:ascii="Calibri" w:eastAsia="Times New Roman" w:hAnsi="Calibri" w:cs="Times New Roman"/>
          <w:noProof/>
        </w:rPr>
        <w:t xml:space="preserve"> </w:t>
      </w:r>
      <w:r w:rsidR="00FA31A8" w:rsidRPr="00FA31A8">
        <w:rPr>
          <w:rFonts w:ascii="Calibri" w:eastAsia="Times New Roman" w:hAnsi="Calibri" w:cs="Times New Roman"/>
          <w:b/>
          <w:bCs/>
          <w:noProof/>
        </w:rPr>
        <w:t>347,</w:t>
      </w:r>
      <w:r w:rsidR="00FA31A8" w:rsidRPr="00FA31A8">
        <w:rPr>
          <w:rFonts w:ascii="Calibri" w:eastAsia="Times New Roman" w:hAnsi="Calibri" w:cs="Times New Roman"/>
          <w:noProof/>
        </w:rPr>
        <w:t xml:space="preserve"> 1066–1067 (2015).</w:t>
      </w:r>
    </w:p>
    <w:p w14:paraId="16738DD3"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2.</w:t>
      </w:r>
      <w:r w:rsidRPr="00FA31A8">
        <w:rPr>
          <w:rFonts w:ascii="Calibri" w:eastAsia="Times New Roman" w:hAnsi="Calibri" w:cs="Times New Roman"/>
          <w:noProof/>
        </w:rPr>
        <w:tab/>
        <w:t xml:space="preserve">Ingolia, N. T., Ghaemmaghami, S., Newman, J. R. S. &amp; Weissman, J. S. Genome-wide analysis in vivo of translation with nucleotide resolution using ribosome profiling. </w:t>
      </w:r>
      <w:r w:rsidRPr="00FA31A8">
        <w:rPr>
          <w:rFonts w:ascii="Calibri" w:eastAsia="Times New Roman" w:hAnsi="Calibri" w:cs="Times New Roman"/>
          <w:i/>
          <w:iCs/>
          <w:noProof/>
        </w:rPr>
        <w:t>Science</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324,</w:t>
      </w:r>
      <w:r w:rsidRPr="00FA31A8">
        <w:rPr>
          <w:rFonts w:ascii="Calibri" w:eastAsia="Times New Roman" w:hAnsi="Calibri" w:cs="Times New Roman"/>
          <w:noProof/>
        </w:rPr>
        <w:t xml:space="preserve"> 218–23 (2009).</w:t>
      </w:r>
    </w:p>
    <w:p w14:paraId="6A14A799"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3.</w:t>
      </w:r>
      <w:r w:rsidRPr="00FA31A8">
        <w:rPr>
          <w:rFonts w:ascii="Calibri" w:eastAsia="Times New Roman" w:hAnsi="Calibri" w:cs="Times New Roman"/>
          <w:noProof/>
        </w:rPr>
        <w:tab/>
        <w:t xml:space="preserve">Dujon, B. Yeasts illustrate the molecular mechanisms of eukaryotic genome evolution. </w:t>
      </w:r>
      <w:r w:rsidRPr="00FA31A8">
        <w:rPr>
          <w:rFonts w:ascii="Calibri" w:eastAsia="Times New Roman" w:hAnsi="Calibri" w:cs="Times New Roman"/>
          <w:i/>
          <w:iCs/>
          <w:noProof/>
        </w:rPr>
        <w:t>Trends Genet.</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22,</w:t>
      </w:r>
      <w:r w:rsidRPr="00FA31A8">
        <w:rPr>
          <w:rFonts w:ascii="Calibri" w:eastAsia="Times New Roman" w:hAnsi="Calibri" w:cs="Times New Roman"/>
          <w:noProof/>
        </w:rPr>
        <w:t xml:space="preserve"> 375–387 (2006).</w:t>
      </w:r>
    </w:p>
    <w:p w14:paraId="356E9184"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4.</w:t>
      </w:r>
      <w:r w:rsidRPr="00FA31A8">
        <w:rPr>
          <w:rFonts w:ascii="Calibri" w:eastAsia="Times New Roman" w:hAnsi="Calibri" w:cs="Times New Roman"/>
          <w:noProof/>
        </w:rPr>
        <w:tab/>
        <w:t xml:space="preserve">Piskur, J. &amp; Langkjaer, R. B. Yeast genome sequencing: the power of comparative genomics. </w:t>
      </w:r>
      <w:r w:rsidRPr="00FA31A8">
        <w:rPr>
          <w:rFonts w:ascii="Calibri" w:eastAsia="Times New Roman" w:hAnsi="Calibri" w:cs="Times New Roman"/>
          <w:i/>
          <w:iCs/>
          <w:noProof/>
        </w:rPr>
        <w:t>Mol. Microbiol.</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53,</w:t>
      </w:r>
      <w:r w:rsidRPr="00FA31A8">
        <w:rPr>
          <w:rFonts w:ascii="Calibri" w:eastAsia="Times New Roman" w:hAnsi="Calibri" w:cs="Times New Roman"/>
          <w:noProof/>
        </w:rPr>
        <w:t xml:space="preserve"> 381–9 (2004).</w:t>
      </w:r>
    </w:p>
    <w:p w14:paraId="6DD1553C"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5.</w:t>
      </w:r>
      <w:r w:rsidRPr="00FA31A8">
        <w:rPr>
          <w:rFonts w:ascii="Calibri" w:eastAsia="Times New Roman" w:hAnsi="Calibri" w:cs="Times New Roman"/>
          <w:noProof/>
        </w:rPr>
        <w:tab/>
        <w:t xml:space="preserve">Sniegowski, P. D., Dombrowski, P. G. &amp; Fingerman, E. Saccharomyces cerevisiae and Saccharomyces paradoxus coexist in a natural woodland site in North America and display different levels of reproductive isolation from European conspecifics. </w:t>
      </w:r>
      <w:r w:rsidRPr="00FA31A8">
        <w:rPr>
          <w:rFonts w:ascii="Calibri" w:eastAsia="Times New Roman" w:hAnsi="Calibri" w:cs="Times New Roman"/>
          <w:i/>
          <w:iCs/>
          <w:noProof/>
        </w:rPr>
        <w:t>FEMS Yeast Res.</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1,</w:t>
      </w:r>
      <w:r w:rsidRPr="00FA31A8">
        <w:rPr>
          <w:rFonts w:ascii="Calibri" w:eastAsia="Times New Roman" w:hAnsi="Calibri" w:cs="Times New Roman"/>
          <w:noProof/>
        </w:rPr>
        <w:t xml:space="preserve"> 299–306 (2002).</w:t>
      </w:r>
    </w:p>
    <w:p w14:paraId="12BFC84D"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6.</w:t>
      </w:r>
      <w:r w:rsidRPr="00FA31A8">
        <w:rPr>
          <w:rFonts w:ascii="Calibri" w:eastAsia="Times New Roman" w:hAnsi="Calibri" w:cs="Times New Roman"/>
          <w:noProof/>
        </w:rPr>
        <w:tab/>
        <w:t xml:space="preserve">Scannell, D. R. </w:t>
      </w:r>
      <w:r w:rsidRPr="00FA31A8">
        <w:rPr>
          <w:rFonts w:ascii="Calibri" w:eastAsia="Times New Roman" w:hAnsi="Calibri" w:cs="Times New Roman"/>
          <w:i/>
          <w:iCs/>
          <w:noProof/>
        </w:rPr>
        <w:t>et al.</w:t>
      </w:r>
      <w:r w:rsidRPr="00FA31A8">
        <w:rPr>
          <w:rFonts w:ascii="Calibri" w:eastAsia="Times New Roman" w:hAnsi="Calibri" w:cs="Times New Roman"/>
          <w:noProof/>
        </w:rPr>
        <w:t xml:space="preserve"> The Awesome Power of Yeast Evolutionary Genetics: New Genome Sequences and Strain Resources for the Saccharomyces sensu stricto Genus. </w:t>
      </w:r>
      <w:r w:rsidRPr="00FA31A8">
        <w:rPr>
          <w:rFonts w:ascii="Calibri" w:eastAsia="Times New Roman" w:hAnsi="Calibri" w:cs="Times New Roman"/>
          <w:i/>
          <w:iCs/>
          <w:noProof/>
        </w:rPr>
        <w:t>G3 (Bethesda).</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1,</w:t>
      </w:r>
      <w:r w:rsidRPr="00FA31A8">
        <w:rPr>
          <w:rFonts w:ascii="Calibri" w:eastAsia="Times New Roman" w:hAnsi="Calibri" w:cs="Times New Roman"/>
          <w:noProof/>
        </w:rPr>
        <w:t xml:space="preserve"> 11–25 (2011).</w:t>
      </w:r>
    </w:p>
    <w:p w14:paraId="6273DBDB"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7.</w:t>
      </w:r>
      <w:r w:rsidRPr="00FA31A8">
        <w:rPr>
          <w:rFonts w:ascii="Calibri" w:eastAsia="Times New Roman" w:hAnsi="Calibri" w:cs="Times New Roman"/>
          <w:noProof/>
        </w:rPr>
        <w:tab/>
        <w:t xml:space="preserve">McManus, C. J., May, G. E., Spealman, P. &amp; Shteyman, A. Ribosome profiling reveals post-transcriptional buffering of divergent gene expression in yeast. </w:t>
      </w:r>
      <w:r w:rsidRPr="00FA31A8">
        <w:rPr>
          <w:rFonts w:ascii="Calibri" w:eastAsia="Times New Roman" w:hAnsi="Calibri" w:cs="Times New Roman"/>
          <w:i/>
          <w:iCs/>
          <w:noProof/>
        </w:rPr>
        <w:t>Genome Res.</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24,</w:t>
      </w:r>
      <w:r w:rsidRPr="00FA31A8">
        <w:rPr>
          <w:rFonts w:ascii="Calibri" w:eastAsia="Times New Roman" w:hAnsi="Calibri" w:cs="Times New Roman"/>
          <w:noProof/>
        </w:rPr>
        <w:t xml:space="preserve"> 422–430 (2014).</w:t>
      </w:r>
    </w:p>
    <w:p w14:paraId="11C64F02"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8.</w:t>
      </w:r>
      <w:r w:rsidRPr="00FA31A8">
        <w:rPr>
          <w:rFonts w:ascii="Calibri" w:eastAsia="Times New Roman" w:hAnsi="Calibri" w:cs="Times New Roman"/>
          <w:noProof/>
        </w:rPr>
        <w:tab/>
        <w:t xml:space="preserve">Bray, N. L., Pimentel, H., Melsted, P. &amp; Pachter, L. Near-optimal probabilistic RNA-seq quantification. </w:t>
      </w:r>
      <w:r w:rsidRPr="00FA31A8">
        <w:rPr>
          <w:rFonts w:ascii="Calibri" w:eastAsia="Times New Roman" w:hAnsi="Calibri" w:cs="Times New Roman"/>
          <w:i/>
          <w:iCs/>
          <w:noProof/>
        </w:rPr>
        <w:t>Nat. Biotechnol.</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34,</w:t>
      </w:r>
      <w:r w:rsidRPr="00FA31A8">
        <w:rPr>
          <w:rFonts w:ascii="Calibri" w:eastAsia="Times New Roman" w:hAnsi="Calibri" w:cs="Times New Roman"/>
          <w:noProof/>
        </w:rPr>
        <w:t xml:space="preserve"> 525–527 (2016).</w:t>
      </w:r>
    </w:p>
    <w:p w14:paraId="7FD1A929"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9.</w:t>
      </w:r>
      <w:r w:rsidRPr="00FA31A8">
        <w:rPr>
          <w:rFonts w:ascii="Calibri" w:eastAsia="Times New Roman" w:hAnsi="Calibri" w:cs="Times New Roman"/>
          <w:noProof/>
        </w:rPr>
        <w:tab/>
        <w:t xml:space="preserve">Love, M. I., Huber, W. &amp; Anders, S. Moderated estimation of fold change and dispersion for RNA-seq data with DESeq2. </w:t>
      </w:r>
      <w:r w:rsidRPr="00FA31A8">
        <w:rPr>
          <w:rFonts w:ascii="Calibri" w:eastAsia="Times New Roman" w:hAnsi="Calibri" w:cs="Times New Roman"/>
          <w:i/>
          <w:iCs/>
          <w:noProof/>
        </w:rPr>
        <w:t>Genome Biol.</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15,</w:t>
      </w:r>
      <w:r w:rsidRPr="00FA31A8">
        <w:rPr>
          <w:rFonts w:ascii="Calibri" w:eastAsia="Times New Roman" w:hAnsi="Calibri" w:cs="Times New Roman"/>
          <w:noProof/>
        </w:rPr>
        <w:t xml:space="preserve"> 550 (2014).</w:t>
      </w:r>
    </w:p>
    <w:p w14:paraId="295374E5"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10.</w:t>
      </w:r>
      <w:r w:rsidRPr="00FA31A8">
        <w:rPr>
          <w:rFonts w:ascii="Calibri" w:eastAsia="Times New Roman" w:hAnsi="Calibri" w:cs="Times New Roman"/>
          <w:noProof/>
        </w:rPr>
        <w:tab/>
        <w:t xml:space="preserve">Soneson, C., Love, M. I. &amp; Robinson, M. D. Differential analyses for RNA-seq: transcript-level estimates improve gene-level inferences. </w:t>
      </w:r>
      <w:r w:rsidRPr="00FA31A8">
        <w:rPr>
          <w:rFonts w:ascii="Calibri" w:eastAsia="Times New Roman" w:hAnsi="Calibri" w:cs="Times New Roman"/>
          <w:i/>
          <w:iCs/>
          <w:noProof/>
        </w:rPr>
        <w:t>F1000Research</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4,</w:t>
      </w:r>
      <w:r w:rsidRPr="00FA31A8">
        <w:rPr>
          <w:rFonts w:ascii="Calibri" w:eastAsia="Times New Roman" w:hAnsi="Calibri" w:cs="Times New Roman"/>
          <w:noProof/>
        </w:rPr>
        <w:t xml:space="preserve"> 1521 (2015).</w:t>
      </w:r>
    </w:p>
    <w:p w14:paraId="01B8375B" w14:textId="77777777" w:rsidR="00FA31A8" w:rsidRPr="00FA31A8" w:rsidRDefault="00FA31A8" w:rsidP="00FA31A8">
      <w:pPr>
        <w:widowControl w:val="0"/>
        <w:autoSpaceDE w:val="0"/>
        <w:autoSpaceDN w:val="0"/>
        <w:adjustRightInd w:val="0"/>
        <w:ind w:left="640" w:hanging="640"/>
        <w:rPr>
          <w:rFonts w:ascii="Calibri" w:eastAsia="Times New Roman" w:hAnsi="Calibri" w:cs="Times New Roman"/>
          <w:noProof/>
        </w:rPr>
      </w:pPr>
      <w:r w:rsidRPr="00FA31A8">
        <w:rPr>
          <w:rFonts w:ascii="Calibri" w:eastAsia="Times New Roman" w:hAnsi="Calibri" w:cs="Times New Roman"/>
          <w:noProof/>
        </w:rPr>
        <w:t>11.</w:t>
      </w:r>
      <w:r w:rsidRPr="00FA31A8">
        <w:rPr>
          <w:rFonts w:ascii="Calibri" w:eastAsia="Times New Roman" w:hAnsi="Calibri" w:cs="Times New Roman"/>
          <w:noProof/>
        </w:rPr>
        <w:tab/>
        <w:t xml:space="preserve">Foss, E. J. </w:t>
      </w:r>
      <w:r w:rsidRPr="00FA31A8">
        <w:rPr>
          <w:rFonts w:ascii="Calibri" w:eastAsia="Times New Roman" w:hAnsi="Calibri" w:cs="Times New Roman"/>
          <w:i/>
          <w:iCs/>
          <w:noProof/>
        </w:rPr>
        <w:t>et al.</w:t>
      </w:r>
      <w:r w:rsidRPr="00FA31A8">
        <w:rPr>
          <w:rFonts w:ascii="Calibri" w:eastAsia="Times New Roman" w:hAnsi="Calibri" w:cs="Times New Roman"/>
          <w:noProof/>
        </w:rPr>
        <w:t xml:space="preserve"> Genetic variation shapes protein networks mainly through non-transcriptional mechanisms. </w:t>
      </w:r>
      <w:r w:rsidRPr="00FA31A8">
        <w:rPr>
          <w:rFonts w:ascii="Calibri" w:eastAsia="Times New Roman" w:hAnsi="Calibri" w:cs="Times New Roman"/>
          <w:i/>
          <w:iCs/>
          <w:noProof/>
        </w:rPr>
        <w:t>PLoS Biol.</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9,</w:t>
      </w:r>
      <w:r w:rsidRPr="00FA31A8">
        <w:rPr>
          <w:rFonts w:ascii="Calibri" w:eastAsia="Times New Roman" w:hAnsi="Calibri" w:cs="Times New Roman"/>
          <w:noProof/>
        </w:rPr>
        <w:t xml:space="preserve"> (2011).</w:t>
      </w:r>
    </w:p>
    <w:p w14:paraId="13306073" w14:textId="77777777" w:rsidR="00FA31A8" w:rsidRPr="00FA31A8" w:rsidRDefault="00FA31A8" w:rsidP="00FA31A8">
      <w:pPr>
        <w:widowControl w:val="0"/>
        <w:autoSpaceDE w:val="0"/>
        <w:autoSpaceDN w:val="0"/>
        <w:adjustRightInd w:val="0"/>
        <w:ind w:left="640" w:hanging="640"/>
        <w:rPr>
          <w:rFonts w:ascii="Calibri" w:hAnsi="Calibri"/>
          <w:noProof/>
        </w:rPr>
      </w:pPr>
      <w:r w:rsidRPr="00FA31A8">
        <w:rPr>
          <w:rFonts w:ascii="Calibri" w:eastAsia="Times New Roman" w:hAnsi="Calibri" w:cs="Times New Roman"/>
          <w:noProof/>
        </w:rPr>
        <w:t>12.</w:t>
      </w:r>
      <w:r w:rsidRPr="00FA31A8">
        <w:rPr>
          <w:rFonts w:ascii="Calibri" w:eastAsia="Times New Roman" w:hAnsi="Calibri" w:cs="Times New Roman"/>
          <w:noProof/>
        </w:rPr>
        <w:tab/>
        <w:t xml:space="preserve">Wu, L. </w:t>
      </w:r>
      <w:r w:rsidRPr="00FA31A8">
        <w:rPr>
          <w:rFonts w:ascii="Calibri" w:eastAsia="Times New Roman" w:hAnsi="Calibri" w:cs="Times New Roman"/>
          <w:i/>
          <w:iCs/>
          <w:noProof/>
        </w:rPr>
        <w:t>et al.</w:t>
      </w:r>
      <w:r w:rsidRPr="00FA31A8">
        <w:rPr>
          <w:rFonts w:ascii="Calibri" w:eastAsia="Times New Roman" w:hAnsi="Calibri" w:cs="Times New Roman"/>
          <w:noProof/>
        </w:rPr>
        <w:t xml:space="preserve"> Variation and genetic control of protein abundance in humans. </w:t>
      </w:r>
      <w:r w:rsidRPr="00FA31A8">
        <w:rPr>
          <w:rFonts w:ascii="Calibri" w:eastAsia="Times New Roman" w:hAnsi="Calibri" w:cs="Times New Roman"/>
          <w:i/>
          <w:iCs/>
          <w:noProof/>
        </w:rPr>
        <w:t>Nature</w:t>
      </w:r>
      <w:r w:rsidRPr="00FA31A8">
        <w:rPr>
          <w:rFonts w:ascii="Calibri" w:eastAsia="Times New Roman" w:hAnsi="Calibri" w:cs="Times New Roman"/>
          <w:noProof/>
        </w:rPr>
        <w:t xml:space="preserve"> </w:t>
      </w:r>
      <w:r w:rsidRPr="00FA31A8">
        <w:rPr>
          <w:rFonts w:ascii="Calibri" w:eastAsia="Times New Roman" w:hAnsi="Calibri" w:cs="Times New Roman"/>
          <w:b/>
          <w:bCs/>
          <w:noProof/>
        </w:rPr>
        <w:t>499,</w:t>
      </w:r>
      <w:r w:rsidRPr="00FA31A8">
        <w:rPr>
          <w:rFonts w:ascii="Calibri" w:eastAsia="Times New Roman" w:hAnsi="Calibri" w:cs="Times New Roman"/>
          <w:noProof/>
        </w:rPr>
        <w:t xml:space="preserve"> 79–82 (2013).</w:t>
      </w:r>
    </w:p>
    <w:p w14:paraId="71548B90" w14:textId="01D4A8DA" w:rsidR="000F3CB4" w:rsidRDefault="00B7779F" w:rsidP="00FA31A8">
      <w:pPr>
        <w:widowControl w:val="0"/>
        <w:autoSpaceDE w:val="0"/>
        <w:autoSpaceDN w:val="0"/>
        <w:adjustRightInd w:val="0"/>
        <w:ind w:left="640" w:hanging="640"/>
      </w:pPr>
      <w:r>
        <w:fldChar w:fldCharType="end"/>
      </w:r>
    </w:p>
    <w:sectPr w:rsidR="000F3CB4" w:rsidSect="00F27266">
      <w:headerReference w:type="even" r:id="rId11"/>
      <w:head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99BDA" w14:textId="77777777" w:rsidR="005E4915" w:rsidRDefault="005E4915" w:rsidP="00354887">
      <w:r>
        <w:separator/>
      </w:r>
    </w:p>
  </w:endnote>
  <w:endnote w:type="continuationSeparator" w:id="0">
    <w:p w14:paraId="5CB2B6B3" w14:textId="77777777" w:rsidR="005E4915" w:rsidRDefault="005E4915" w:rsidP="0035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16AC9" w14:textId="77777777" w:rsidR="005E4915" w:rsidRDefault="005E4915" w:rsidP="00354887">
      <w:r>
        <w:separator/>
      </w:r>
    </w:p>
  </w:footnote>
  <w:footnote w:type="continuationSeparator" w:id="0">
    <w:p w14:paraId="25480B0B" w14:textId="77777777" w:rsidR="005E4915" w:rsidRDefault="005E4915" w:rsidP="003548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8CAAD" w14:textId="77777777" w:rsidR="00354887" w:rsidRDefault="00354887" w:rsidP="00D446B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44E3A" w14:textId="77777777" w:rsidR="00354887" w:rsidRDefault="00354887" w:rsidP="0035488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FAA48" w14:textId="77777777" w:rsidR="00354887" w:rsidRPr="00354887" w:rsidRDefault="00354887" w:rsidP="00D446BD">
    <w:pPr>
      <w:pStyle w:val="Header"/>
      <w:framePr w:wrap="none" w:vAnchor="text" w:hAnchor="margin" w:xAlign="right" w:y="1"/>
      <w:rPr>
        <w:rStyle w:val="PageNumber"/>
        <w:rFonts w:ascii="Arial" w:hAnsi="Arial" w:cs="Arial"/>
        <w:sz w:val="22"/>
        <w:szCs w:val="22"/>
      </w:rPr>
    </w:pPr>
    <w:r w:rsidRPr="00354887">
      <w:rPr>
        <w:rStyle w:val="PageNumber"/>
        <w:rFonts w:ascii="Arial" w:hAnsi="Arial" w:cs="Arial"/>
        <w:sz w:val="22"/>
        <w:szCs w:val="22"/>
      </w:rPr>
      <w:fldChar w:fldCharType="begin"/>
    </w:r>
    <w:r w:rsidRPr="00354887">
      <w:rPr>
        <w:rStyle w:val="PageNumber"/>
        <w:rFonts w:ascii="Arial" w:hAnsi="Arial" w:cs="Arial"/>
        <w:sz w:val="22"/>
        <w:szCs w:val="22"/>
      </w:rPr>
      <w:instrText xml:space="preserve">PAGE  </w:instrText>
    </w:r>
    <w:r w:rsidRPr="00354887">
      <w:rPr>
        <w:rStyle w:val="PageNumber"/>
        <w:rFonts w:ascii="Arial" w:hAnsi="Arial" w:cs="Arial"/>
        <w:sz w:val="22"/>
        <w:szCs w:val="22"/>
      </w:rPr>
      <w:fldChar w:fldCharType="separate"/>
    </w:r>
    <w:r w:rsidR="005E4915">
      <w:rPr>
        <w:rStyle w:val="PageNumber"/>
        <w:rFonts w:ascii="Arial" w:hAnsi="Arial" w:cs="Arial"/>
        <w:noProof/>
        <w:sz w:val="22"/>
        <w:szCs w:val="22"/>
      </w:rPr>
      <w:t>1</w:t>
    </w:r>
    <w:r w:rsidRPr="00354887">
      <w:rPr>
        <w:rStyle w:val="PageNumber"/>
        <w:rFonts w:ascii="Arial" w:hAnsi="Arial" w:cs="Arial"/>
        <w:sz w:val="22"/>
        <w:szCs w:val="22"/>
      </w:rPr>
      <w:fldChar w:fldCharType="end"/>
    </w:r>
  </w:p>
  <w:p w14:paraId="1D747CA0" w14:textId="77777777" w:rsidR="00354887" w:rsidRDefault="00354887" w:rsidP="00354887">
    <w:pPr>
      <w:pStyle w:val="Header"/>
      <w:ind w:right="360"/>
    </w:pPr>
    <w:r w:rsidRPr="00354887">
      <w:rPr>
        <w:rFonts w:ascii="Arial" w:hAnsi="Arial" w:cs="Arial"/>
        <w:sz w:val="22"/>
        <w:szCs w:val="22"/>
      </w:rPr>
      <w:t xml:space="preserve">Weinnig </w:t>
    </w:r>
  </w:p>
  <w:p w14:paraId="18DDD241" w14:textId="77777777" w:rsidR="00354887" w:rsidRDefault="003548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A6EA2"/>
    <w:multiLevelType w:val="hybridMultilevel"/>
    <w:tmpl w:val="4BF8B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B4"/>
    <w:rsid w:val="00016B07"/>
    <w:rsid w:val="000E454F"/>
    <w:rsid w:val="000F3CB4"/>
    <w:rsid w:val="0011684C"/>
    <w:rsid w:val="001577FF"/>
    <w:rsid w:val="0019061C"/>
    <w:rsid w:val="002369A3"/>
    <w:rsid w:val="00286C2E"/>
    <w:rsid w:val="00354887"/>
    <w:rsid w:val="00387C63"/>
    <w:rsid w:val="00490017"/>
    <w:rsid w:val="004C0F39"/>
    <w:rsid w:val="004E1F0F"/>
    <w:rsid w:val="005520B8"/>
    <w:rsid w:val="0059759F"/>
    <w:rsid w:val="005E1C54"/>
    <w:rsid w:val="005E38A9"/>
    <w:rsid w:val="005E4915"/>
    <w:rsid w:val="00603BD1"/>
    <w:rsid w:val="00686579"/>
    <w:rsid w:val="00692C04"/>
    <w:rsid w:val="006D0026"/>
    <w:rsid w:val="006D5FE2"/>
    <w:rsid w:val="007306E3"/>
    <w:rsid w:val="00730B80"/>
    <w:rsid w:val="007D35D1"/>
    <w:rsid w:val="007E5800"/>
    <w:rsid w:val="00861DDC"/>
    <w:rsid w:val="0086230E"/>
    <w:rsid w:val="00931A19"/>
    <w:rsid w:val="0096765F"/>
    <w:rsid w:val="009C4454"/>
    <w:rsid w:val="00AC16FB"/>
    <w:rsid w:val="00AC4050"/>
    <w:rsid w:val="00AD2AAA"/>
    <w:rsid w:val="00AE3613"/>
    <w:rsid w:val="00AF60ED"/>
    <w:rsid w:val="00B111FB"/>
    <w:rsid w:val="00B7779F"/>
    <w:rsid w:val="00B95D55"/>
    <w:rsid w:val="00B960BF"/>
    <w:rsid w:val="00C52703"/>
    <w:rsid w:val="00CA0DB2"/>
    <w:rsid w:val="00CB2D05"/>
    <w:rsid w:val="00CF2D3D"/>
    <w:rsid w:val="00D6415E"/>
    <w:rsid w:val="00DC0976"/>
    <w:rsid w:val="00EE6558"/>
    <w:rsid w:val="00F27266"/>
    <w:rsid w:val="00F57C1E"/>
    <w:rsid w:val="00FA31A8"/>
    <w:rsid w:val="00FB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93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4887"/>
    <w:pPr>
      <w:tabs>
        <w:tab w:val="center" w:pos="4680"/>
        <w:tab w:val="right" w:pos="9360"/>
      </w:tabs>
    </w:pPr>
  </w:style>
  <w:style w:type="character" w:customStyle="1" w:styleId="HeaderChar">
    <w:name w:val="Header Char"/>
    <w:basedOn w:val="DefaultParagraphFont"/>
    <w:link w:val="Header"/>
    <w:uiPriority w:val="99"/>
    <w:rsid w:val="00354887"/>
  </w:style>
  <w:style w:type="paragraph" w:styleId="Footer">
    <w:name w:val="footer"/>
    <w:basedOn w:val="Normal"/>
    <w:link w:val="FooterChar"/>
    <w:uiPriority w:val="99"/>
    <w:unhideWhenUsed/>
    <w:rsid w:val="00354887"/>
    <w:pPr>
      <w:tabs>
        <w:tab w:val="center" w:pos="4680"/>
        <w:tab w:val="right" w:pos="9360"/>
      </w:tabs>
    </w:pPr>
  </w:style>
  <w:style w:type="character" w:customStyle="1" w:styleId="FooterChar">
    <w:name w:val="Footer Char"/>
    <w:basedOn w:val="DefaultParagraphFont"/>
    <w:link w:val="Footer"/>
    <w:uiPriority w:val="99"/>
    <w:rsid w:val="00354887"/>
  </w:style>
  <w:style w:type="character" w:styleId="PageNumber">
    <w:name w:val="page number"/>
    <w:basedOn w:val="DefaultParagraphFont"/>
    <w:uiPriority w:val="99"/>
    <w:semiHidden/>
    <w:unhideWhenUsed/>
    <w:rsid w:val="00354887"/>
  </w:style>
  <w:style w:type="paragraph" w:styleId="FootnoteText">
    <w:name w:val="footnote text"/>
    <w:basedOn w:val="Normal"/>
    <w:link w:val="FootnoteTextChar"/>
    <w:uiPriority w:val="99"/>
    <w:unhideWhenUsed/>
    <w:rsid w:val="00286C2E"/>
  </w:style>
  <w:style w:type="character" w:customStyle="1" w:styleId="FootnoteTextChar">
    <w:name w:val="Footnote Text Char"/>
    <w:basedOn w:val="DefaultParagraphFont"/>
    <w:link w:val="FootnoteText"/>
    <w:uiPriority w:val="99"/>
    <w:rsid w:val="00286C2E"/>
  </w:style>
  <w:style w:type="character" w:styleId="FootnoteReference">
    <w:name w:val="footnote reference"/>
    <w:basedOn w:val="DefaultParagraphFont"/>
    <w:uiPriority w:val="99"/>
    <w:unhideWhenUsed/>
    <w:rsid w:val="00286C2E"/>
    <w:rPr>
      <w:vertAlign w:val="superscript"/>
    </w:rPr>
  </w:style>
  <w:style w:type="paragraph" w:styleId="ListParagraph">
    <w:name w:val="List Paragraph"/>
    <w:basedOn w:val="Normal"/>
    <w:uiPriority w:val="34"/>
    <w:qFormat/>
    <w:rsid w:val="007E5800"/>
    <w:pPr>
      <w:ind w:left="720"/>
      <w:contextualSpacing/>
    </w:pPr>
  </w:style>
  <w:style w:type="character" w:styleId="Hyperlink">
    <w:name w:val="Hyperlink"/>
    <w:basedOn w:val="DefaultParagraphFont"/>
    <w:uiPriority w:val="99"/>
    <w:unhideWhenUsed/>
    <w:rsid w:val="007E5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hyperlink" Target="https://github.com/aweinnig/HTS-Seminar/tree/master/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8E04D4-B8B5-5241-A63C-6B888588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6823</Words>
  <Characters>38894</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 Weinnig</dc:creator>
  <cp:keywords/>
  <dc:description/>
  <cp:lastModifiedBy>Alexis M Weinnig</cp:lastModifiedBy>
  <cp:revision>10</cp:revision>
  <dcterms:created xsi:type="dcterms:W3CDTF">2017-05-08T16:08:00Z</dcterms:created>
  <dcterms:modified xsi:type="dcterms:W3CDTF">2017-05-08T23:46:00Z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658f5254-6185-3a34-b540-b4647175f3d2</vt:lpwstr>
  </property>
  <property fmtid="{D5CDD505-2E9C-101B-9397-08002B2CF9AE}" pid="24" name="Mendeley Citation Style_1">
    <vt:lpwstr>http://www.zotero.org/styles/nature</vt:lpwstr>
  </property>
</Properties>
</file>