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 number statistics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Tumor and normal samples were sequenced on Thermo Fisher Personal Genome Machines (PGMs) to an average coverage depth of ~1300X.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Alignment and variant calling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Reads were processed on the Ion Reporter cloud platform using built-in tools: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alignment to the reference human genome build hg19 was done by the Torrent Mapping Alignment Program (TMAP), followed by variant calling and tumor-normal subtraction by the Torrent Variant Caller (TVC) and variant annotation in the Ion Reporter Suite. Raw variant calls and annotation files were then downloaded to a local server for downstream processing.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Pipeline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Starting from the raw variant calls, we processed all samples using an in-house custom pipeline. Source code and documentation is publicly available at https://github.com/aweller/CancerPipeline. First, we set a quality cutoff of at least 400X coverage and a minimum alternative allele frequency of 0.05. Second, we included the annotation sources Annovar and SNPeff (ref1, ref2). in addition to the variant annotation provided by the Ion Reporter suite.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Deamination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Storage of FFPE samples can lead to DNA deamination, a process that is dominated by C:G&gt;T:A transitions. Deaminated samples can be identified by a skewed mutation spectrum and an increased number of SNVs compared to normal samples. Correlating the total number of SNVs with the ratio of C:G&gt;T:A variants among all SNVs per sample reveals a strong correlation (spearmans r: 0.77, p = 1.89e*24). We excluded all samples with more than 300 SNVs from downstream analysis.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MutSigCV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Significantly mutated genes were identified using MutSigCV (ref3). MutSigCV corrects the mutation frequency for the observed patient-specific background mutation rate and spectrum as well as gene-specific information on gene expression level and replication time, both of which are correlated to mutation frequency.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Kai Wang, Mingyao Li, and Hakon Hakonarson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ANNOVAR: functional annotation of genetic variants from high-throughput sequencing Nucl. Acids Res. (2010) 38 (16)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"A program for annotating and predicting the effects of single nucleotide polymorphisms, SnpEff: SNPs in the genome of Drosophila melanogaster strain w1118; iso-2; iso-3.", Cingolani P, Platts A, Wang le L, Coon M, Nguyen T, Wang L, Land SJ, Lu X, Ruden DM. Fly (Austin). 2012 Apr-Jun;6(2):80-92. PMID: 22728672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Mutational heterogeneity in cancer and the search for new cancer-associated genes</w:t>
        <w:br w:type="textWrapping"/>
        <w:t xml:space="preserve">Nature, 2013/07/11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contextualSpacing w:val="1"/>
    </w:pPr>
    <w:rPr>
      <w:shd w:val="clear" w:fill="ffd96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contextualSpacing w:val="1"/>
    </w:pPr>
    <w:rPr>
      <w:shd w:val="clear" w:fill="b6d7a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Quasar2 Methods.docx</dc:title>
</cp:coreProperties>
</file>