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889"/>
        <w:tblLook w:firstRow="1" w:lastRow="1" w:firstColumn="0" w:lastColumn="0" w:noHBand="0" w:noVBand="0" w:val="0020"/>
        <w:jc w:val="start"/>
        <w:tblLayout w:type="fixed"/>
      </w:tblPr>
      <w:tblGrid>
        <w:gridCol w:w="4730"/>
        <w:gridCol w:w="143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count_(Intercept)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-2.445***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count_is_representative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count_rural_pop_prop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-4.149***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count_female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count_is_minister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count_rural_born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count_is_born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count_is_representative × rural_pop_prop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4.813***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-5.156***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(1.163)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zero_is_representative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-14.550***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(0.502)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zero_rural_pop_prop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zero_is_minister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-17.731***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zero_rural_born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zero_is_born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-14.170***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zero_is_representative × rural_pop_prop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-3.694***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(0.766)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549163.6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549363.7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Std.Errors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. p &lt; 0.1, * p &lt; 0.05, ** p &lt; 0.01, *** p &lt; 0.001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Offset: log(n_speeches). Clustered standard erorrs</w:t>
            </w:r>
            <w:r>
              <w:t xml:space="preserve"> </w:t>
            </w:r>
            <w:r>
              <w:t xml:space="preserve">(by politician and county-year) in parantheses.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2026-04-24T20:12:10Z</dcterms:created>
  <dcterms:modified xsi:type="dcterms:W3CDTF">2026-04-24T20:12:10Z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