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17.8636363636364" w:lineRule="auto"/>
        <w:jc w:val="center"/>
        <w:rPr>
          <w:rFonts w:ascii="Verdana" w:cs="Verdana" w:eastAsia="Verdana" w:hAnsi="Verdana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6"/>
          <w:szCs w:val="26"/>
          <w:highlight w:val="white"/>
          <w:rtl w:val="0"/>
        </w:rPr>
        <w:t xml:space="preserve">Diário de bordo. </w:t>
      </w:r>
    </w:p>
    <w:p w:rsidR="00000000" w:rsidDel="00000000" w:rsidP="00000000" w:rsidRDefault="00000000" w:rsidRPr="00000000" w14:paraId="00000003">
      <w:pPr>
        <w:spacing w:line="317.8636363636364" w:lineRule="auto"/>
        <w:rPr>
          <w:rFonts w:ascii="Verdana" w:cs="Verdana" w:eastAsia="Verdana" w:hAnsi="Verdana"/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17.8636363636364" w:lineRule="auto"/>
        <w:ind w:left="720" w:hanging="360"/>
        <w:jc w:val="both"/>
        <w:rPr>
          <w:rFonts w:ascii="Verdana" w:cs="Verdana" w:eastAsia="Verdana" w:hAnsi="Verdana"/>
          <w:color w:val="33333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20/04 </w:t>
      </w:r>
    </w:p>
    <w:p w:rsidR="00000000" w:rsidDel="00000000" w:rsidP="00000000" w:rsidRDefault="00000000" w:rsidRPr="00000000" w14:paraId="00000005">
      <w:pPr>
        <w:spacing w:line="317.8636363636364" w:lineRule="auto"/>
        <w:jc w:val="both"/>
        <w:rPr>
          <w:rFonts w:ascii="Verdana" w:cs="Verdana" w:eastAsia="Verdana" w:hAnsi="Verdana"/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17.8636363636364" w:lineRule="auto"/>
        <w:ind w:left="720" w:firstLine="720"/>
        <w:jc w:val="both"/>
        <w:rPr>
          <w:rFonts w:ascii="Verdana" w:cs="Verdana" w:eastAsia="Verdana" w:hAnsi="Verdana"/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Iniciamos a pesquisa sobre o tema “Cidades inteligentes e sustentáveis”. Durante esse processo de procura e análise, percebemos que a maioria dos sites e outros materiais que buscamos tinham basicamente os mesmos conceitos, exemplos e índices. Optamos por utilizar apenas um, pois, foi o que mais achamos completo em relação ao que dizia sobre o tema escolhido. A partir disso, separamos o que julgamos importante para nossa criação da HQ. </w:t>
      </w:r>
    </w:p>
    <w:p w:rsidR="00000000" w:rsidDel="00000000" w:rsidP="00000000" w:rsidRDefault="00000000" w:rsidRPr="00000000" w14:paraId="00000007">
      <w:pPr>
        <w:spacing w:line="317.8636363636364" w:lineRule="auto"/>
        <w:jc w:val="both"/>
        <w:rPr>
          <w:rFonts w:ascii="Verdana" w:cs="Verdana" w:eastAsia="Verdana" w:hAnsi="Verdana"/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17.8636363636364" w:lineRule="auto"/>
        <w:ind w:left="720" w:hanging="360"/>
        <w:jc w:val="both"/>
        <w:rPr>
          <w:rFonts w:ascii="Verdana" w:cs="Verdana" w:eastAsia="Verdana" w:hAnsi="Verdana"/>
          <w:color w:val="33333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21/04 </w:t>
      </w:r>
    </w:p>
    <w:p w:rsidR="00000000" w:rsidDel="00000000" w:rsidP="00000000" w:rsidRDefault="00000000" w:rsidRPr="00000000" w14:paraId="00000009">
      <w:pPr>
        <w:spacing w:line="317.8636363636364" w:lineRule="auto"/>
        <w:jc w:val="both"/>
        <w:rPr>
          <w:rFonts w:ascii="Verdana" w:cs="Verdana" w:eastAsia="Verdana" w:hAnsi="Verdana"/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720"/>
        <w:jc w:val="both"/>
        <w:rPr/>
      </w:pPr>
      <w:r w:rsidDel="00000000" w:rsidR="00000000" w:rsidRPr="00000000">
        <w:rPr>
          <w:rFonts w:ascii="Verdana" w:cs="Verdana" w:eastAsia="Verdana" w:hAnsi="Verdana"/>
          <w:color w:val="333333"/>
          <w:highlight w:val="white"/>
          <w:rtl w:val="0"/>
        </w:rPr>
        <w:t xml:space="preserve">Após a coleta de informações sobre o tema, começamos a pensar como iria se desenvolver nossa história. Pensando em algo mais explicativo, usamos a pesquisa para falar dos nossos personagens, assim o leitor aprende de forma mais leve. Pensamos que a história poderia se passar no IFRN, no Hall de entrada, assim como foi no dia da apresentação dos trabalhos do famoso projeto do município sustentável.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