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color w:val="191919" w:themeColor="background1" w:themeShade="19"/>
        </w:rPr>
      </w:pPr>
      <w:r>
        <w:rPr>
          <w:color w:val="191919" w:themeColor="background1" w:themeShade="19"/>
        </w:rPr>
        <w:t>相机标定模块使用说明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  <w:t>在DASH中输入cheese打开相机，从各个角度拍摄标定棋盘10~20张，一定要变换相机姿态，减少误差。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将ccheese拍摄到的图片拷贝到camera_calibration目录下，注意不要出现（*.jpg命名，其中*为自然数字，否则图片有可能被覆盖）。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打开终端，执行./rename.sh讲图片名统一编号为自然数序列。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在终端执行./camera_calibration boardWidth boardHeight squareSize frameNumber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  <w:t>boardWidth :棋盘横向角点数目 如：9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  <w:t xml:space="preserve">boardHeight </w:t>
      </w: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:棋盘</w:t>
      </w: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纵向</w:t>
      </w: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角点数目 如：</w:t>
      </w:r>
      <w:r>
        <w:rPr>
          <w:rFonts w:hint="default" w:asciiTheme="minorEastAsia" w:hAnsiTheme="minorEastAsia" w:cstheme="minorEastAsia"/>
          <w:color w:val="191919" w:themeColor="background1" w:themeShade="1A"/>
          <w:sz w:val="28"/>
          <w:szCs w:val="36"/>
        </w:rPr>
        <w:t>6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  <w:t>squareSize ：棋盘中每个格子（要求是正方形）的实际边长，单位：mm 如：25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</w:pPr>
      <w:r>
        <w:rPr>
          <w:rFonts w:hint="default" w:asciiTheme="minorEastAsia" w:hAnsiTheme="minorEastAsia" w:cstheme="minorEastAsia"/>
          <w:color w:val="191919" w:themeColor="background1" w:themeShade="19"/>
          <w:sz w:val="28"/>
          <w:szCs w:val="36"/>
        </w:rPr>
        <w:t>frameNumber：要计算的图片数量 如：17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7BEE"/>
    <w:multiLevelType w:val="singleLevel"/>
    <w:tmpl w:val="57DE7B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3DF007C"/>
    <w:rsid w:val="F38D895D"/>
    <w:rsid w:val="FB6E079A"/>
    <w:rsid w:val="FF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lijianghua</cp:lastModifiedBy>
  <dcterms:modified xsi:type="dcterms:W3CDTF">2018-09-16T15:19:11Z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