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C439" w14:textId="77777777" w:rsidR="00CE4FF5" w:rsidRDefault="00CE4FF5" w:rsidP="00CE4FF5">
      <w:pPr>
        <w:spacing w:line="480" w:lineRule="auto"/>
      </w:pPr>
      <w:r>
        <w:t>Robustness Checks</w:t>
      </w:r>
    </w:p>
    <w:p w14:paraId="250AD621" w14:textId="673CF777" w:rsidR="00645F9A" w:rsidRDefault="00CE4FF5" w:rsidP="00BB2E98">
      <w:pPr>
        <w:spacing w:line="480" w:lineRule="auto"/>
        <w:ind w:firstLine="720"/>
      </w:pPr>
      <w:r>
        <w:t xml:space="preserve">The robust standard errors on the coefficient on Chinese investment need to be analyzed in tandem with the regular </w:t>
      </w:r>
      <w:proofErr w:type="spellStart"/>
      <w:r>
        <w:t>unclustered</w:t>
      </w:r>
      <w:proofErr w:type="spellEnd"/>
      <w:r>
        <w:t xml:space="preserve"> standard errors because there are only 5 switchers in this data set.  The small sample size for Chinese investment can cause issues with how robust standard errors are calculated when the </w:t>
      </w:r>
      <w:r>
        <w:t>intra-cluster</w:t>
      </w:r>
      <w:r>
        <w:t xml:space="preserve"> correlation is negative.  The result that causes some skepticism is the regular standard error of EPS in Table 8 is measured to be 1.273, while, when robust standard or clustered error are applied, the standard error drops to .0373, causing the coefficient to be significant at a p-value of .1.  Therefore</w:t>
      </w:r>
      <w:r>
        <w:t>,</w:t>
      </w:r>
      <w:r>
        <w:t xml:space="preserve"> when analyzing these tables, I would recommend looking at both clustered and </w:t>
      </w:r>
      <w:proofErr w:type="spellStart"/>
      <w:r>
        <w:t>unclustered</w:t>
      </w:r>
      <w:proofErr w:type="spellEnd"/>
      <w:r>
        <w:t xml:space="preserve"> because the standard errors for coefficients on Singapore and American investment will get smaller, while the coefficient on Chinese investment will get bigger.</w:t>
      </w:r>
      <w:r>
        <w:t xml:space="preserve">  The coefficients on Net Income are significant at a p-value of .05 in the </w:t>
      </w:r>
      <w:r w:rsidR="00BB60FA">
        <w:t>2-way</w:t>
      </w:r>
      <w:r>
        <w:t xml:space="preserve"> fixed effects with regular standard errors (Tables 6 and 8), while in the regressions with robust standard errors, the coefficients on Net Income for Chinese investment are significant at a p-value of .01.  Because these coefficients are significant in both tables, we can feel more confident </w:t>
      </w:r>
      <w:r w:rsidR="00BB60FA">
        <w:t>in</w:t>
      </w:r>
      <w:r>
        <w:t xml:space="preserve"> </w:t>
      </w:r>
      <w:r w:rsidR="00BB60FA">
        <w:t xml:space="preserve">these point estimates.  Looking at a firm’s financial indicators, there is little movement between these indicators from year to year.  Revenue, Net income, Market Capitalization, and others are correlated with the previous </w:t>
      </w:r>
      <w:proofErr w:type="gramStart"/>
      <w:r w:rsidR="00BB60FA">
        <w:t>periods</w:t>
      </w:r>
      <w:proofErr w:type="gramEnd"/>
      <w:r w:rsidR="00BB60FA">
        <w:t xml:space="preserve"> measurement.  On average in the United States, a </w:t>
      </w:r>
      <w:r w:rsidR="00B8733A">
        <w:t>successfully growing firm</w:t>
      </w:r>
      <w:r w:rsidR="00BB60FA">
        <w:t xml:space="preserve"> will see their revenue increase by 10% to 20% per year.  Thus, including cluster standard errors </w:t>
      </w:r>
      <w:r w:rsidR="00B8733A">
        <w:t>will</w:t>
      </w:r>
      <w:r w:rsidR="00BB60FA">
        <w:t xml:space="preserve"> penalize my statistical significance on my coefficients if there is autocorrelation within units</w:t>
      </w:r>
      <w:r w:rsidR="00B8733A">
        <w:t>.</w:t>
      </w:r>
    </w:p>
    <w:p w14:paraId="3CBC5E07" w14:textId="277C0B75" w:rsidR="00B8733A" w:rsidRDefault="00B8733A" w:rsidP="00BB2E98">
      <w:pPr>
        <w:spacing w:line="480" w:lineRule="auto"/>
        <w:ind w:firstLine="720"/>
      </w:pPr>
      <w:r>
        <w:t xml:space="preserve">The second robustness check is on the parallel </w:t>
      </w:r>
      <w:proofErr w:type="gramStart"/>
      <w:r>
        <w:t>trends</w:t>
      </w:r>
      <w:proofErr w:type="gramEnd"/>
      <w:r>
        <w:t xml:space="preserve"> assumption</w:t>
      </w:r>
      <w:r w:rsidR="0053727A">
        <w:t>,</w:t>
      </w:r>
      <w:r>
        <w:t xml:space="preserve"> specifically on Net Income</w:t>
      </w:r>
      <w:r w:rsidR="0053727A">
        <w:t xml:space="preserve">. </w:t>
      </w:r>
      <w:r w:rsidR="00BB2E98">
        <w:t xml:space="preserve"> Event Study’s graphs for </w:t>
      </w:r>
      <w:r w:rsidR="0053727A">
        <w:t xml:space="preserve">Looking at the event study graphs, figures 1 through 10.  </w:t>
      </w:r>
      <w:r w:rsidR="00BB2E98">
        <w:lastRenderedPageBreak/>
        <w:t xml:space="preserve">Some of the parallel </w:t>
      </w:r>
      <w:proofErr w:type="gramStart"/>
      <w:r w:rsidR="00BB2E98">
        <w:t>trends</w:t>
      </w:r>
      <w:proofErr w:type="gramEnd"/>
      <w:r w:rsidR="00BB2E98">
        <w:t xml:space="preserve"> assumptions holds better than others, but most importantly, we see that in Figure 7 to Figure 10.  The parallel assumptions </w:t>
      </w:r>
      <w:proofErr w:type="gramStart"/>
      <w:r w:rsidR="00BB2E98">
        <w:t>does</w:t>
      </w:r>
      <w:proofErr w:type="gramEnd"/>
      <w:r w:rsidR="00BB2E98">
        <w:t xml:space="preserve"> hold for the analysis of Chinese income on </w:t>
      </w:r>
    </w:p>
    <w:p w14:paraId="785337F8" w14:textId="755293F2" w:rsidR="00BB2E98" w:rsidRDefault="00BB2E98" w:rsidP="00BB2E98">
      <w:pPr>
        <w:spacing w:line="480" w:lineRule="auto"/>
      </w:pPr>
      <w:r>
        <w:t xml:space="preserve">One nuance about entry into the treatment is that </w:t>
      </w:r>
      <w:r w:rsidR="00E34818">
        <w:t xml:space="preserve">by the time the company reports their financials.  The investors had likely already been invested in the company between </w:t>
      </w:r>
      <w:proofErr w:type="gramStart"/>
      <w:r w:rsidR="00E34818">
        <w:t>an</w:t>
      </w:r>
      <w:proofErr w:type="gramEnd"/>
      <w:r w:rsidR="00E34818">
        <w:t xml:space="preserve"> day and a year prior to the report.  Thus, the treatment effect is measured at zero, but entry into the treatment happens somewhere between -1  and 0 on this event study graph as opposed to 0 and 1.  In figures 7 and 9, we see that year 0 has a bit of a dip, but this dip could not have driven entry into treatment because investors already owned part of the company by the time these financials were reported.  Despite this bit of a dip, the parallel assumption does hold across these graphs.  The lags for Chinese investment on Net income are all statistically insignificant.</w:t>
      </w:r>
      <w:r w:rsidR="00044711">
        <w:t xml:space="preserve">  To be thorough, we can test this with the following estimation equation.</w:t>
      </w:r>
    </w:p>
    <w:sectPr w:rsidR="00BB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F5"/>
    <w:rsid w:val="00044711"/>
    <w:rsid w:val="0053727A"/>
    <w:rsid w:val="00645F9A"/>
    <w:rsid w:val="00B8733A"/>
    <w:rsid w:val="00BB2E98"/>
    <w:rsid w:val="00BB60FA"/>
    <w:rsid w:val="00CE4FF5"/>
    <w:rsid w:val="00E3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62A09"/>
  <w15:chartTrackingRefBased/>
  <w15:docId w15:val="{49A0D026-9809-D64B-8503-4F97A9B3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2023-03-23T08:47:00Z</dcterms:created>
  <dcterms:modified xsi:type="dcterms:W3CDTF">2023-03-23T10:22:00Z</dcterms:modified>
</cp:coreProperties>
</file>