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84E5D" w14:textId="110DA3E1" w:rsidR="0033121E" w:rsidRDefault="0033121E">
      <w:r>
        <w:t>CSCI-E109a</w:t>
      </w:r>
    </w:p>
    <w:p w14:paraId="53549B8B" w14:textId="353EF8B4" w:rsidR="0033121E" w:rsidRDefault="0033121E">
      <w:r>
        <w:t>Spotify Project</w:t>
      </w:r>
    </w:p>
    <w:p w14:paraId="1C33B9FE" w14:textId="4BD7DD11" w:rsidR="008E2E43" w:rsidRDefault="0033121E">
      <w:r>
        <w:t>Ranking Results</w:t>
      </w:r>
    </w:p>
    <w:p w14:paraId="3348C08D" w14:textId="090F9FDE" w:rsidR="0033121E" w:rsidRDefault="0033121E"/>
    <w:p w14:paraId="3774B56E" w14:textId="3ECB0D5D" w:rsidR="0033121E" w:rsidRDefault="0033121E">
      <w:r>
        <w:t>MAP - Mean Average Precision</w:t>
      </w:r>
    </w:p>
    <w:p w14:paraId="509B510A" w14:textId="6E721413" w:rsidR="0033121E" w:rsidRDefault="0033121E">
      <w:hyperlink r:id="rId4" w:history="1">
        <w:r w:rsidRPr="001E48F1">
          <w:rPr>
            <w:rStyle w:val="Hyperlink"/>
          </w:rPr>
          <w:t>http://fastml.com/evaluating-recommender-systems/</w:t>
        </w:r>
      </w:hyperlink>
    </w:p>
    <w:p w14:paraId="7F34893D" w14:textId="77777777" w:rsidR="0033121E" w:rsidRDefault="0033121E"/>
    <w:p w14:paraId="60D45168" w14:textId="0B3FE23F" w:rsidR="0033121E" w:rsidRDefault="0033121E"/>
    <w:p w14:paraId="2D1C44A5" w14:textId="77777777" w:rsidR="0033121E" w:rsidRDefault="0033121E" w:rsidP="0033121E">
      <w:r>
        <w:t>NDGC – Normalized Discounted Cumulative Gain</w:t>
      </w:r>
    </w:p>
    <w:p w14:paraId="2CD74BB4" w14:textId="69C3661E" w:rsidR="0033121E" w:rsidRDefault="0033121E">
      <w:r>
        <w:t>Each item is recommended list gets a relevance score called a “gain”.</w:t>
      </w:r>
    </w:p>
    <w:p w14:paraId="08316CBC" w14:textId="1AB05112" w:rsidR="00D8312B" w:rsidRDefault="00D8312B">
      <w:r>
        <w:t>Divide each score by the log of the item’s position in the list. “discount” – result is DCG – discounted cumulative gain</w:t>
      </w:r>
    </w:p>
    <w:p w14:paraId="3FD516B9" w14:textId="5F53240C" w:rsidR="0033121E" w:rsidRDefault="0033121E">
      <w:r>
        <w:t>Score of each recommended item are summed.</w:t>
      </w:r>
    </w:p>
    <w:p w14:paraId="7937CD6E" w14:textId="32C14B29" w:rsidR="0033121E" w:rsidRDefault="0033121E"/>
    <w:p w14:paraId="3C6D34BE" w14:textId="0B7C0CEA" w:rsidR="00A66AE6" w:rsidRDefault="000B1A4C">
      <w:r>
        <w:t>You need to calculate relevance score first.</w:t>
      </w:r>
    </w:p>
    <w:p w14:paraId="3108164B" w14:textId="77777777" w:rsidR="000B1A4C" w:rsidRDefault="000B1A4C"/>
    <w:p w14:paraId="78702E9A" w14:textId="02B8B7F2" w:rsidR="00A66AE6" w:rsidRDefault="00A66AE6"/>
    <w:p w14:paraId="037564E8" w14:textId="77777777" w:rsidR="00A66AE6" w:rsidRDefault="00A66AE6"/>
    <w:p w14:paraId="4AE8D0E3" w14:textId="60A27CFD" w:rsidR="00D8312B" w:rsidRDefault="00D8312B"/>
    <w:p w14:paraId="54A1DEA9" w14:textId="67B4FD55" w:rsidR="00D8312B" w:rsidRDefault="00D8312B">
      <w:r>
        <w:t xml:space="preserve">Artist Heterogeneity – how </w:t>
      </w:r>
      <w:r w:rsidR="00A66AE6">
        <w:t>many unique artists in the playlist</w:t>
      </w:r>
    </w:p>
    <w:p w14:paraId="241B6375" w14:textId="225893DC" w:rsidR="0033121E" w:rsidRDefault="00A66AE6" w:rsidP="00A66AE6">
      <w:pPr>
        <w:jc w:val="center"/>
      </w:pPr>
      <w:r w:rsidRPr="00A66AE6">
        <w:drawing>
          <wp:inline distT="0" distB="0" distL="0" distR="0" wp14:anchorId="3B2D12EC" wp14:editId="6A80D271">
            <wp:extent cx="3890433" cy="728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6375" cy="737448"/>
                    </a:xfrm>
                    <a:prstGeom prst="rect">
                      <a:avLst/>
                    </a:prstGeom>
                  </pic:spPr>
                </pic:pic>
              </a:graphicData>
            </a:graphic>
          </wp:inline>
        </w:drawing>
      </w:r>
    </w:p>
    <w:p w14:paraId="62D1FE79" w14:textId="77777777" w:rsidR="0033121E" w:rsidRDefault="0033121E"/>
    <w:p w14:paraId="4B1B8CC4" w14:textId="77777777" w:rsidR="00A66AE6" w:rsidRDefault="00A66AE6"/>
    <w:p w14:paraId="7E9EF245" w14:textId="77777777" w:rsidR="00A66AE6" w:rsidRDefault="00A66AE6"/>
    <w:p w14:paraId="620EF5F5" w14:textId="7AF40634" w:rsidR="0033121E" w:rsidRDefault="0033121E">
      <w:r>
        <w:t>Python Implementation:</w:t>
      </w:r>
    </w:p>
    <w:p w14:paraId="277324B5" w14:textId="1E4C184F" w:rsidR="0033121E" w:rsidRDefault="0033121E">
      <w:hyperlink r:id="rId6" w:history="1">
        <w:r w:rsidRPr="001E48F1">
          <w:rPr>
            <w:rStyle w:val="Hyperlink"/>
          </w:rPr>
          <w:t>https://gist.github.com/bwhite/3726239</w:t>
        </w:r>
      </w:hyperlink>
    </w:p>
    <w:p w14:paraId="684D591A" w14:textId="7A602271" w:rsidR="000B1A4C" w:rsidRDefault="000B1A4C"/>
    <w:p w14:paraId="55164DBF" w14:textId="1B8AB032" w:rsidR="000B1A4C" w:rsidRDefault="000B1A4C"/>
    <w:p w14:paraId="26ABE547" w14:textId="77777777" w:rsidR="00B3642B" w:rsidRDefault="00B3642B">
      <w:r>
        <w:t xml:space="preserve">Playlist(s) need to identified as test or validation playlists. </w:t>
      </w:r>
    </w:p>
    <w:p w14:paraId="32962CF5" w14:textId="69E238DA" w:rsidR="00B3642B" w:rsidRDefault="00B3642B">
      <w:r>
        <w:t>These are referred to as Ground Truth.</w:t>
      </w:r>
    </w:p>
    <w:p w14:paraId="24473F44" w14:textId="4863E5A5" w:rsidR="00B3642B" w:rsidRDefault="00B3642B">
      <w:r>
        <w:t>For these playlists, we seed the top song into our model.</w:t>
      </w:r>
    </w:p>
    <w:p w14:paraId="3B6DD797" w14:textId="7F719983" w:rsidR="00B3642B" w:rsidRDefault="00B3642B">
      <w:r>
        <w:t xml:space="preserve">The resulting list is compared to the validation </w:t>
      </w:r>
    </w:p>
    <w:p w14:paraId="7341ECBF" w14:textId="77777777" w:rsidR="00B3642B" w:rsidRDefault="00B3642B"/>
    <w:p w14:paraId="3D6F8021" w14:textId="7ACA7F1D" w:rsidR="00B3642B" w:rsidRDefault="006C2F4E">
      <w:r w:rsidRPr="006C2F4E">
        <w:t>https://recsys-challenge.spotify.com/rules</w:t>
      </w:r>
    </w:p>
    <w:p w14:paraId="03683539" w14:textId="77777777" w:rsidR="000B1A4C" w:rsidRDefault="000B1A4C" w:rsidP="000B1A4C">
      <w:pPr>
        <w:pStyle w:val="Heading2"/>
        <w:spacing w:before="120" w:beforeAutospacing="0" w:after="60" w:afterAutospacing="0"/>
        <w:rPr>
          <w:rFonts w:ascii="Helvetica" w:hAnsi="Helvetica"/>
          <w:color w:val="222326"/>
          <w:spacing w:val="-4"/>
          <w:sz w:val="48"/>
          <w:szCs w:val="48"/>
        </w:rPr>
      </w:pPr>
      <w:r>
        <w:rPr>
          <w:rFonts w:ascii="Helvetica" w:hAnsi="Helvetica"/>
          <w:color w:val="222326"/>
          <w:spacing w:val="-4"/>
          <w:sz w:val="48"/>
          <w:szCs w:val="48"/>
        </w:rPr>
        <w:t>Metrics</w:t>
      </w:r>
      <w:r>
        <w:rPr>
          <w:rStyle w:val="apple-converted-space"/>
          <w:rFonts w:ascii="Helvetica" w:hAnsi="Helvetica"/>
          <w:color w:val="222326"/>
          <w:spacing w:val="-4"/>
          <w:sz w:val="48"/>
          <w:szCs w:val="48"/>
        </w:rPr>
        <w:t> </w:t>
      </w:r>
    </w:p>
    <w:p w14:paraId="4FCE7272" w14:textId="77777777" w:rsidR="000B1A4C" w:rsidRDefault="000B1A4C" w:rsidP="000B1A4C">
      <w:pPr>
        <w:pStyle w:val="NormalWeb"/>
        <w:spacing w:before="0" w:beforeAutospacing="0" w:after="0" w:afterAutospacing="0"/>
        <w:rPr>
          <w:rFonts w:ascii="Helvetica" w:hAnsi="Helvetica"/>
          <w:color w:val="222326"/>
        </w:rPr>
      </w:pPr>
      <w:r>
        <w:rPr>
          <w:rFonts w:ascii="Helvetica" w:hAnsi="Helvetica"/>
          <w:color w:val="222326"/>
        </w:rPr>
        <w:t>Submissions will be evaluated using the following metrics. All metrics will be evaluated at both the track level (exact track must match) and the artist level (any track by that artist is a match). In the following, we denote the ground truth set of tracks by</w:t>
      </w:r>
      <w:r>
        <w:rPr>
          <w:rStyle w:val="apple-converted-space"/>
          <w:rFonts w:ascii="Helvetica" w:hAnsi="Helvetica"/>
          <w:color w:val="222326"/>
        </w:rPr>
        <w:t> </w:t>
      </w:r>
      <w:r>
        <w:rPr>
          <w:rStyle w:val="mjx-char"/>
          <w:rFonts w:ascii="MJXc-TeX-math-Iw" w:hAnsi="MJXc-TeX-math-Iw"/>
          <w:color w:val="222326"/>
          <w:sz w:val="26"/>
          <w:szCs w:val="26"/>
          <w:bdr w:val="none" w:sz="0" w:space="0" w:color="auto" w:frame="1"/>
        </w:rPr>
        <w:t>G</w:t>
      </w:r>
      <w:r>
        <w:rPr>
          <w:rFonts w:ascii="Helvetica" w:hAnsi="Helvetica"/>
          <w:color w:val="222326"/>
        </w:rPr>
        <w:t>, and the ordered list of recommended tracks by</w:t>
      </w:r>
      <w:r>
        <w:rPr>
          <w:rStyle w:val="apple-converted-space"/>
          <w:rFonts w:ascii="Helvetica" w:hAnsi="Helvetica"/>
          <w:color w:val="222326"/>
        </w:rPr>
        <w:t> </w:t>
      </w:r>
      <w:r>
        <w:rPr>
          <w:rStyle w:val="mjx-char"/>
          <w:rFonts w:ascii="MJXc-TeX-math-Iw" w:hAnsi="MJXc-TeX-math-Iw"/>
          <w:color w:val="222326"/>
          <w:sz w:val="26"/>
          <w:szCs w:val="26"/>
          <w:bdr w:val="none" w:sz="0" w:space="0" w:color="auto" w:frame="1"/>
        </w:rPr>
        <w:t>R</w:t>
      </w:r>
      <w:r>
        <w:rPr>
          <w:rFonts w:ascii="Helvetica" w:hAnsi="Helvetica"/>
          <w:color w:val="222326"/>
        </w:rPr>
        <w:t>. The size of a set or list is denoted by</w:t>
      </w:r>
      <w:r>
        <w:rPr>
          <w:rStyle w:val="apple-converted-space"/>
          <w:rFonts w:ascii="Helvetica" w:hAnsi="Helvetica"/>
          <w:color w:val="222326"/>
        </w:rPr>
        <w:t> </w:t>
      </w:r>
      <w:r>
        <w:rPr>
          <w:rStyle w:val="mjx-char"/>
          <w:rFonts w:ascii="MJXc-TeX-main-Rw" w:hAnsi="MJXc-TeX-main-Rw"/>
          <w:color w:val="222326"/>
          <w:sz w:val="26"/>
          <w:szCs w:val="26"/>
          <w:bdr w:val="none" w:sz="0" w:space="0" w:color="auto" w:frame="1"/>
        </w:rPr>
        <w:t>|⋅|</w:t>
      </w:r>
      <w:r>
        <w:rPr>
          <w:rFonts w:ascii="Helvetica" w:hAnsi="Helvetica"/>
          <w:color w:val="222326"/>
        </w:rPr>
        <w:t xml:space="preserve">, and </w:t>
      </w:r>
      <w:r>
        <w:rPr>
          <w:rFonts w:ascii="Helvetica" w:hAnsi="Helvetica"/>
          <w:color w:val="222326"/>
        </w:rPr>
        <w:lastRenderedPageBreak/>
        <w:t xml:space="preserve">we use </w:t>
      </w:r>
      <w:proofErr w:type="spellStart"/>
      <w:r>
        <w:rPr>
          <w:rFonts w:ascii="Helvetica" w:hAnsi="Helvetica"/>
          <w:color w:val="222326"/>
        </w:rPr>
        <w:t>from:to-subscripts</w:t>
      </w:r>
      <w:proofErr w:type="spellEnd"/>
      <w:r>
        <w:rPr>
          <w:rFonts w:ascii="Helvetica" w:hAnsi="Helvetica"/>
          <w:color w:val="222326"/>
        </w:rPr>
        <w:t xml:space="preserve"> to index a list. In the case of ties on individual metrics, earlier submissions are ranked higher.</w:t>
      </w:r>
    </w:p>
    <w:p w14:paraId="3E0955BB" w14:textId="77777777" w:rsidR="000B1A4C" w:rsidRDefault="000B1A4C" w:rsidP="000B1A4C">
      <w:pPr>
        <w:pStyle w:val="Heading3"/>
        <w:spacing w:before="360" w:beforeAutospacing="0" w:after="180" w:afterAutospacing="0"/>
        <w:rPr>
          <w:rFonts w:ascii="Helvetica" w:hAnsi="Helvetica"/>
          <w:color w:val="222326"/>
          <w:spacing w:val="-2"/>
          <w:sz w:val="36"/>
          <w:szCs w:val="36"/>
        </w:rPr>
      </w:pPr>
      <w:r>
        <w:rPr>
          <w:rFonts w:ascii="Helvetica" w:hAnsi="Helvetica"/>
          <w:color w:val="222326"/>
          <w:spacing w:val="-2"/>
          <w:sz w:val="36"/>
          <w:szCs w:val="36"/>
        </w:rPr>
        <w:t>R-precision</w:t>
      </w:r>
      <w:r>
        <w:rPr>
          <w:rStyle w:val="apple-converted-space"/>
          <w:rFonts w:ascii="Helvetica" w:hAnsi="Helvetica"/>
          <w:color w:val="222326"/>
          <w:spacing w:val="-2"/>
        </w:rPr>
        <w:t> </w:t>
      </w:r>
    </w:p>
    <w:p w14:paraId="072ACA5E" w14:textId="77777777" w:rsidR="000B1A4C" w:rsidRDefault="000B1A4C" w:rsidP="000B1A4C">
      <w:pPr>
        <w:pStyle w:val="NormalWeb"/>
        <w:spacing w:before="120" w:beforeAutospacing="0" w:after="240" w:afterAutospacing="0"/>
        <w:rPr>
          <w:rFonts w:ascii="Helvetica" w:hAnsi="Helvetica"/>
          <w:color w:val="222326"/>
        </w:rPr>
      </w:pPr>
      <w:r>
        <w:rPr>
          <w:rFonts w:ascii="Helvetica" w:hAnsi="Helvetica"/>
          <w:color w:val="222326"/>
        </w:rPr>
        <w:t>R-precision is the number of retrieved relevant tracks divided by the number of known relevant tracks (i.e., the number of withheld tracks):</w:t>
      </w:r>
    </w:p>
    <w:p w14:paraId="0FA22D0D" w14:textId="77777777" w:rsidR="000B1A4C" w:rsidRDefault="000B1A4C" w:rsidP="000B1A4C">
      <w:pPr>
        <w:pStyle w:val="NormalWeb"/>
        <w:spacing w:before="0" w:beforeAutospacing="0" w:after="0" w:afterAutospacing="0"/>
        <w:rPr>
          <w:rFonts w:ascii="Helvetica" w:hAnsi="Helvetica"/>
          <w:color w:val="222326"/>
        </w:rPr>
      </w:pPr>
      <w:r>
        <w:rPr>
          <w:rStyle w:val="mjx-char"/>
          <w:rFonts w:ascii="MJXc-TeX-main-Rw" w:hAnsi="MJXc-TeX-main-Rw"/>
          <w:color w:val="222326"/>
          <w:sz w:val="26"/>
          <w:szCs w:val="26"/>
          <w:bdr w:val="none" w:sz="0" w:space="0" w:color="auto" w:frame="1"/>
        </w:rPr>
        <w:t>R-precision=∣∣</w:t>
      </w:r>
      <w:r>
        <w:rPr>
          <w:rStyle w:val="mjx-char"/>
          <w:rFonts w:ascii="MJXc-TeX-math-Iw" w:hAnsi="MJXc-TeX-math-Iw"/>
          <w:color w:val="222326"/>
          <w:sz w:val="26"/>
          <w:szCs w:val="26"/>
          <w:bdr w:val="none" w:sz="0" w:space="0" w:color="auto" w:frame="1"/>
        </w:rPr>
        <w:t>G</w:t>
      </w:r>
      <w:r>
        <w:rPr>
          <w:rStyle w:val="mjx-char"/>
          <w:rFonts w:ascii="MJXc-TeX-main-Rw" w:hAnsi="MJXc-TeX-main-Rw"/>
          <w:color w:val="222326"/>
          <w:sz w:val="26"/>
          <w:szCs w:val="26"/>
          <w:bdr w:val="none" w:sz="0" w:space="0" w:color="auto" w:frame="1"/>
        </w:rPr>
        <w:t>∩</w:t>
      </w:r>
      <w:r>
        <w:rPr>
          <w:rStyle w:val="mjx-char"/>
          <w:rFonts w:ascii="MJXc-TeX-math-Iw" w:hAnsi="MJXc-TeX-math-Iw"/>
          <w:color w:val="222326"/>
          <w:sz w:val="26"/>
          <w:szCs w:val="26"/>
          <w:bdr w:val="none" w:sz="0" w:space="0" w:color="auto" w:frame="1"/>
        </w:rPr>
        <w:t>R</w:t>
      </w:r>
      <w:r>
        <w:rPr>
          <w:rStyle w:val="mjx-char"/>
          <w:rFonts w:ascii="MJXc-TeX-main-Rw" w:hAnsi="MJXc-TeX-main-Rw"/>
          <w:color w:val="222326"/>
          <w:sz w:val="18"/>
          <w:szCs w:val="18"/>
          <w:bdr w:val="none" w:sz="0" w:space="0" w:color="auto" w:frame="1"/>
        </w:rPr>
        <w:t>1:|</w:t>
      </w:r>
      <w:r>
        <w:rPr>
          <w:rStyle w:val="mjx-char"/>
          <w:rFonts w:ascii="MJXc-TeX-math-Iw" w:hAnsi="MJXc-TeX-math-Iw"/>
          <w:color w:val="222326"/>
          <w:sz w:val="18"/>
          <w:szCs w:val="18"/>
          <w:bdr w:val="none" w:sz="0" w:space="0" w:color="auto" w:frame="1"/>
        </w:rPr>
        <w:t>G</w:t>
      </w:r>
      <w:r>
        <w:rPr>
          <w:rStyle w:val="mjx-char"/>
          <w:rFonts w:ascii="MJXc-TeX-main-Rw" w:hAnsi="MJXc-TeX-main-Rw"/>
          <w:color w:val="222326"/>
          <w:sz w:val="18"/>
          <w:szCs w:val="18"/>
          <w:bdr w:val="none" w:sz="0" w:space="0" w:color="auto" w:frame="1"/>
        </w:rPr>
        <w:t>|</w:t>
      </w:r>
      <w:r>
        <w:rPr>
          <w:rStyle w:val="mjx-char"/>
          <w:rFonts w:ascii="MJXc-TeX-main-Rw" w:hAnsi="MJXc-TeX-main-Rw"/>
          <w:color w:val="222326"/>
          <w:sz w:val="26"/>
          <w:szCs w:val="26"/>
          <w:bdr w:val="none" w:sz="0" w:space="0" w:color="auto" w:frame="1"/>
        </w:rPr>
        <w:t>∣∣|</w:t>
      </w:r>
      <w:r>
        <w:rPr>
          <w:rStyle w:val="mjx-char"/>
          <w:rFonts w:ascii="MJXc-TeX-math-Iw" w:hAnsi="MJXc-TeX-math-Iw"/>
          <w:color w:val="222326"/>
          <w:sz w:val="26"/>
          <w:szCs w:val="26"/>
          <w:bdr w:val="none" w:sz="0" w:space="0" w:color="auto" w:frame="1"/>
        </w:rPr>
        <w:t>G</w:t>
      </w:r>
      <w:r>
        <w:rPr>
          <w:rStyle w:val="mjx-char"/>
          <w:rFonts w:ascii="MJXc-TeX-main-Rw" w:hAnsi="MJXc-TeX-main-Rw"/>
          <w:color w:val="222326"/>
          <w:sz w:val="26"/>
          <w:szCs w:val="26"/>
          <w:bdr w:val="none" w:sz="0" w:space="0" w:color="auto" w:frame="1"/>
        </w:rPr>
        <w:t>|.</w:t>
      </w:r>
    </w:p>
    <w:p w14:paraId="5BA70857" w14:textId="77777777" w:rsidR="000B1A4C" w:rsidRDefault="000B1A4C" w:rsidP="000B1A4C">
      <w:pPr>
        <w:pStyle w:val="NormalWeb"/>
        <w:spacing w:before="120" w:beforeAutospacing="0" w:after="240" w:afterAutospacing="0"/>
        <w:rPr>
          <w:rFonts w:ascii="Helvetica" w:hAnsi="Helvetica"/>
          <w:color w:val="222326"/>
        </w:rPr>
      </w:pPr>
      <w:r>
        <w:rPr>
          <w:rFonts w:ascii="Helvetica" w:hAnsi="Helvetica"/>
          <w:color w:val="222326"/>
        </w:rPr>
        <w:t xml:space="preserve">The metric is averaged across all playlists in the challenge set. </w:t>
      </w:r>
      <w:proofErr w:type="gramStart"/>
      <w:r>
        <w:rPr>
          <w:rFonts w:ascii="Helvetica" w:hAnsi="Helvetica"/>
          <w:color w:val="222326"/>
        </w:rPr>
        <w:t>This metric rewards</w:t>
      </w:r>
      <w:proofErr w:type="gramEnd"/>
      <w:r>
        <w:rPr>
          <w:rFonts w:ascii="Helvetica" w:hAnsi="Helvetica"/>
          <w:color w:val="222326"/>
        </w:rPr>
        <w:t xml:space="preserve"> total number of retrieved relevant tracks (regardless of order).</w:t>
      </w:r>
    </w:p>
    <w:p w14:paraId="31F7C96C" w14:textId="77777777" w:rsidR="000B1A4C" w:rsidRDefault="000B1A4C" w:rsidP="000B1A4C">
      <w:pPr>
        <w:pStyle w:val="Heading3"/>
        <w:spacing w:before="360" w:beforeAutospacing="0" w:after="180" w:afterAutospacing="0"/>
        <w:rPr>
          <w:rFonts w:ascii="Helvetica" w:hAnsi="Helvetica"/>
          <w:color w:val="222326"/>
          <w:spacing w:val="-2"/>
          <w:sz w:val="36"/>
          <w:szCs w:val="36"/>
        </w:rPr>
      </w:pPr>
      <w:r>
        <w:rPr>
          <w:rFonts w:ascii="Helvetica" w:hAnsi="Helvetica"/>
          <w:color w:val="222326"/>
          <w:spacing w:val="-2"/>
          <w:sz w:val="36"/>
          <w:szCs w:val="36"/>
        </w:rPr>
        <w:t>Normalized discounted cumulative gain (NDCG)</w:t>
      </w:r>
      <w:r>
        <w:rPr>
          <w:rStyle w:val="apple-converted-space"/>
          <w:rFonts w:ascii="Helvetica" w:hAnsi="Helvetica"/>
          <w:color w:val="222326"/>
          <w:spacing w:val="-2"/>
        </w:rPr>
        <w:t> </w:t>
      </w:r>
    </w:p>
    <w:p w14:paraId="09F70995" w14:textId="77777777" w:rsidR="000B1A4C" w:rsidRDefault="000B1A4C" w:rsidP="000B1A4C">
      <w:pPr>
        <w:pStyle w:val="NormalWeb"/>
        <w:spacing w:before="120" w:beforeAutospacing="0" w:after="240" w:afterAutospacing="0"/>
        <w:rPr>
          <w:rFonts w:ascii="Helvetica" w:hAnsi="Helvetica"/>
          <w:color w:val="222326"/>
        </w:rPr>
      </w:pPr>
      <w:r>
        <w:rPr>
          <w:rFonts w:ascii="Helvetica" w:hAnsi="Helvetica"/>
          <w:color w:val="222326"/>
        </w:rPr>
        <w:t>Discounted cumulative gain (DCG) measures the ranking quality of the recommended tracks, increasing when relevant tracks are placed higher in the list. Normalized DCG (NDCG) is determined by calculating the DCG and dividing it by the ideal DCG in which the recommended tracks are perfectly ranked:</w:t>
      </w:r>
    </w:p>
    <w:p w14:paraId="65374855" w14:textId="77777777" w:rsidR="000B1A4C" w:rsidRDefault="000B1A4C" w:rsidP="000B1A4C">
      <w:pPr>
        <w:pStyle w:val="NormalWeb"/>
        <w:spacing w:before="0" w:beforeAutospacing="0" w:after="0" w:afterAutospacing="0"/>
        <w:rPr>
          <w:rFonts w:ascii="Helvetica" w:hAnsi="Helvetica"/>
          <w:color w:val="222326"/>
        </w:rPr>
      </w:pPr>
      <w:r>
        <w:rPr>
          <w:rStyle w:val="mjx-char"/>
          <w:rFonts w:ascii="MJXc-TeX-math-Iw" w:hAnsi="MJXc-TeX-math-Iw"/>
          <w:color w:val="222326"/>
          <w:sz w:val="26"/>
          <w:szCs w:val="26"/>
          <w:bdr w:val="none" w:sz="0" w:space="0" w:color="auto" w:frame="1"/>
        </w:rPr>
        <w:t>DCG</w:t>
      </w:r>
      <w:r>
        <w:rPr>
          <w:rStyle w:val="mjx-char"/>
          <w:rFonts w:ascii="MJXc-TeX-main-Rw" w:hAnsi="MJXc-TeX-main-Rw"/>
          <w:color w:val="222326"/>
          <w:sz w:val="26"/>
          <w:szCs w:val="26"/>
          <w:bdr w:val="none" w:sz="0" w:space="0" w:color="auto" w:frame="1"/>
        </w:rPr>
        <w:t>=</w:t>
      </w:r>
      <w:r>
        <w:rPr>
          <w:rStyle w:val="mjx-char"/>
          <w:rFonts w:ascii="MJXc-TeX-math-Iw" w:hAnsi="MJXc-TeX-math-Iw"/>
          <w:color w:val="222326"/>
          <w:sz w:val="26"/>
          <w:szCs w:val="26"/>
          <w:bdr w:val="none" w:sz="0" w:space="0" w:color="auto" w:frame="1"/>
        </w:rPr>
        <w:t>rel</w:t>
      </w:r>
      <w:r>
        <w:rPr>
          <w:rStyle w:val="mjx-char"/>
          <w:rFonts w:ascii="MJXc-TeX-main-Rw" w:hAnsi="MJXc-TeX-main-Rw"/>
          <w:color w:val="222326"/>
          <w:sz w:val="18"/>
          <w:szCs w:val="18"/>
          <w:bdr w:val="none" w:sz="0" w:space="0" w:color="auto" w:frame="1"/>
        </w:rPr>
        <w:t>1</w:t>
      </w:r>
      <w:r>
        <w:rPr>
          <w:rStyle w:val="mjx-char"/>
          <w:rFonts w:ascii="MJXc-TeX-main-Rw" w:hAnsi="MJXc-TeX-main-Rw"/>
          <w:color w:val="222326"/>
          <w:sz w:val="26"/>
          <w:szCs w:val="26"/>
          <w:bdr w:val="none" w:sz="0" w:space="0" w:color="auto" w:frame="1"/>
        </w:rPr>
        <w:t>+</w:t>
      </w:r>
      <w:r>
        <w:rPr>
          <w:rStyle w:val="mjx-char"/>
          <w:rFonts w:ascii="MJXc-TeX-main-Rw" w:hAnsi="MJXc-TeX-main-Rw"/>
          <w:color w:val="222326"/>
          <w:sz w:val="18"/>
          <w:szCs w:val="18"/>
          <w:bdr w:val="none" w:sz="0" w:space="0" w:color="auto" w:frame="1"/>
        </w:rPr>
        <w:t>|</w:t>
      </w:r>
      <w:r>
        <w:rPr>
          <w:rStyle w:val="mjx-char"/>
          <w:rFonts w:ascii="MJXc-TeX-math-Iw" w:hAnsi="MJXc-TeX-math-Iw"/>
          <w:color w:val="222326"/>
          <w:sz w:val="18"/>
          <w:szCs w:val="18"/>
          <w:bdr w:val="none" w:sz="0" w:space="0" w:color="auto" w:frame="1"/>
        </w:rPr>
        <w:t>R</w:t>
      </w:r>
      <w:r>
        <w:rPr>
          <w:rStyle w:val="mjx-char"/>
          <w:rFonts w:ascii="MJXc-TeX-main-Rw" w:hAnsi="MJXc-TeX-main-Rw"/>
          <w:color w:val="222326"/>
          <w:sz w:val="18"/>
          <w:szCs w:val="18"/>
          <w:bdr w:val="none" w:sz="0" w:space="0" w:color="auto" w:frame="1"/>
        </w:rPr>
        <w:t>|</w:t>
      </w:r>
      <w:r>
        <w:rPr>
          <w:rStyle w:val="mjx-char"/>
          <w:rFonts w:ascii="MJXc-TeX-size2-Rw" w:hAnsi="MJXc-TeX-size2-Rw"/>
          <w:color w:val="222326"/>
          <w:sz w:val="26"/>
          <w:szCs w:val="26"/>
          <w:bdr w:val="none" w:sz="0" w:space="0" w:color="auto" w:frame="1"/>
        </w:rPr>
        <w:t>∑</w:t>
      </w:r>
      <w:proofErr w:type="spellStart"/>
      <w:r>
        <w:rPr>
          <w:rStyle w:val="mjx-char"/>
          <w:rFonts w:ascii="MJXc-TeX-math-Iw" w:hAnsi="MJXc-TeX-math-Iw"/>
          <w:color w:val="222326"/>
          <w:sz w:val="18"/>
          <w:szCs w:val="18"/>
          <w:bdr w:val="none" w:sz="0" w:space="0" w:color="auto" w:frame="1"/>
        </w:rPr>
        <w:t>i</w:t>
      </w:r>
      <w:proofErr w:type="spellEnd"/>
      <w:r>
        <w:rPr>
          <w:rStyle w:val="mjx-char"/>
          <w:rFonts w:ascii="MJXc-TeX-main-Rw" w:hAnsi="MJXc-TeX-main-Rw"/>
          <w:color w:val="222326"/>
          <w:sz w:val="18"/>
          <w:szCs w:val="18"/>
          <w:bdr w:val="none" w:sz="0" w:space="0" w:color="auto" w:frame="1"/>
        </w:rPr>
        <w:t>=2</w:t>
      </w:r>
      <w:r>
        <w:rPr>
          <w:rStyle w:val="mjx-char"/>
          <w:rFonts w:ascii="MJXc-TeX-math-Iw" w:hAnsi="MJXc-TeX-math-Iw"/>
          <w:color w:val="222326"/>
          <w:sz w:val="26"/>
          <w:szCs w:val="26"/>
          <w:bdr w:val="none" w:sz="0" w:space="0" w:color="auto" w:frame="1"/>
        </w:rPr>
        <w:t>rel</w:t>
      </w:r>
      <w:r>
        <w:rPr>
          <w:rStyle w:val="mjx-char"/>
          <w:rFonts w:ascii="MJXc-TeX-math-Iw" w:hAnsi="MJXc-TeX-math-Iw"/>
          <w:color w:val="222326"/>
          <w:sz w:val="18"/>
          <w:szCs w:val="18"/>
          <w:bdr w:val="none" w:sz="0" w:space="0" w:color="auto" w:frame="1"/>
        </w:rPr>
        <w:t>i</w:t>
      </w:r>
      <w:r>
        <w:rPr>
          <w:rStyle w:val="mjx-char"/>
          <w:rFonts w:ascii="MJXc-TeX-main-Rw" w:hAnsi="MJXc-TeX-main-Rw"/>
          <w:color w:val="222326"/>
          <w:sz w:val="26"/>
          <w:szCs w:val="26"/>
          <w:bdr w:val="none" w:sz="0" w:space="0" w:color="auto" w:frame="1"/>
        </w:rPr>
        <w:t>log</w:t>
      </w:r>
      <w:r>
        <w:rPr>
          <w:rStyle w:val="mjx-char"/>
          <w:rFonts w:ascii="MJXc-TeX-main-Rw" w:hAnsi="MJXc-TeX-main-Rw"/>
          <w:color w:val="222326"/>
          <w:sz w:val="18"/>
          <w:szCs w:val="18"/>
          <w:bdr w:val="none" w:sz="0" w:space="0" w:color="auto" w:frame="1"/>
        </w:rPr>
        <w:t>2</w:t>
      </w:r>
      <w:r>
        <w:rPr>
          <w:rStyle w:val="mjx-char"/>
          <w:rFonts w:ascii="MJXc-TeX-main-Rw" w:hAnsi="MJXc-TeX-main-Rw"/>
          <w:color w:val="222326"/>
          <w:sz w:val="26"/>
          <w:szCs w:val="26"/>
          <w:bdr w:val="none" w:sz="0" w:space="0" w:color="auto" w:frame="1"/>
        </w:rPr>
        <w:t>(</w:t>
      </w:r>
      <w:r>
        <w:rPr>
          <w:rStyle w:val="mjx-char"/>
          <w:rFonts w:ascii="MJXc-TeX-math-Iw" w:hAnsi="MJXc-TeX-math-Iw"/>
          <w:color w:val="222326"/>
          <w:sz w:val="26"/>
          <w:szCs w:val="26"/>
          <w:bdr w:val="none" w:sz="0" w:space="0" w:color="auto" w:frame="1"/>
        </w:rPr>
        <w:t>i</w:t>
      </w:r>
      <w:r>
        <w:rPr>
          <w:rStyle w:val="mjx-char"/>
          <w:rFonts w:ascii="MJXc-TeX-main-Rw" w:hAnsi="MJXc-TeX-main-Rw"/>
          <w:color w:val="222326"/>
          <w:sz w:val="26"/>
          <w:szCs w:val="26"/>
          <w:bdr w:val="none" w:sz="0" w:space="0" w:color="auto" w:frame="1"/>
        </w:rPr>
        <w:t>+1).</w:t>
      </w:r>
    </w:p>
    <w:p w14:paraId="14DECF5B" w14:textId="77777777" w:rsidR="000B1A4C" w:rsidRDefault="000B1A4C" w:rsidP="000B1A4C">
      <w:pPr>
        <w:pStyle w:val="NormalWeb"/>
        <w:spacing w:before="120" w:beforeAutospacing="0" w:after="240" w:afterAutospacing="0"/>
        <w:rPr>
          <w:rFonts w:ascii="Helvetica" w:hAnsi="Helvetica"/>
          <w:color w:val="222326"/>
        </w:rPr>
      </w:pPr>
      <w:r>
        <w:rPr>
          <w:rFonts w:ascii="Helvetica" w:hAnsi="Helvetica"/>
          <w:color w:val="222326"/>
        </w:rPr>
        <w:t>The ideal DCG or IDCG is, on our case, equal to:</w:t>
      </w:r>
    </w:p>
    <w:p w14:paraId="42C58DCE" w14:textId="77777777" w:rsidR="000B1A4C" w:rsidRDefault="000B1A4C" w:rsidP="000B1A4C">
      <w:pPr>
        <w:pStyle w:val="NormalWeb"/>
        <w:spacing w:before="0" w:beforeAutospacing="0" w:after="0" w:afterAutospacing="0"/>
        <w:rPr>
          <w:rFonts w:ascii="Helvetica" w:hAnsi="Helvetica"/>
          <w:color w:val="222326"/>
        </w:rPr>
      </w:pPr>
      <w:r>
        <w:rPr>
          <w:rStyle w:val="mjx-char"/>
          <w:rFonts w:ascii="MJXc-TeX-math-Iw" w:hAnsi="MJXc-TeX-math-Iw"/>
          <w:color w:val="222326"/>
          <w:sz w:val="26"/>
          <w:szCs w:val="26"/>
          <w:bdr w:val="none" w:sz="0" w:space="0" w:color="auto" w:frame="1"/>
        </w:rPr>
        <w:t>IDCG</w:t>
      </w:r>
      <w:r>
        <w:rPr>
          <w:rStyle w:val="mjx-char"/>
          <w:rFonts w:ascii="MJXc-TeX-main-Rw" w:hAnsi="MJXc-TeX-main-Rw"/>
          <w:color w:val="222326"/>
          <w:sz w:val="26"/>
          <w:szCs w:val="26"/>
          <w:bdr w:val="none" w:sz="0" w:space="0" w:color="auto" w:frame="1"/>
        </w:rPr>
        <w:t>=1+</w:t>
      </w:r>
      <w:r>
        <w:rPr>
          <w:rStyle w:val="mjx-char"/>
          <w:rFonts w:ascii="MJXc-TeX-main-Rw" w:hAnsi="MJXc-TeX-main-Rw"/>
          <w:color w:val="222326"/>
          <w:sz w:val="18"/>
          <w:szCs w:val="18"/>
          <w:bdr w:val="none" w:sz="0" w:space="0" w:color="auto" w:frame="1"/>
        </w:rPr>
        <w:t>|</w:t>
      </w:r>
      <w:r>
        <w:rPr>
          <w:rStyle w:val="mjx-char"/>
          <w:rFonts w:ascii="MJXc-TeX-math-Iw" w:hAnsi="MJXc-TeX-math-Iw"/>
          <w:color w:val="222326"/>
          <w:sz w:val="18"/>
          <w:szCs w:val="18"/>
          <w:bdr w:val="none" w:sz="0" w:space="0" w:color="auto" w:frame="1"/>
        </w:rPr>
        <w:t>G</w:t>
      </w:r>
      <w:r>
        <w:rPr>
          <w:rStyle w:val="mjx-char"/>
          <w:rFonts w:ascii="MJXc-TeX-main-Rw" w:hAnsi="MJXc-TeX-main-Rw"/>
          <w:color w:val="222326"/>
          <w:sz w:val="18"/>
          <w:szCs w:val="18"/>
          <w:bdr w:val="none" w:sz="0" w:space="0" w:color="auto" w:frame="1"/>
        </w:rPr>
        <w:t>|</w:t>
      </w:r>
      <w:r>
        <w:rPr>
          <w:rStyle w:val="mjx-char"/>
          <w:rFonts w:ascii="MJXc-TeX-size2-Rw" w:hAnsi="MJXc-TeX-size2-Rw"/>
          <w:color w:val="222326"/>
          <w:sz w:val="26"/>
          <w:szCs w:val="26"/>
          <w:bdr w:val="none" w:sz="0" w:space="0" w:color="auto" w:frame="1"/>
        </w:rPr>
        <w:t>∑</w:t>
      </w:r>
      <w:proofErr w:type="spellStart"/>
      <w:r>
        <w:rPr>
          <w:rStyle w:val="mjx-char"/>
          <w:rFonts w:ascii="MJXc-TeX-math-Iw" w:hAnsi="MJXc-TeX-math-Iw"/>
          <w:color w:val="222326"/>
          <w:sz w:val="18"/>
          <w:szCs w:val="18"/>
          <w:bdr w:val="none" w:sz="0" w:space="0" w:color="auto" w:frame="1"/>
        </w:rPr>
        <w:t>i</w:t>
      </w:r>
      <w:proofErr w:type="spellEnd"/>
      <w:r>
        <w:rPr>
          <w:rStyle w:val="mjx-char"/>
          <w:rFonts w:ascii="MJXc-TeX-main-Rw" w:hAnsi="MJXc-TeX-main-Rw"/>
          <w:color w:val="222326"/>
          <w:sz w:val="18"/>
          <w:szCs w:val="18"/>
          <w:bdr w:val="none" w:sz="0" w:space="0" w:color="auto" w:frame="1"/>
        </w:rPr>
        <w:t>=2</w:t>
      </w:r>
      <w:r>
        <w:rPr>
          <w:rStyle w:val="mjx-char"/>
          <w:rFonts w:ascii="MJXc-TeX-main-Rw" w:hAnsi="MJXc-TeX-main-Rw"/>
          <w:color w:val="222326"/>
          <w:sz w:val="26"/>
          <w:szCs w:val="26"/>
          <w:bdr w:val="none" w:sz="0" w:space="0" w:color="auto" w:frame="1"/>
        </w:rPr>
        <w:t>1log</w:t>
      </w:r>
      <w:r>
        <w:rPr>
          <w:rStyle w:val="mjx-char"/>
          <w:rFonts w:ascii="MJXc-TeX-main-Rw" w:hAnsi="MJXc-TeX-main-Rw"/>
          <w:color w:val="222326"/>
          <w:sz w:val="18"/>
          <w:szCs w:val="18"/>
          <w:bdr w:val="none" w:sz="0" w:space="0" w:color="auto" w:frame="1"/>
        </w:rPr>
        <w:t>2</w:t>
      </w:r>
      <w:r>
        <w:rPr>
          <w:rStyle w:val="mjx-char"/>
          <w:rFonts w:ascii="MJXc-TeX-main-Rw" w:hAnsi="MJXc-TeX-main-Rw"/>
          <w:color w:val="222326"/>
          <w:sz w:val="26"/>
          <w:szCs w:val="26"/>
          <w:bdr w:val="none" w:sz="0" w:space="0" w:color="auto" w:frame="1"/>
        </w:rPr>
        <w:t>(</w:t>
      </w:r>
      <w:r>
        <w:rPr>
          <w:rStyle w:val="mjx-char"/>
          <w:rFonts w:ascii="MJXc-TeX-math-Iw" w:hAnsi="MJXc-TeX-math-Iw"/>
          <w:color w:val="222326"/>
          <w:sz w:val="26"/>
          <w:szCs w:val="26"/>
          <w:bdr w:val="none" w:sz="0" w:space="0" w:color="auto" w:frame="1"/>
        </w:rPr>
        <w:t>i</w:t>
      </w:r>
      <w:r>
        <w:rPr>
          <w:rStyle w:val="mjx-char"/>
          <w:rFonts w:ascii="MJXc-TeX-main-Rw" w:hAnsi="MJXc-TeX-main-Rw"/>
          <w:color w:val="222326"/>
          <w:sz w:val="26"/>
          <w:szCs w:val="26"/>
          <w:bdr w:val="none" w:sz="0" w:space="0" w:color="auto" w:frame="1"/>
        </w:rPr>
        <w:t>+1).</w:t>
      </w:r>
    </w:p>
    <w:p w14:paraId="2FDDF712" w14:textId="77777777" w:rsidR="000B1A4C" w:rsidRDefault="000B1A4C" w:rsidP="000B1A4C">
      <w:pPr>
        <w:pStyle w:val="NormalWeb"/>
        <w:spacing w:before="0" w:beforeAutospacing="0" w:after="0" w:afterAutospacing="0"/>
        <w:rPr>
          <w:rFonts w:ascii="Helvetica" w:hAnsi="Helvetica"/>
          <w:color w:val="222326"/>
        </w:rPr>
      </w:pPr>
      <w:r>
        <w:rPr>
          <w:rFonts w:ascii="Helvetica" w:hAnsi="Helvetica"/>
          <w:color w:val="222326"/>
        </w:rPr>
        <w:t>If the size of the set intersection of</w:t>
      </w:r>
      <w:r>
        <w:rPr>
          <w:rStyle w:val="apple-converted-space"/>
          <w:rFonts w:ascii="Helvetica" w:hAnsi="Helvetica"/>
          <w:color w:val="222326"/>
        </w:rPr>
        <w:t> </w:t>
      </w:r>
      <w:r>
        <w:rPr>
          <w:rStyle w:val="mjx-char"/>
          <w:rFonts w:ascii="MJXc-TeX-math-Iw" w:hAnsi="MJXc-TeX-math-Iw"/>
          <w:color w:val="222326"/>
          <w:sz w:val="26"/>
          <w:szCs w:val="26"/>
          <w:bdr w:val="none" w:sz="0" w:space="0" w:color="auto" w:frame="1"/>
        </w:rPr>
        <w:t>G</w:t>
      </w:r>
      <w:r>
        <w:rPr>
          <w:rStyle w:val="apple-converted-space"/>
          <w:rFonts w:ascii="Helvetica" w:hAnsi="Helvetica"/>
          <w:color w:val="222326"/>
        </w:rPr>
        <w:t> </w:t>
      </w:r>
      <w:r>
        <w:rPr>
          <w:rFonts w:ascii="Helvetica" w:hAnsi="Helvetica"/>
          <w:color w:val="222326"/>
        </w:rPr>
        <w:t>and</w:t>
      </w:r>
      <w:r>
        <w:rPr>
          <w:rStyle w:val="apple-converted-space"/>
          <w:rFonts w:ascii="Helvetica" w:hAnsi="Helvetica"/>
          <w:color w:val="222326"/>
        </w:rPr>
        <w:t> </w:t>
      </w:r>
      <w:r>
        <w:rPr>
          <w:rStyle w:val="mjx-char"/>
          <w:rFonts w:ascii="MJXc-TeX-math-Iw" w:hAnsi="MJXc-TeX-math-Iw"/>
          <w:color w:val="222326"/>
          <w:sz w:val="26"/>
          <w:szCs w:val="26"/>
          <w:bdr w:val="none" w:sz="0" w:space="0" w:color="auto" w:frame="1"/>
        </w:rPr>
        <w:t>R</w:t>
      </w:r>
      <w:r>
        <w:rPr>
          <w:rFonts w:ascii="Helvetica" w:hAnsi="Helvetica"/>
          <w:color w:val="222326"/>
        </w:rPr>
        <w:t>, is empty, then the DCG is equal to 0. The NDCG metric is now calculated as:</w:t>
      </w:r>
    </w:p>
    <w:p w14:paraId="715C4235" w14:textId="77777777" w:rsidR="000B1A4C" w:rsidRDefault="000B1A4C" w:rsidP="000B1A4C">
      <w:pPr>
        <w:pStyle w:val="NormalWeb"/>
        <w:spacing w:before="0" w:beforeAutospacing="0" w:after="0" w:afterAutospacing="0"/>
        <w:rPr>
          <w:rFonts w:ascii="Helvetica" w:hAnsi="Helvetica"/>
          <w:color w:val="222326"/>
        </w:rPr>
      </w:pPr>
      <w:r>
        <w:rPr>
          <w:rStyle w:val="mjx-char"/>
          <w:rFonts w:ascii="MJXc-TeX-math-Iw" w:hAnsi="MJXc-TeX-math-Iw"/>
          <w:color w:val="222326"/>
          <w:sz w:val="26"/>
          <w:szCs w:val="26"/>
          <w:bdr w:val="none" w:sz="0" w:space="0" w:color="auto" w:frame="1"/>
        </w:rPr>
        <w:t>NDCG</w:t>
      </w:r>
      <w:r>
        <w:rPr>
          <w:rStyle w:val="mjx-char"/>
          <w:rFonts w:ascii="MJXc-TeX-main-Rw" w:hAnsi="MJXc-TeX-main-Rw"/>
          <w:color w:val="222326"/>
          <w:sz w:val="26"/>
          <w:szCs w:val="26"/>
          <w:bdr w:val="none" w:sz="0" w:space="0" w:color="auto" w:frame="1"/>
        </w:rPr>
        <w:t>=</w:t>
      </w:r>
      <w:r>
        <w:rPr>
          <w:rStyle w:val="mjx-char"/>
          <w:rFonts w:ascii="MJXc-TeX-math-Iw" w:hAnsi="MJXc-TeX-math-Iw"/>
          <w:color w:val="222326"/>
          <w:sz w:val="26"/>
          <w:szCs w:val="26"/>
          <w:bdr w:val="none" w:sz="0" w:space="0" w:color="auto" w:frame="1"/>
        </w:rPr>
        <w:t>DCGIDCG</w:t>
      </w:r>
      <w:r>
        <w:rPr>
          <w:rStyle w:val="mjx-char"/>
          <w:rFonts w:ascii="MJXc-TeX-main-Rw" w:hAnsi="MJXc-TeX-main-Rw"/>
          <w:color w:val="222326"/>
          <w:sz w:val="26"/>
          <w:szCs w:val="26"/>
          <w:bdr w:val="none" w:sz="0" w:space="0" w:color="auto" w:frame="1"/>
        </w:rPr>
        <w:t>.</w:t>
      </w:r>
    </w:p>
    <w:p w14:paraId="7B64CED5" w14:textId="77777777" w:rsidR="000B1A4C" w:rsidRDefault="000B1A4C" w:rsidP="000B1A4C">
      <w:pPr>
        <w:pStyle w:val="Heading3"/>
        <w:spacing w:before="360" w:beforeAutospacing="0" w:after="180" w:afterAutospacing="0"/>
        <w:rPr>
          <w:rFonts w:ascii="Helvetica" w:hAnsi="Helvetica"/>
          <w:color w:val="222326"/>
          <w:spacing w:val="-2"/>
          <w:sz w:val="36"/>
          <w:szCs w:val="36"/>
        </w:rPr>
      </w:pPr>
      <w:bookmarkStart w:id="0" w:name="_GoBack"/>
      <w:r>
        <w:rPr>
          <w:rFonts w:ascii="Helvetica" w:hAnsi="Helvetica"/>
          <w:color w:val="222326"/>
          <w:spacing w:val="-2"/>
          <w:sz w:val="36"/>
          <w:szCs w:val="36"/>
        </w:rPr>
        <w:t>Recommended Songs clicks</w:t>
      </w:r>
      <w:r>
        <w:rPr>
          <w:rStyle w:val="apple-converted-space"/>
          <w:rFonts w:ascii="Helvetica" w:hAnsi="Helvetica"/>
          <w:color w:val="222326"/>
          <w:spacing w:val="-2"/>
        </w:rPr>
        <w:t> </w:t>
      </w:r>
    </w:p>
    <w:bookmarkEnd w:id="0"/>
    <w:p w14:paraId="655FAAA7" w14:textId="77777777" w:rsidR="000B1A4C" w:rsidRDefault="000B1A4C" w:rsidP="000B1A4C">
      <w:pPr>
        <w:pStyle w:val="NormalWeb"/>
        <w:spacing w:before="120" w:beforeAutospacing="0" w:after="240" w:afterAutospacing="0"/>
        <w:rPr>
          <w:rFonts w:ascii="Helvetica" w:hAnsi="Helvetica"/>
          <w:color w:val="222326"/>
        </w:rPr>
      </w:pPr>
      <w:r>
        <w:rPr>
          <w:rFonts w:ascii="Helvetica" w:hAnsi="Helvetica"/>
          <w:color w:val="222326"/>
        </w:rPr>
        <w:t>Recommended Songs is a Spotify feature that, given a set of tracks in a playlist, recommends 10 tracks to add to the playlist. The list can be refreshed to produce 10 more tracks. Recommended Songs clicks is the number of refreshes needed before a relevant track is encountered. It is calculated as follows:</w:t>
      </w:r>
    </w:p>
    <w:p w14:paraId="2222AA74" w14:textId="77777777" w:rsidR="000B1A4C" w:rsidRDefault="000B1A4C" w:rsidP="000B1A4C">
      <w:pPr>
        <w:pStyle w:val="NormalWeb"/>
        <w:spacing w:before="0" w:beforeAutospacing="0" w:after="0" w:afterAutospacing="0"/>
        <w:rPr>
          <w:rFonts w:ascii="Helvetica" w:hAnsi="Helvetica"/>
          <w:color w:val="222326"/>
        </w:rPr>
      </w:pPr>
      <w:r>
        <w:rPr>
          <w:rStyle w:val="mjx-char"/>
          <w:rFonts w:ascii="MJXc-TeX-main-Rw" w:hAnsi="MJXc-TeX-main-Rw"/>
          <w:color w:val="222326"/>
          <w:sz w:val="26"/>
          <w:szCs w:val="26"/>
          <w:bdr w:val="none" w:sz="0" w:space="0" w:color="auto" w:frame="1"/>
        </w:rPr>
        <w:t>clicks=</w:t>
      </w:r>
      <w:r>
        <w:rPr>
          <w:rStyle w:val="mjx-char"/>
          <w:rFonts w:ascii="Cambria Math" w:hAnsi="Cambria Math" w:cs="Cambria Math"/>
          <w:color w:val="222326"/>
          <w:sz w:val="26"/>
          <w:szCs w:val="26"/>
          <w:bdr w:val="none" w:sz="0" w:space="0" w:color="auto" w:frame="1"/>
        </w:rPr>
        <w:t>⌊</w:t>
      </w:r>
      <w:proofErr w:type="spellStart"/>
      <w:proofErr w:type="gramStart"/>
      <w:r>
        <w:rPr>
          <w:rStyle w:val="mjx-char"/>
          <w:rFonts w:ascii="MJXc-TeX-main-Rw" w:hAnsi="MJXc-TeX-main-Rw"/>
          <w:color w:val="222326"/>
          <w:sz w:val="26"/>
          <w:szCs w:val="26"/>
          <w:bdr w:val="none" w:sz="0" w:space="0" w:color="auto" w:frame="1"/>
        </w:rPr>
        <w:t>argmin</w:t>
      </w:r>
      <w:r>
        <w:rPr>
          <w:rStyle w:val="mjx-char"/>
          <w:rFonts w:ascii="MJXc-TeX-math-Iw" w:hAnsi="MJXc-TeX-math-Iw"/>
          <w:color w:val="222326"/>
          <w:sz w:val="18"/>
          <w:szCs w:val="18"/>
          <w:bdr w:val="none" w:sz="0" w:space="0" w:color="auto" w:frame="1"/>
        </w:rPr>
        <w:t>i</w:t>
      </w:r>
      <w:proofErr w:type="spellEnd"/>
      <w:r>
        <w:rPr>
          <w:rStyle w:val="mjx-char"/>
          <w:rFonts w:ascii="MJXc-TeX-main-Rw" w:hAnsi="MJXc-TeX-main-Rw"/>
          <w:color w:val="222326"/>
          <w:sz w:val="26"/>
          <w:szCs w:val="26"/>
          <w:bdr w:val="none" w:sz="0" w:space="0" w:color="auto" w:frame="1"/>
        </w:rPr>
        <w:t>{</w:t>
      </w:r>
      <w:proofErr w:type="spellStart"/>
      <w:proofErr w:type="gramEnd"/>
      <w:r>
        <w:rPr>
          <w:rStyle w:val="mjx-char"/>
          <w:rFonts w:ascii="MJXc-TeX-math-Iw" w:hAnsi="MJXc-TeX-math-Iw"/>
          <w:color w:val="222326"/>
          <w:sz w:val="26"/>
          <w:szCs w:val="26"/>
          <w:bdr w:val="none" w:sz="0" w:space="0" w:color="auto" w:frame="1"/>
        </w:rPr>
        <w:t>R</w:t>
      </w:r>
      <w:r>
        <w:rPr>
          <w:rStyle w:val="mjx-char"/>
          <w:rFonts w:ascii="MJXc-TeX-math-Iw" w:hAnsi="MJXc-TeX-math-Iw"/>
          <w:color w:val="222326"/>
          <w:sz w:val="18"/>
          <w:szCs w:val="18"/>
          <w:bdr w:val="none" w:sz="0" w:space="0" w:color="auto" w:frame="1"/>
        </w:rPr>
        <w:t>i</w:t>
      </w:r>
      <w:r>
        <w:rPr>
          <w:rStyle w:val="mjx-char"/>
          <w:rFonts w:ascii="MJXc-TeX-main-Rw" w:hAnsi="MJXc-TeX-main-Rw"/>
          <w:color w:val="222326"/>
          <w:sz w:val="26"/>
          <w:szCs w:val="26"/>
          <w:bdr w:val="none" w:sz="0" w:space="0" w:color="auto" w:frame="1"/>
        </w:rPr>
        <w:t>:</w:t>
      </w:r>
      <w:r>
        <w:rPr>
          <w:rStyle w:val="mjx-char"/>
          <w:rFonts w:ascii="MJXc-TeX-math-Iw" w:hAnsi="MJXc-TeX-math-Iw"/>
          <w:color w:val="222326"/>
          <w:sz w:val="26"/>
          <w:szCs w:val="26"/>
          <w:bdr w:val="none" w:sz="0" w:space="0" w:color="auto" w:frame="1"/>
        </w:rPr>
        <w:t>R</w:t>
      </w:r>
      <w:r>
        <w:rPr>
          <w:rStyle w:val="mjx-char"/>
          <w:rFonts w:ascii="MJXc-TeX-math-Iw" w:hAnsi="MJXc-TeX-math-Iw"/>
          <w:color w:val="222326"/>
          <w:sz w:val="18"/>
          <w:szCs w:val="18"/>
          <w:bdr w:val="none" w:sz="0" w:space="0" w:color="auto" w:frame="1"/>
        </w:rPr>
        <w:t>i</w:t>
      </w:r>
      <w:r>
        <w:rPr>
          <w:rStyle w:val="mjx-char"/>
          <w:rFonts w:ascii="MJXc-TeX-main-Rw" w:hAnsi="MJXc-TeX-main-Rw"/>
          <w:color w:val="222326"/>
          <w:sz w:val="26"/>
          <w:szCs w:val="26"/>
          <w:bdr w:val="none" w:sz="0" w:space="0" w:color="auto" w:frame="1"/>
        </w:rPr>
        <w:t>∈</w:t>
      </w:r>
      <w:r>
        <w:rPr>
          <w:rStyle w:val="mjx-char"/>
          <w:rFonts w:ascii="MJXc-TeX-math-Iw" w:hAnsi="MJXc-TeX-math-Iw"/>
          <w:color w:val="222326"/>
          <w:sz w:val="26"/>
          <w:szCs w:val="26"/>
          <w:bdr w:val="none" w:sz="0" w:space="0" w:color="auto" w:frame="1"/>
        </w:rPr>
        <w:t>G</w:t>
      </w:r>
      <w:proofErr w:type="spellEnd"/>
      <w:r>
        <w:rPr>
          <w:rStyle w:val="mjx-char"/>
          <w:rFonts w:ascii="MJXc-TeX-main-Rw" w:hAnsi="MJXc-TeX-main-Rw"/>
          <w:color w:val="222326"/>
          <w:sz w:val="26"/>
          <w:szCs w:val="26"/>
          <w:bdr w:val="none" w:sz="0" w:space="0" w:color="auto" w:frame="1"/>
        </w:rPr>
        <w:t>|}−110</w:t>
      </w:r>
      <w:r>
        <w:rPr>
          <w:rStyle w:val="mjx-char"/>
          <w:rFonts w:ascii="Cambria Math" w:hAnsi="Cambria Math" w:cs="Cambria Math"/>
          <w:color w:val="222326"/>
          <w:sz w:val="26"/>
          <w:szCs w:val="26"/>
          <w:bdr w:val="none" w:sz="0" w:space="0" w:color="auto" w:frame="1"/>
        </w:rPr>
        <w:t>⌋</w:t>
      </w:r>
    </w:p>
    <w:p w14:paraId="26F1D931" w14:textId="77777777" w:rsidR="000B1A4C" w:rsidRDefault="000B1A4C" w:rsidP="000B1A4C">
      <w:pPr>
        <w:pStyle w:val="NormalWeb"/>
        <w:spacing w:before="0" w:beforeAutospacing="0" w:after="0" w:afterAutospacing="0"/>
        <w:rPr>
          <w:rFonts w:ascii="Helvetica" w:hAnsi="Helvetica"/>
          <w:color w:val="222326"/>
        </w:rPr>
      </w:pPr>
      <w:r>
        <w:rPr>
          <w:rFonts w:ascii="Helvetica" w:hAnsi="Helvetica"/>
          <w:color w:val="222326"/>
        </w:rPr>
        <w:t>If the metric does not exist (i.e. if there is no relevant track in</w:t>
      </w:r>
      <w:r>
        <w:rPr>
          <w:rStyle w:val="apple-converted-space"/>
          <w:rFonts w:ascii="Helvetica" w:hAnsi="Helvetica"/>
          <w:color w:val="222326"/>
        </w:rPr>
        <w:t> </w:t>
      </w:r>
      <w:r>
        <w:rPr>
          <w:rStyle w:val="mjx-char"/>
          <w:rFonts w:ascii="MJXc-TeX-math-Iw" w:hAnsi="MJXc-TeX-math-Iw"/>
          <w:color w:val="222326"/>
          <w:sz w:val="26"/>
          <w:szCs w:val="26"/>
          <w:bdr w:val="none" w:sz="0" w:space="0" w:color="auto" w:frame="1"/>
        </w:rPr>
        <w:t>R</w:t>
      </w:r>
      <w:r>
        <w:rPr>
          <w:rFonts w:ascii="Helvetica" w:hAnsi="Helvetica"/>
          <w:color w:val="222326"/>
        </w:rPr>
        <w:t>), a value of 51 is picked (which is 1 + the maximum number of clicks possible).</w:t>
      </w:r>
    </w:p>
    <w:p w14:paraId="2725F75B" w14:textId="77777777" w:rsidR="000B1A4C" w:rsidRDefault="000B1A4C" w:rsidP="000B1A4C">
      <w:pPr>
        <w:pStyle w:val="Heading3"/>
        <w:spacing w:before="360" w:beforeAutospacing="0" w:after="180" w:afterAutospacing="0"/>
        <w:rPr>
          <w:rFonts w:ascii="Helvetica" w:hAnsi="Helvetica"/>
          <w:color w:val="222326"/>
          <w:spacing w:val="-2"/>
          <w:sz w:val="36"/>
          <w:szCs w:val="36"/>
        </w:rPr>
      </w:pPr>
      <w:r>
        <w:rPr>
          <w:rFonts w:ascii="Helvetica" w:hAnsi="Helvetica"/>
          <w:color w:val="222326"/>
          <w:spacing w:val="-2"/>
          <w:sz w:val="36"/>
          <w:szCs w:val="36"/>
        </w:rPr>
        <w:t>Rank aggregation</w:t>
      </w:r>
      <w:r>
        <w:rPr>
          <w:rStyle w:val="apple-converted-space"/>
          <w:rFonts w:ascii="Helvetica" w:hAnsi="Helvetica"/>
          <w:color w:val="222326"/>
          <w:spacing w:val="-2"/>
        </w:rPr>
        <w:t> </w:t>
      </w:r>
    </w:p>
    <w:p w14:paraId="768F2DA1" w14:textId="77777777" w:rsidR="000B1A4C" w:rsidRDefault="000B1A4C" w:rsidP="000B1A4C">
      <w:pPr>
        <w:pStyle w:val="NormalWeb"/>
        <w:spacing w:before="120" w:beforeAutospacing="0" w:after="240" w:afterAutospacing="0"/>
        <w:rPr>
          <w:rFonts w:ascii="Helvetica" w:hAnsi="Helvetica"/>
          <w:color w:val="222326"/>
        </w:rPr>
      </w:pPr>
      <w:r>
        <w:rPr>
          <w:rFonts w:ascii="Helvetica" w:hAnsi="Helvetica"/>
          <w:color w:val="222326"/>
        </w:rPr>
        <w:t>Final rankings will be computed by using the</w:t>
      </w:r>
      <w:r>
        <w:rPr>
          <w:rStyle w:val="apple-converted-space"/>
          <w:rFonts w:ascii="Helvetica" w:hAnsi="Helvetica"/>
          <w:color w:val="222326"/>
        </w:rPr>
        <w:t> </w:t>
      </w:r>
      <w:proofErr w:type="spellStart"/>
      <w:r>
        <w:rPr>
          <w:rFonts w:ascii="Helvetica" w:hAnsi="Helvetica"/>
          <w:color w:val="222326"/>
        </w:rPr>
        <w:fldChar w:fldCharType="begin"/>
      </w:r>
      <w:r>
        <w:rPr>
          <w:rFonts w:ascii="Helvetica" w:hAnsi="Helvetica"/>
          <w:color w:val="222326"/>
        </w:rPr>
        <w:instrText xml:space="preserve"> HYPERLINK "https://en.wikipedia.org/wiki/Borda_count" </w:instrText>
      </w:r>
      <w:r>
        <w:rPr>
          <w:rFonts w:ascii="Helvetica" w:hAnsi="Helvetica"/>
          <w:color w:val="222326"/>
        </w:rPr>
        <w:fldChar w:fldCharType="separate"/>
      </w:r>
      <w:r>
        <w:rPr>
          <w:rStyle w:val="Hyperlink"/>
          <w:rFonts w:ascii="Helvetica" w:hAnsi="Helvetica"/>
          <w:color w:val="1DB954"/>
        </w:rPr>
        <w:t>Borda</w:t>
      </w:r>
      <w:proofErr w:type="spellEnd"/>
      <w:r>
        <w:rPr>
          <w:rStyle w:val="Hyperlink"/>
          <w:rFonts w:ascii="Helvetica" w:hAnsi="Helvetica"/>
          <w:color w:val="1DB954"/>
        </w:rPr>
        <w:t xml:space="preserve"> Count</w:t>
      </w:r>
      <w:r>
        <w:rPr>
          <w:rFonts w:ascii="Helvetica" w:hAnsi="Helvetica"/>
          <w:color w:val="222326"/>
        </w:rPr>
        <w:fldChar w:fldCharType="end"/>
      </w:r>
      <w:r>
        <w:rPr>
          <w:rStyle w:val="apple-converted-space"/>
          <w:rFonts w:ascii="Helvetica" w:hAnsi="Helvetica"/>
          <w:color w:val="222326"/>
        </w:rPr>
        <w:t> </w:t>
      </w:r>
      <w:r>
        <w:rPr>
          <w:rFonts w:ascii="Helvetica" w:hAnsi="Helvetica"/>
          <w:color w:val="222326"/>
        </w:rPr>
        <w:t>election strategy. For each of the rankings of</w:t>
      </w:r>
      <w:r>
        <w:rPr>
          <w:rStyle w:val="apple-converted-space"/>
          <w:rFonts w:ascii="Helvetica" w:hAnsi="Helvetica"/>
          <w:color w:val="222326"/>
        </w:rPr>
        <w:t> </w:t>
      </w:r>
      <w:r>
        <w:rPr>
          <w:rFonts w:ascii="Helvetica" w:hAnsi="Helvetica"/>
          <w:i/>
          <w:iCs/>
          <w:color w:val="222326"/>
        </w:rPr>
        <w:t>p</w:t>
      </w:r>
      <w:r>
        <w:rPr>
          <w:rStyle w:val="apple-converted-space"/>
          <w:rFonts w:ascii="Helvetica" w:hAnsi="Helvetica"/>
          <w:i/>
          <w:iCs/>
          <w:color w:val="222326"/>
        </w:rPr>
        <w:t> </w:t>
      </w:r>
      <w:r>
        <w:rPr>
          <w:rFonts w:ascii="Helvetica" w:hAnsi="Helvetica"/>
          <w:color w:val="222326"/>
        </w:rPr>
        <w:t xml:space="preserve">participants according to R-precision, NDCG, and Recommended </w:t>
      </w:r>
      <w:r>
        <w:rPr>
          <w:rFonts w:ascii="Helvetica" w:hAnsi="Helvetica"/>
          <w:color w:val="222326"/>
        </w:rPr>
        <w:lastRenderedPageBreak/>
        <w:t>Songs clicks, the top ranked system receives</w:t>
      </w:r>
      <w:r>
        <w:rPr>
          <w:rStyle w:val="apple-converted-space"/>
          <w:rFonts w:ascii="Helvetica" w:hAnsi="Helvetica"/>
          <w:color w:val="222326"/>
        </w:rPr>
        <w:t> </w:t>
      </w:r>
      <w:r>
        <w:rPr>
          <w:rFonts w:ascii="Helvetica" w:hAnsi="Helvetica"/>
          <w:i/>
          <w:iCs/>
          <w:color w:val="222326"/>
        </w:rPr>
        <w:t>p</w:t>
      </w:r>
      <w:r>
        <w:rPr>
          <w:rStyle w:val="apple-converted-space"/>
          <w:rFonts w:ascii="Helvetica" w:hAnsi="Helvetica"/>
          <w:i/>
          <w:iCs/>
          <w:color w:val="222326"/>
        </w:rPr>
        <w:t> </w:t>
      </w:r>
      <w:r>
        <w:rPr>
          <w:rFonts w:ascii="Helvetica" w:hAnsi="Helvetica"/>
          <w:color w:val="222326"/>
        </w:rPr>
        <w:t>points, the second system receives</w:t>
      </w:r>
      <w:r>
        <w:rPr>
          <w:rStyle w:val="apple-converted-space"/>
          <w:rFonts w:ascii="Helvetica" w:hAnsi="Helvetica"/>
          <w:color w:val="222326"/>
        </w:rPr>
        <w:t> </w:t>
      </w:r>
      <w:r>
        <w:rPr>
          <w:rFonts w:ascii="Helvetica" w:hAnsi="Helvetica"/>
          <w:i/>
          <w:iCs/>
          <w:color w:val="222326"/>
        </w:rPr>
        <w:t>p-1</w:t>
      </w:r>
      <w:r>
        <w:rPr>
          <w:rStyle w:val="apple-converted-space"/>
          <w:rFonts w:ascii="Helvetica" w:hAnsi="Helvetica"/>
          <w:i/>
          <w:iCs/>
          <w:color w:val="222326"/>
        </w:rPr>
        <w:t> </w:t>
      </w:r>
      <w:r>
        <w:rPr>
          <w:rFonts w:ascii="Helvetica" w:hAnsi="Helvetica"/>
          <w:color w:val="222326"/>
        </w:rPr>
        <w:t>points, and so on. The participant with the most total points wins. In the case of ties, we use top-down comparison: compare the number of 1st place positions between the systems, then 2nd place positions, and so on.</w:t>
      </w:r>
    </w:p>
    <w:p w14:paraId="6DD675F1" w14:textId="77777777" w:rsidR="000B1A4C" w:rsidRDefault="000B1A4C" w:rsidP="000B1A4C">
      <w:pPr>
        <w:rPr>
          <w:rFonts w:ascii="Times New Roman" w:hAnsi="Times New Roman"/>
        </w:rPr>
      </w:pPr>
    </w:p>
    <w:p w14:paraId="5D6BBF38" w14:textId="77777777" w:rsidR="000B1A4C" w:rsidRDefault="000B1A4C"/>
    <w:p w14:paraId="6BE1E4F7" w14:textId="77777777" w:rsidR="0033121E" w:rsidRDefault="0033121E"/>
    <w:p w14:paraId="457C3622" w14:textId="77777777" w:rsidR="0033121E" w:rsidRDefault="0033121E"/>
    <w:sectPr w:rsidR="0033121E" w:rsidSect="00E60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2-Rw">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43"/>
    <w:rsid w:val="000B1A4C"/>
    <w:rsid w:val="0033121E"/>
    <w:rsid w:val="006C2F4E"/>
    <w:rsid w:val="008E2E43"/>
    <w:rsid w:val="00A66AE6"/>
    <w:rsid w:val="00B3642B"/>
    <w:rsid w:val="00D8312B"/>
    <w:rsid w:val="00E60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3BA733"/>
  <w15:chartTrackingRefBased/>
  <w15:docId w15:val="{BAC37039-D6CA-494A-A7CA-50031339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1A4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1A4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21E"/>
    <w:rPr>
      <w:color w:val="0563C1" w:themeColor="hyperlink"/>
      <w:u w:val="single"/>
    </w:rPr>
  </w:style>
  <w:style w:type="character" w:styleId="UnresolvedMention">
    <w:name w:val="Unresolved Mention"/>
    <w:basedOn w:val="DefaultParagraphFont"/>
    <w:uiPriority w:val="99"/>
    <w:semiHidden/>
    <w:unhideWhenUsed/>
    <w:rsid w:val="0033121E"/>
    <w:rPr>
      <w:color w:val="605E5C"/>
      <w:shd w:val="clear" w:color="auto" w:fill="E1DFDD"/>
    </w:rPr>
  </w:style>
  <w:style w:type="character" w:customStyle="1" w:styleId="Heading2Char">
    <w:name w:val="Heading 2 Char"/>
    <w:basedOn w:val="DefaultParagraphFont"/>
    <w:link w:val="Heading2"/>
    <w:uiPriority w:val="9"/>
    <w:rsid w:val="000B1A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1A4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0B1A4C"/>
  </w:style>
  <w:style w:type="paragraph" w:styleId="NormalWeb">
    <w:name w:val="Normal (Web)"/>
    <w:basedOn w:val="Normal"/>
    <w:uiPriority w:val="99"/>
    <w:semiHidden/>
    <w:unhideWhenUsed/>
    <w:rsid w:val="000B1A4C"/>
    <w:pPr>
      <w:spacing w:before="100" w:beforeAutospacing="1" w:after="100" w:afterAutospacing="1"/>
    </w:pPr>
    <w:rPr>
      <w:rFonts w:ascii="Times New Roman" w:eastAsia="Times New Roman" w:hAnsi="Times New Roman" w:cs="Times New Roman"/>
    </w:rPr>
  </w:style>
  <w:style w:type="character" w:customStyle="1" w:styleId="mjx-char">
    <w:name w:val="mjx-char"/>
    <w:basedOn w:val="DefaultParagraphFont"/>
    <w:rsid w:val="000B1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89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st.github.com/bwhite/3726239" TargetMode="External"/><Relationship Id="rId5" Type="http://schemas.openxmlformats.org/officeDocument/2006/relationships/image" Target="media/image1.png"/><Relationship Id="rId4" Type="http://schemas.openxmlformats.org/officeDocument/2006/relationships/hyperlink" Target="http://fastml.com/evaluating-recommender-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mcdomx McDonald</dc:creator>
  <cp:keywords/>
  <dc:description/>
  <cp:lastModifiedBy>mcdomx McDonald</cp:lastModifiedBy>
  <cp:revision>2</cp:revision>
  <dcterms:created xsi:type="dcterms:W3CDTF">2019-11-27T12:49:00Z</dcterms:created>
  <dcterms:modified xsi:type="dcterms:W3CDTF">2019-11-27T17:27:00Z</dcterms:modified>
</cp:coreProperties>
</file>