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D5A6" w14:textId="26C52626" w:rsidR="00472797" w:rsidRDefault="00EC1F5E" w:rsidP="003E341D">
      <w:pPr>
        <w:pStyle w:val="Title"/>
        <w:spacing w:after="0"/>
        <w:rPr>
          <w:lang w:val="en-NZ"/>
        </w:rPr>
      </w:pPr>
      <w:r>
        <w:rPr>
          <w:lang w:val="en-NZ"/>
        </w:rPr>
        <w:t>Physiology of Voice Production</w:t>
      </w:r>
    </w:p>
    <w:p w14:paraId="1EC72941" w14:textId="4840C76C" w:rsidR="00777DA4" w:rsidRDefault="00EC1F5E" w:rsidP="00664E0B">
      <w:pPr>
        <w:pStyle w:val="Heading1"/>
      </w:pPr>
      <w:r>
        <w:t xml:space="preserve">Components of </w:t>
      </w:r>
      <w:r w:rsidR="00664E0B">
        <w:t>the Speech Production System</w:t>
      </w:r>
    </w:p>
    <w:p w14:paraId="6EBF84BC" w14:textId="0F1EC129" w:rsidR="00664E0B" w:rsidRDefault="00664E0B" w:rsidP="00664E0B">
      <w:pPr>
        <w:pStyle w:val="ListParagraph"/>
        <w:numPr>
          <w:ilvl w:val="0"/>
          <w:numId w:val="24"/>
        </w:numPr>
      </w:pPr>
      <w:r>
        <w:t>Lungs, or sub-glottal</w:t>
      </w:r>
      <w:r w:rsidR="00A520B8">
        <w:t xml:space="preserve"> respiratory system</w:t>
      </w:r>
      <w:r w:rsidR="006C6F79">
        <w:t>. Acts as the source of energy which supplies airflow to the larynx</w:t>
      </w:r>
      <w:r w:rsidR="002342F7">
        <w:t xml:space="preserve"> through the trachea (windpipe)</w:t>
      </w:r>
      <w:r w:rsidR="00232993">
        <w:t xml:space="preserve">. </w:t>
      </w:r>
    </w:p>
    <w:p w14:paraId="48BAC398" w14:textId="19B001E1" w:rsidR="00A520B8" w:rsidRDefault="00A520B8" w:rsidP="00A520B8">
      <w:pPr>
        <w:pStyle w:val="ListParagraph"/>
        <w:numPr>
          <w:ilvl w:val="0"/>
          <w:numId w:val="24"/>
        </w:numPr>
      </w:pPr>
      <w:r>
        <w:t xml:space="preserve">Larynx </w:t>
      </w:r>
      <w:r w:rsidR="003D15E5">
        <w:t>(voice box). Houses the vocal folds whic</w:t>
      </w:r>
      <w:r w:rsidR="0089218E">
        <w:t>h open/close quasi-periodically. Opening between the vocal folds is the ‘glottis’.</w:t>
      </w:r>
    </w:p>
    <w:p w14:paraId="35305A1F" w14:textId="6D3FD866" w:rsidR="00A520B8" w:rsidRDefault="00A520B8" w:rsidP="00A520B8">
      <w:pPr>
        <w:pStyle w:val="ListParagraph"/>
        <w:numPr>
          <w:ilvl w:val="0"/>
          <w:numId w:val="24"/>
        </w:numPr>
      </w:pPr>
      <w:r>
        <w:t>Vocal tract or supra-glottal area</w:t>
      </w:r>
      <w:r w:rsidR="000E4947">
        <w:t>.</w:t>
      </w:r>
      <w:r w:rsidR="00E84DB5">
        <w:t xml:space="preserve"> Consists of t</w:t>
      </w:r>
      <w:r w:rsidR="0044560F">
        <w:t>he nose, mouth and pharynx.</w:t>
      </w:r>
    </w:p>
    <w:p w14:paraId="2312A3C8" w14:textId="248F557A" w:rsidR="004436EF" w:rsidRDefault="004953A2" w:rsidP="00797C7E">
      <w:r>
        <w:t>Source filter model – modulated airflow from the glottis</w:t>
      </w:r>
      <w:r w:rsidR="005A209C">
        <w:t xml:space="preserve"> is the input to the filter, known as the glottal flow or glottal volume velocity waveform.</w:t>
      </w:r>
      <w:r w:rsidR="000C0896">
        <w:t xml:space="preserve"> Vocal tract is a variable acoustic filter which</w:t>
      </w:r>
      <w:r w:rsidR="004436EF">
        <w:t xml:space="preserve"> varies in shape when person speaks, giving the sound timbre</w:t>
      </w:r>
      <w:r w:rsidR="00A11987">
        <w:t xml:space="preserve">, </w:t>
      </w:r>
      <w:r w:rsidR="007F3094">
        <w:t xml:space="preserve">effectively </w:t>
      </w:r>
      <w:r w:rsidR="00A11987">
        <w:t>shaping the spectral characteristics of the source.</w:t>
      </w:r>
    </w:p>
    <w:p w14:paraId="39FB4FE3" w14:textId="31A38813" w:rsidR="00E023E6" w:rsidRDefault="00E023E6" w:rsidP="00E023E6">
      <w:pPr>
        <w:jc w:val="center"/>
      </w:pPr>
      <w:r w:rsidRPr="00E023E6">
        <w:rPr>
          <w:noProof/>
        </w:rPr>
        <w:drawing>
          <wp:inline distT="0" distB="0" distL="0" distR="0" wp14:anchorId="69A8156C" wp14:editId="332EE5F0">
            <wp:extent cx="3571794" cy="25502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198" cy="25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755A" w14:textId="06608EC8" w:rsidR="008C020A" w:rsidRDefault="00E1733B" w:rsidP="00E1733B">
      <w:pPr>
        <w:pStyle w:val="Heading1"/>
      </w:pPr>
      <w:r>
        <w:t>Lungs and Respiratory System</w:t>
      </w:r>
    </w:p>
    <w:p w14:paraId="072E28BF" w14:textId="522FF55E" w:rsidR="00E1733B" w:rsidRDefault="0095398B" w:rsidP="0095398B">
      <w:pPr>
        <w:pStyle w:val="ListParagraph"/>
        <w:numPr>
          <w:ilvl w:val="0"/>
          <w:numId w:val="25"/>
        </w:numPr>
      </w:pPr>
      <w:r>
        <w:t xml:space="preserve">Respiratory system = lungs, airways and </w:t>
      </w:r>
      <w:r w:rsidR="00741707">
        <w:t>respiratory muscles.</w:t>
      </w:r>
    </w:p>
    <w:p w14:paraId="29E7BD35" w14:textId="0105DC5A" w:rsidR="00A15D4D" w:rsidRDefault="00E51B97" w:rsidP="00FA2E7C">
      <w:pPr>
        <w:pStyle w:val="ListParagraph"/>
        <w:numPr>
          <w:ilvl w:val="0"/>
          <w:numId w:val="25"/>
        </w:numPr>
      </w:pPr>
      <w:r>
        <w:t>Main purpose of lungs is the exchange of gases</w:t>
      </w:r>
      <w:r w:rsidR="00A15D4D">
        <w:t xml:space="preserve"> (oxygen/CO2)</w:t>
      </w:r>
      <w:r w:rsidR="00FA2E7C">
        <w:t xml:space="preserve">. </w:t>
      </w:r>
      <w:r w:rsidR="00A15D4D">
        <w:t>Oxygen is absorbed into the bloodstream during inh</w:t>
      </w:r>
      <w:r w:rsidR="00FA2E7C">
        <w:t xml:space="preserve">alation and CO2 is expelled during </w:t>
      </w:r>
      <w:r w:rsidR="003D756F">
        <w:t>exhalation.</w:t>
      </w:r>
    </w:p>
    <w:p w14:paraId="7DF78963" w14:textId="165459C3" w:rsidR="00FA2E7C" w:rsidRDefault="00A67AF7" w:rsidP="00E51B97">
      <w:pPr>
        <w:pStyle w:val="ListParagraph"/>
        <w:numPr>
          <w:ilvl w:val="0"/>
          <w:numId w:val="25"/>
        </w:numPr>
      </w:pPr>
      <w:r>
        <w:t xml:space="preserve">Airways form path from lungs to </w:t>
      </w:r>
      <w:r w:rsidR="0074193B">
        <w:t xml:space="preserve">body’s exterior, which includes the </w:t>
      </w:r>
      <w:r w:rsidR="0074193B" w:rsidRPr="0074193B">
        <w:t>trachea, bronchi, and the glottal and supra-glottal organs.</w:t>
      </w:r>
    </w:p>
    <w:p w14:paraId="6608A095" w14:textId="79044739" w:rsidR="001C4163" w:rsidRDefault="00163E8C" w:rsidP="00E51B97">
      <w:pPr>
        <w:pStyle w:val="ListParagraph"/>
        <w:numPr>
          <w:ilvl w:val="0"/>
          <w:numId w:val="25"/>
        </w:numPr>
      </w:pPr>
      <w:r>
        <w:t>Collectively</w:t>
      </w:r>
      <w:r w:rsidR="0074193B">
        <w:t xml:space="preserve"> referred to as the sub</w:t>
      </w:r>
      <w:r>
        <w:t>-glottal respiratory system.</w:t>
      </w:r>
    </w:p>
    <w:p w14:paraId="342D5CA7" w14:textId="77777777" w:rsidR="001C4163" w:rsidRDefault="001C4163">
      <w:pPr>
        <w:spacing w:line="259" w:lineRule="auto"/>
        <w:jc w:val="left"/>
      </w:pPr>
      <w:r>
        <w:br w:type="page"/>
      </w:r>
    </w:p>
    <w:p w14:paraId="76AD7F94" w14:textId="37E30B41" w:rsidR="0074193B" w:rsidRDefault="001C4163" w:rsidP="001C4163">
      <w:pPr>
        <w:pStyle w:val="Title"/>
      </w:pPr>
      <w:r>
        <w:lastRenderedPageBreak/>
        <w:t>Glottal Source Signal</w:t>
      </w:r>
    </w:p>
    <w:p w14:paraId="37E5FE08" w14:textId="18295A2A" w:rsidR="001C4163" w:rsidRDefault="00160B82" w:rsidP="001C4163">
      <w:pPr>
        <w:rPr>
          <w:lang w:val="en-US"/>
        </w:rPr>
      </w:pPr>
      <w:r>
        <w:rPr>
          <w:lang w:val="en-US"/>
        </w:rPr>
        <w:t xml:space="preserve">Glottal source signal/glottal flow is the input to the source-filter model. Can be obtained from a speech signal via source-filter deconvolution. </w:t>
      </w:r>
      <w:r w:rsidR="00B26DF4">
        <w:rPr>
          <w:lang w:val="en-US"/>
        </w:rPr>
        <w:t>Glottal waveform is continuous and differentiable</w:t>
      </w:r>
      <w:r w:rsidR="00104A24">
        <w:rPr>
          <w:lang w:val="en-US"/>
        </w:rPr>
        <w:t xml:space="preserve">, except for at instances of glottal closure (GCI). </w:t>
      </w:r>
      <w:r w:rsidR="00111FE2">
        <w:rPr>
          <w:lang w:val="en-US"/>
        </w:rPr>
        <w:t xml:space="preserve">Below shows </w:t>
      </w:r>
      <w:r w:rsidR="00CB6E38">
        <w:rPr>
          <w:lang w:val="en-US"/>
        </w:rPr>
        <w:t xml:space="preserve">the </w:t>
      </w:r>
      <w:proofErr w:type="spellStart"/>
      <w:r w:rsidR="00CB6E38">
        <w:rPr>
          <w:lang w:val="en-US"/>
        </w:rPr>
        <w:t>Liljencrants-Fant</w:t>
      </w:r>
      <w:proofErr w:type="spellEnd"/>
      <w:r w:rsidR="00CB6E38">
        <w:rPr>
          <w:lang w:val="en-US"/>
        </w:rPr>
        <w:t xml:space="preserve"> parametric model, which can be fit to the glottal flow.</w:t>
      </w:r>
    </w:p>
    <w:p w14:paraId="48BB5832" w14:textId="0D1D98F4" w:rsidR="003B7AAD" w:rsidRDefault="003B7AAD" w:rsidP="003B7AAD">
      <w:pPr>
        <w:jc w:val="center"/>
        <w:rPr>
          <w:lang w:val="en-US"/>
        </w:rPr>
      </w:pPr>
      <w:r w:rsidRPr="003B7AAD">
        <w:rPr>
          <w:noProof/>
          <w:lang w:val="en-US"/>
        </w:rPr>
        <w:drawing>
          <wp:inline distT="0" distB="0" distL="0" distR="0" wp14:anchorId="43818E2D" wp14:editId="3DFF6DEF">
            <wp:extent cx="3333750" cy="276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364" cy="276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5F11" w14:textId="33C786F1" w:rsidR="003B7AAD" w:rsidRDefault="00000000" w:rsidP="003B7AA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=1/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075DF0">
        <w:rPr>
          <w:rFonts w:eastAsiaTheme="minorEastAsia"/>
          <w:lang w:val="en-US"/>
        </w:rPr>
        <w:t xml:space="preserve"> is the fundamental period of glottal cycle,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075DF0">
        <w:rPr>
          <w:rFonts w:eastAsiaTheme="minorEastAsia"/>
          <w:lang w:val="en-US"/>
        </w:rPr>
        <w:t xml:space="preserve"> is fun</w:t>
      </w:r>
      <w:r w:rsidR="00FB5595">
        <w:rPr>
          <w:rFonts w:eastAsiaTheme="minorEastAsia"/>
          <w:lang w:val="en-US"/>
        </w:rPr>
        <w:t>damental freq. of vocal fold vibration.</w:t>
      </w:r>
      <w:r w:rsidR="0003135D">
        <w:rPr>
          <w:rFonts w:eastAsiaTheme="minorEastAsia"/>
          <w:lang w:val="en-US"/>
        </w:rPr>
        <w:t xml:space="preserve"> </w:t>
      </w:r>
      <w:r w:rsidR="008E6AE8">
        <w:rPr>
          <w:rFonts w:eastAsiaTheme="minorEastAsia"/>
          <w:lang w:val="en-US"/>
        </w:rPr>
        <w:t xml:space="preserve">The open-phase is the </w:t>
      </w:r>
      <w:r w:rsidR="00FB7643">
        <w:rPr>
          <w:rFonts w:eastAsiaTheme="minorEastAsia"/>
          <w:lang w:val="en-US"/>
        </w:rPr>
        <w:t xml:space="preserve">duration in which the vocal folds are open, closed phase is when the vocal folds are closed. </w:t>
      </w:r>
      <w:r w:rsidR="00043477">
        <w:rPr>
          <w:rFonts w:eastAsiaTheme="minorEastAsia"/>
          <w:lang w:val="en-US"/>
        </w:rPr>
        <w:t>Temporally divided by instance of maximum glottal flow.</w:t>
      </w:r>
      <w:r w:rsidR="000F1736">
        <w:rPr>
          <w:rFonts w:eastAsiaTheme="minorEastAsia"/>
          <w:lang w:val="en-US"/>
        </w:rPr>
        <w:t xml:space="preserve"> The derivative of the glottal flow is shown below.</w:t>
      </w:r>
    </w:p>
    <w:p w14:paraId="11E2F2C0" w14:textId="0FF8DB22" w:rsidR="00F17AA4" w:rsidRDefault="00F17AA4" w:rsidP="00F17AA4">
      <w:pPr>
        <w:jc w:val="center"/>
        <w:rPr>
          <w:rFonts w:eastAsiaTheme="minorEastAsia"/>
          <w:lang w:val="en-US"/>
        </w:rPr>
      </w:pPr>
      <w:r w:rsidRPr="00F17AA4">
        <w:rPr>
          <w:rFonts w:eastAsiaTheme="minorEastAsia"/>
          <w:noProof/>
          <w:lang w:val="en-US"/>
        </w:rPr>
        <w:drawing>
          <wp:inline distT="0" distB="0" distL="0" distR="0" wp14:anchorId="58FB5A14" wp14:editId="0D12BC3A">
            <wp:extent cx="3105042" cy="263546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765" cy="26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6D88" w14:textId="77777777" w:rsidR="00C2726B" w:rsidRDefault="00C2726B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95B4AD4" w14:textId="166D2634" w:rsidR="00DA514B" w:rsidRDefault="00DA514B" w:rsidP="00FE1A0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The speed quotient (SQ) is </w:t>
      </w:r>
      <w:r w:rsidR="009D7EE2">
        <w:rPr>
          <w:lang w:val="en-US"/>
        </w:rPr>
        <w:t>a measurement of glottal pulse skewness, which quantifies the asymmetry of the glottal pulse</w:t>
      </w:r>
      <w:r w:rsidR="00C2726B">
        <w:rPr>
          <w:lang w:val="en-US"/>
        </w:rPr>
        <w:t>,</w:t>
      </w:r>
    </w:p>
    <w:p w14:paraId="07E7797A" w14:textId="23146213" w:rsidR="00C2726B" w:rsidRPr="009E5B02" w:rsidRDefault="00C2726B" w:rsidP="00FE1A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opening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closing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A7FCBBE" w14:textId="2C6B2653" w:rsidR="009E5B02" w:rsidRDefault="009E5B02" w:rsidP="00FE1A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Due to the mechanics of the vocal folds, abduction is longer than adduction</w:t>
      </w:r>
      <w:r w:rsidR="0073223F">
        <w:rPr>
          <w:rFonts w:eastAsiaTheme="minorEastAsia"/>
          <w:lang w:val="en-US"/>
        </w:rPr>
        <w:t xml:space="preserve">, and so </w:t>
      </w:r>
      <m:oMath>
        <m:r>
          <w:rPr>
            <w:rFonts w:ascii="Cambria Math" w:eastAsiaTheme="minorEastAsia" w:hAnsi="Cambria Math"/>
            <w:lang w:val="en-US"/>
          </w:rPr>
          <m:t>SQ&gt;1</m:t>
        </m:r>
      </m:oMath>
      <w:r w:rsidR="0073223F">
        <w:rPr>
          <w:rFonts w:eastAsiaTheme="minorEastAsia"/>
          <w:lang w:val="en-US"/>
        </w:rPr>
        <w:t>.</w:t>
      </w:r>
      <w:r w:rsidR="002A57C1">
        <w:rPr>
          <w:rFonts w:eastAsiaTheme="minorEastAsia"/>
          <w:lang w:val="en-US"/>
        </w:rPr>
        <w:t xml:space="preserve"> Helpful for detection of voice pathologies (e.g. vocal fry) and </w:t>
      </w:r>
      <w:r w:rsidR="00CC4DF8">
        <w:rPr>
          <w:rFonts w:eastAsiaTheme="minorEastAsia"/>
          <w:lang w:val="en-US"/>
        </w:rPr>
        <w:t>provides a measure for glottal efficiency.</w:t>
      </w:r>
    </w:p>
    <w:p w14:paraId="047955B9" w14:textId="0F85794B" w:rsidR="00CC4DF8" w:rsidRDefault="00CC4DF8" w:rsidP="00FE1A0B">
      <w:pPr>
        <w:spacing w:after="0"/>
        <w:rPr>
          <w:lang w:val="en-US"/>
        </w:rPr>
      </w:pPr>
      <w:r>
        <w:rPr>
          <w:lang w:val="en-US"/>
        </w:rPr>
        <w:t xml:space="preserve">The open quotient (OQ) quantifies the </w:t>
      </w:r>
      <w:r w:rsidR="00947572">
        <w:rPr>
          <w:lang w:val="en-US"/>
        </w:rPr>
        <w:t>width of the glottal pulse in relation to the duration of the glottal cycle,</w:t>
      </w:r>
    </w:p>
    <w:p w14:paraId="038465E6" w14:textId="254B9EB5" w:rsidR="00947572" w:rsidRPr="00947572" w:rsidRDefault="00947572" w:rsidP="00FE1A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open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26ADDF2" w14:textId="2811684A" w:rsidR="00947572" w:rsidRDefault="005D5815" w:rsidP="00483409">
      <w:pPr>
        <w:rPr>
          <w:rFonts w:eastAsiaTheme="minorEastAsia"/>
          <w:lang w:val="en-US"/>
        </w:rPr>
      </w:pPr>
      <w:r>
        <w:rPr>
          <w:lang w:val="en-US"/>
        </w:rPr>
        <w:t xml:space="preserve">The OQ </w:t>
      </w:r>
      <w:r w:rsidR="00F32037">
        <w:rPr>
          <w:lang w:val="en-US"/>
        </w:rPr>
        <w:t>reflects the behaviour of the vocal folds</w:t>
      </w:r>
      <w:r w:rsidR="00266812">
        <w:rPr>
          <w:lang w:val="en-US"/>
        </w:rPr>
        <w:t xml:space="preserve">. </w:t>
      </w:r>
      <w:r w:rsidR="0023009C">
        <w:rPr>
          <w:lang w:val="en-US"/>
        </w:rPr>
        <w:t xml:space="preserve">Closely related to the close quotient (CQ) and the </w:t>
      </w:r>
      <w:r w:rsidR="003A4146">
        <w:rPr>
          <w:lang w:val="en-US"/>
        </w:rPr>
        <w:t>contact quotient (</w:t>
      </w:r>
      <w:proofErr w:type="spellStart"/>
      <w:r w:rsidR="003A4146">
        <w:rPr>
          <w:lang w:val="en-US"/>
        </w:rPr>
        <w:t>Qx</w:t>
      </w:r>
      <w:proofErr w:type="spellEnd"/>
      <w:r w:rsidR="003A4146">
        <w:rPr>
          <w:lang w:val="en-US"/>
        </w:rPr>
        <w:t xml:space="preserve">). </w:t>
      </w:r>
      <m:oMath>
        <m:r>
          <w:rPr>
            <w:rFonts w:ascii="Cambria Math" w:hAnsi="Cambria Math"/>
            <w:lang w:val="en-US"/>
          </w:rPr>
          <m:t>CQ=1-OQ</m:t>
        </m:r>
      </m:oMath>
      <w:r w:rsidR="00530586">
        <w:rPr>
          <w:rFonts w:eastAsiaTheme="minorEastAsia"/>
          <w:lang w:val="en-US"/>
        </w:rPr>
        <w:t>.</w:t>
      </w:r>
    </w:p>
    <w:p w14:paraId="3D2ABE1F" w14:textId="0DF9865B" w:rsidR="00483409" w:rsidRDefault="00483409" w:rsidP="00FE1A0B">
      <w:pPr>
        <w:spacing w:after="0"/>
      </w:pPr>
      <w:r>
        <w:t>The closing quotient (and opening quotient) are similarly defined as</w:t>
      </w:r>
    </w:p>
    <w:p w14:paraId="05BC5F8D" w14:textId="31D30D93" w:rsidR="00483409" w:rsidRPr="00906CB3" w:rsidRDefault="00483409" w:rsidP="00FE1A0B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closing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0985F3A" w14:textId="32547FBD" w:rsidR="002954F8" w:rsidRDefault="00906CB3" w:rsidP="00FE1A0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An alternative to the </w:t>
      </w:r>
      <w:proofErr w:type="spellStart"/>
      <w:r>
        <w:rPr>
          <w:rFonts w:eastAsiaTheme="minorEastAsia"/>
        </w:rPr>
        <w:t>ClQ</w:t>
      </w:r>
      <w:proofErr w:type="spellEnd"/>
      <w:r>
        <w:rPr>
          <w:rFonts w:eastAsiaTheme="minorEastAsia"/>
        </w:rPr>
        <w:t xml:space="preserve"> is the </w:t>
      </w:r>
      <w:r w:rsidR="002954F8">
        <w:rPr>
          <w:rFonts w:eastAsiaTheme="minorEastAsia"/>
        </w:rPr>
        <w:t>normalised amplitude quotient (NAQ),</w:t>
      </w:r>
    </w:p>
    <w:p w14:paraId="386AC4B4" w14:textId="6AB504D5" w:rsidR="002954F8" w:rsidRPr="001F4ADA" w:rsidRDefault="002954F8" w:rsidP="00FE1A0B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NAQ=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48EC30C" w14:textId="2DC5BF29" w:rsidR="001F4ADA" w:rsidRDefault="001F4ADA" w:rsidP="00FE1A0B">
      <w:pPr>
        <w:spacing w:after="0"/>
        <w:rPr>
          <w:rFonts w:eastAsiaTheme="minorEastAsia"/>
        </w:rPr>
      </w:pPr>
      <w:r>
        <w:rPr>
          <w:rFonts w:eastAsiaTheme="minorEastAsia"/>
        </w:rPr>
        <w:t>The NAQ is more reliable and robust as it does not require estimating glottal opening and closing instances.</w:t>
      </w:r>
      <w:r w:rsidR="00734D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734D3E">
        <w:rPr>
          <w:rFonts w:eastAsiaTheme="minorEastAsia"/>
        </w:rPr>
        <w:t xml:space="preserve"> is the peak-to-peak amplitude of the glottal flow,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7A2F01">
        <w:rPr>
          <w:rFonts w:eastAsiaTheme="minorEastAsia"/>
        </w:rPr>
        <w:t xml:space="preserve"> is the minimum negative amplitude of the glottal flow derivative. </w:t>
      </w:r>
    </w:p>
    <w:p w14:paraId="2442A7F6" w14:textId="2C32529F" w:rsidR="00C60BE1" w:rsidRDefault="00C60BE1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19877D4" w14:textId="69A86AB6" w:rsidR="00C60BE1" w:rsidRDefault="00C60BE1" w:rsidP="00C60BE1">
      <w:pPr>
        <w:pStyle w:val="Title"/>
      </w:pPr>
      <w:r>
        <w:lastRenderedPageBreak/>
        <w:t>Shimmer and Jitter</w:t>
      </w:r>
    </w:p>
    <w:p w14:paraId="286EA9F2" w14:textId="297A80B3" w:rsidR="00C60BE1" w:rsidRDefault="00C624C5" w:rsidP="00C60BE1">
      <w:pPr>
        <w:spacing w:after="0"/>
      </w:pPr>
      <w:r>
        <w:t xml:space="preserve">Consider </w:t>
      </w:r>
      <w:r w:rsidR="00C60BE1">
        <w:t xml:space="preserve">a </w:t>
      </w:r>
      <w:r>
        <w:t>sample of voiced speech (vowel) shown below</w:t>
      </w:r>
      <w:r w:rsidR="005505C2">
        <w:t>.</w:t>
      </w:r>
    </w:p>
    <w:p w14:paraId="6F0D008D" w14:textId="7869FF49" w:rsidR="002D63D4" w:rsidRDefault="002D63D4" w:rsidP="002D63D4">
      <w:pPr>
        <w:spacing w:after="0"/>
        <w:jc w:val="center"/>
      </w:pPr>
      <w:r>
        <w:rPr>
          <w:noProof/>
        </w:rPr>
        <w:drawing>
          <wp:inline distT="0" distB="0" distL="0" distR="0" wp14:anchorId="54EC6316" wp14:editId="48C74ADA">
            <wp:extent cx="5762625" cy="3455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3"/>
                    <a:stretch/>
                  </pic:blipFill>
                  <pic:spPr bwMode="auto">
                    <a:xfrm>
                      <a:off x="0" y="0"/>
                      <a:ext cx="5817095" cy="348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6A898" w14:textId="1E572543" w:rsidR="00C624C5" w:rsidRDefault="002D63D4" w:rsidP="00C60BE1">
      <w:pPr>
        <w:spacing w:after="0"/>
      </w:pPr>
      <w:r>
        <w:t xml:space="preserve">The shimmer quantifies cycle-to-cycle perturbations in the </w:t>
      </w:r>
      <w:r w:rsidR="004C0C9C">
        <w:t xml:space="preserve">peak amplitudes. The local/relative shimmer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203AA">
        <w:rPr>
          <w:rFonts w:eastAsiaTheme="minorEastAsia"/>
        </w:rPr>
        <w:t xml:space="preserve"> </w:t>
      </w:r>
      <w:r w:rsidR="00631560">
        <w:t>quantifies the</w:t>
      </w:r>
      <w:r w:rsidR="00E92E84">
        <w:t xml:space="preserve"> </w:t>
      </w:r>
      <w:r w:rsidR="00982D64">
        <w:t xml:space="preserve">average </w:t>
      </w:r>
      <w:r w:rsidR="00E92E84">
        <w:t>absolute</w:t>
      </w:r>
      <w:r w:rsidR="00631560">
        <w:t xml:space="preserve"> difference </w:t>
      </w:r>
      <w:r w:rsidR="0095073E">
        <w:t xml:space="preserve">in amplitude </w:t>
      </w:r>
      <w:r w:rsidR="00631560">
        <w:t>between consecutive cycles</w:t>
      </w:r>
      <w:r w:rsidR="009234AB">
        <w:t xml:space="preserve"> as a percentage,</w:t>
      </w:r>
    </w:p>
    <w:p w14:paraId="4C06B46A" w14:textId="70D24365" w:rsidR="00C60BE1" w:rsidRPr="00E92E84" w:rsidRDefault="001203AA" w:rsidP="00C60BE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×100%</m:t>
          </m:r>
          <m:r>
            <w:rPr>
              <w:rFonts w:ascii="Cambria Math" w:hAnsi="Cambria Math"/>
            </w:rPr>
            <m:t>.</m:t>
          </m:r>
        </m:oMath>
      </m:oMathPara>
    </w:p>
    <w:p w14:paraId="6B52425B" w14:textId="42402C8E" w:rsidR="00E92E84" w:rsidRDefault="00E92E84" w:rsidP="00C60BE1">
      <w:pPr>
        <w:spacing w:after="0"/>
        <w:rPr>
          <w:rFonts w:eastAsiaTheme="minorEastAsia"/>
        </w:rPr>
      </w:pPr>
      <w:r>
        <w:rPr>
          <w:rFonts w:eastAsiaTheme="minorEastAsia"/>
        </w:rPr>
        <w:t>The shimmer can also be quantif</w:t>
      </w:r>
      <w:r w:rsidR="00FC2CCA">
        <w:rPr>
          <w:rFonts w:eastAsiaTheme="minorEastAsia"/>
        </w:rPr>
        <w:t>ied using high order measures, which are called amplitude perturbation quotients</w:t>
      </w:r>
      <w:r w:rsidR="009234AB">
        <w:rPr>
          <w:rFonts w:eastAsiaTheme="minorEastAsia"/>
        </w:rPr>
        <w:t xml:space="preserve"> (APQs). </w:t>
      </w:r>
      <w:r w:rsidR="00982D64">
        <w:rPr>
          <w:rFonts w:eastAsiaTheme="minorEastAsia"/>
        </w:rPr>
        <w:t xml:space="preserve">The APQ3, for example, quantifies the average absolute difference </w:t>
      </w:r>
      <w:r w:rsidR="00CD779D">
        <w:rPr>
          <w:rFonts w:eastAsiaTheme="minorEastAsia"/>
        </w:rPr>
        <w:t xml:space="preserve">in amplitude </w:t>
      </w:r>
      <w:r w:rsidR="00982D64">
        <w:rPr>
          <w:rFonts w:eastAsiaTheme="minorEastAsia"/>
        </w:rPr>
        <w:t xml:space="preserve">between </w:t>
      </w:r>
      <w:r w:rsidR="00394D6F">
        <w:rPr>
          <w:rFonts w:eastAsiaTheme="minorEastAsia"/>
        </w:rPr>
        <w:t>one cycle and the average of its neighbouring cycles</w:t>
      </w:r>
      <w:r w:rsidR="00AE0866">
        <w:rPr>
          <w:rFonts w:eastAsiaTheme="minorEastAsia"/>
        </w:rPr>
        <w:t xml:space="preserve"> on either side</w:t>
      </w:r>
      <w:r w:rsidR="00394D6F">
        <w:rPr>
          <w:rFonts w:eastAsiaTheme="minorEastAsia"/>
        </w:rPr>
        <w:t>,</w:t>
      </w:r>
    </w:p>
    <w:p w14:paraId="3ECA2844" w14:textId="554EEA16" w:rsidR="00394D6F" w:rsidRPr="00AB629A" w:rsidRDefault="003D2CFF" w:rsidP="00C60BE1">
      <w:pPr>
        <w:spacing w:after="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APQ</m:t>
          </m:r>
          <m:r>
            <w:rPr>
              <w:rFonts w:ascii="Cambria Math" w:eastAsiaTheme="minorEastAsia" w:hAnsi="Cambria Math"/>
            </w:rPr>
            <m:t>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×100%</m:t>
          </m:r>
          <m:r>
            <w:rPr>
              <w:rFonts w:ascii="Cambria Math" w:hAnsi="Cambria Math"/>
            </w:rPr>
            <m:t>.</m:t>
          </m:r>
        </m:oMath>
      </m:oMathPara>
    </w:p>
    <w:p w14:paraId="4DF4C90C" w14:textId="097D5BB6" w:rsidR="009A0160" w:rsidRDefault="00AB629A" w:rsidP="00C60BE1">
      <w:pPr>
        <w:spacing w:after="0"/>
        <w:rPr>
          <w:rFonts w:eastAsiaTheme="minorEastAsia"/>
        </w:rPr>
      </w:pPr>
      <w:r>
        <w:rPr>
          <w:rFonts w:eastAsiaTheme="minorEastAsia"/>
        </w:rPr>
        <w:t>Th</w:t>
      </w:r>
      <w:r w:rsidR="009A0160">
        <w:rPr>
          <w:rFonts w:eastAsiaTheme="minorEastAsia"/>
        </w:rPr>
        <w:t xml:space="preserve">is can be generalised to the </w:t>
      </w:r>
      <m:oMath>
        <m:r>
          <w:rPr>
            <w:rFonts w:ascii="Cambria Math" w:eastAsiaTheme="minorEastAsia" w:hAnsi="Cambria Math"/>
          </w:rPr>
          <m:t>M</m:t>
        </m:r>
      </m:oMath>
      <w:r w:rsidR="009A0160">
        <w:rPr>
          <w:rFonts w:eastAsiaTheme="minorEastAsia"/>
        </w:rPr>
        <w:t xml:space="preserve">-th order APQ where </w:t>
      </w:r>
      <m:oMath>
        <m:r>
          <w:rPr>
            <w:rFonts w:ascii="Cambria Math" w:eastAsiaTheme="minorEastAsia" w:hAnsi="Cambria Math"/>
          </w:rPr>
          <m:t>M</m:t>
        </m:r>
      </m:oMath>
      <w:r w:rsidR="009A0160">
        <w:rPr>
          <w:rFonts w:eastAsiaTheme="minorEastAsia"/>
        </w:rPr>
        <w:t xml:space="preserve"> is an odd positive integer,</w:t>
      </w:r>
    </w:p>
    <w:p w14:paraId="232CECFE" w14:textId="4DE27FEF" w:rsidR="00104FA1" w:rsidRPr="00AB629A" w:rsidRDefault="00104FA1" w:rsidP="00104FA1">
      <w:pPr>
        <w:spacing w:after="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APQ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n=i-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06B7A444" w14:textId="679CD251" w:rsidR="009A0160" w:rsidRDefault="00283418" w:rsidP="00C60BE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m=(M-1)/2</m:t>
        </m:r>
      </m:oMath>
      <w:r>
        <w:rPr>
          <w:rFonts w:eastAsiaTheme="minorEastAsia"/>
        </w:rPr>
        <w:t>.</w:t>
      </w:r>
      <w:r w:rsidR="00EA65AC">
        <w:rPr>
          <w:rFonts w:eastAsiaTheme="minorEastAsia"/>
        </w:rPr>
        <w:t xml:space="preserve"> The APQ</w:t>
      </w:r>
      <m:oMath>
        <m:r>
          <w:rPr>
            <w:rFonts w:ascii="Cambria Math" w:eastAsiaTheme="minorEastAsia" w:hAnsi="Cambria Math"/>
          </w:rPr>
          <m:t>M</m:t>
        </m:r>
      </m:oMath>
      <w:r w:rsidR="00EA65AC">
        <w:rPr>
          <w:rFonts w:eastAsiaTheme="minorEastAsia"/>
        </w:rPr>
        <w:t xml:space="preserve"> </w:t>
      </w:r>
      <w:r w:rsidR="00EA65AC">
        <w:rPr>
          <w:rFonts w:eastAsiaTheme="minorEastAsia"/>
        </w:rPr>
        <w:t>quantifies the average absolute difference</w:t>
      </w:r>
      <w:r w:rsidR="002E6582">
        <w:rPr>
          <w:rFonts w:eastAsiaTheme="minorEastAsia"/>
        </w:rPr>
        <w:t xml:space="preserve"> in amplitude</w:t>
      </w:r>
      <w:r w:rsidR="00EA65AC">
        <w:rPr>
          <w:rFonts w:eastAsiaTheme="minorEastAsia"/>
        </w:rPr>
        <w:t xml:space="preserve"> between one cycle and the average of its </w:t>
      </w:r>
      <m:oMath>
        <m:r>
          <w:rPr>
            <w:rFonts w:ascii="Cambria Math" w:eastAsiaTheme="minorEastAsia" w:hAnsi="Cambria Math"/>
          </w:rPr>
          <m:t>m</m:t>
        </m:r>
      </m:oMath>
      <w:r w:rsidR="00EA65AC">
        <w:rPr>
          <w:rFonts w:eastAsiaTheme="minorEastAsia"/>
        </w:rPr>
        <w:t xml:space="preserve"> neighbouring cycles</w:t>
      </w:r>
      <w:r w:rsidR="003F0F42">
        <w:rPr>
          <w:rFonts w:eastAsiaTheme="minorEastAsia"/>
        </w:rPr>
        <w:t xml:space="preserve"> on either side.</w:t>
      </w:r>
    </w:p>
    <w:p w14:paraId="0BB89319" w14:textId="77777777" w:rsidR="007536E4" w:rsidRDefault="007536E4">
      <w:pPr>
        <w:spacing w:line="259" w:lineRule="auto"/>
        <w:jc w:val="left"/>
        <w:rPr>
          <w:rFonts w:eastAsiaTheme="minorEastAsia" w:cstheme="majorBidi"/>
          <w:b/>
          <w:color w:val="000000" w:themeColor="text1"/>
          <w:szCs w:val="32"/>
        </w:rPr>
      </w:pPr>
      <w:r>
        <w:rPr>
          <w:rFonts w:eastAsiaTheme="minorEastAsia"/>
        </w:rPr>
        <w:br w:type="page"/>
      </w:r>
    </w:p>
    <w:p w14:paraId="5D74A505" w14:textId="37AD3AE1" w:rsidR="000D25BD" w:rsidRDefault="000D25BD" w:rsidP="000D25B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Jitter</w:t>
      </w:r>
    </w:p>
    <w:p w14:paraId="02439AAA" w14:textId="04EFF0E2" w:rsidR="007536E4" w:rsidRDefault="007536E4" w:rsidP="007536E4">
      <w:pPr>
        <w:spacing w:after="0"/>
      </w:pPr>
      <w:r>
        <w:t xml:space="preserve">The </w:t>
      </w:r>
      <w:r>
        <w:t>jitter</w:t>
      </w:r>
      <w:r>
        <w:t xml:space="preserve"> quantifies cycle-to-cycle perturbations in the </w:t>
      </w:r>
      <w:r w:rsidR="0095073E">
        <w:t>fundamental frequency</w:t>
      </w:r>
      <w:r>
        <w:t xml:space="preserve">. The local/relative </w:t>
      </w:r>
      <w:r w:rsidR="0095073E">
        <w:t>jitt</w:t>
      </w:r>
      <w:r>
        <w:t xml:space="preserve">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quantifies the average absolute difference </w:t>
      </w:r>
      <w:r w:rsidR="0095073E">
        <w:t xml:space="preserve">in frequency </w:t>
      </w:r>
      <w:r>
        <w:t>between consecutive cycles as a percentage,</w:t>
      </w:r>
    </w:p>
    <w:p w14:paraId="76911A5C" w14:textId="1DA7328D" w:rsidR="007536E4" w:rsidRPr="00E92E84" w:rsidRDefault="007536E4" w:rsidP="007536E4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×100%.</m:t>
          </m:r>
        </m:oMath>
      </m:oMathPara>
    </w:p>
    <w:p w14:paraId="4EFC983A" w14:textId="09BE030B" w:rsidR="001779CB" w:rsidRDefault="00C55F85" w:rsidP="007536E4">
      <w:pPr>
        <w:spacing w:after="0"/>
      </w:pPr>
      <w:r>
        <w:t xml:space="preserve">The higher order measures of jitter are called period </w:t>
      </w:r>
      <w:r w:rsidR="005F1C69">
        <w:t>perturbation quotients (PPQs), except for</w:t>
      </w:r>
      <w:r w:rsidR="00C72154">
        <w:t xml:space="preserve"> the third order measure, which is called the relative average perturbation (RAP). </w:t>
      </w:r>
      <w:r w:rsidR="004A7B4F">
        <w:t>The RAP is given by</w:t>
      </w:r>
    </w:p>
    <w:p w14:paraId="656D6AD8" w14:textId="4F53006A" w:rsidR="004A7B4F" w:rsidRPr="00AB629A" w:rsidRDefault="004A7B4F" w:rsidP="004A7B4F">
      <w:pPr>
        <w:spacing w:after="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RAP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PPQ3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3F315E41" w14:textId="242D1896" w:rsidR="004A7B4F" w:rsidRDefault="00BD08FC" w:rsidP="007536E4">
      <w:pPr>
        <w:spacing w:after="0"/>
        <w:rPr>
          <w:rFonts w:eastAsiaTheme="minorEastAsia"/>
        </w:rPr>
      </w:pPr>
      <w:r>
        <w:t xml:space="preserve">and the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-th order PPQ, for some positive off integer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, is</w:t>
      </w:r>
    </w:p>
    <w:p w14:paraId="4D0E8701" w14:textId="3999A317" w:rsidR="00BD08FC" w:rsidRPr="00BD08FC" w:rsidRDefault="00BA7C29" w:rsidP="007536E4">
      <w:pPr>
        <w:spacing w:after="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PPQ</m:t>
          </m:r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n=i-m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i+m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581726CB" w14:textId="7FA5BA75" w:rsidR="00BD08FC" w:rsidRDefault="00BD08FC" w:rsidP="007536E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m=(M-1)/2</m:t>
        </m:r>
      </m:oMath>
      <w:r>
        <w:rPr>
          <w:rFonts w:eastAsiaTheme="minorEastAsia"/>
        </w:rPr>
        <w:t>.</w:t>
      </w:r>
    </w:p>
    <w:p w14:paraId="627E328A" w14:textId="0DC5D584" w:rsidR="00220E9C" w:rsidRDefault="00220E9C" w:rsidP="00220E9C">
      <w:pPr>
        <w:pStyle w:val="Heading1"/>
        <w:rPr>
          <w:rFonts w:eastAsiaTheme="minorEastAsia"/>
        </w:rPr>
      </w:pPr>
      <w:r>
        <w:rPr>
          <w:rFonts w:eastAsiaTheme="minorEastAsia"/>
        </w:rPr>
        <w:t>MATLAB Implementation</w:t>
      </w:r>
    </w:p>
    <w:p w14:paraId="79B81F22" w14:textId="71160C01" w:rsidR="00220E9C" w:rsidRDefault="004A55AB" w:rsidP="000B4861">
      <w:pPr>
        <w:spacing w:after="0"/>
      </w:pPr>
      <w:r>
        <w:t>T</w:t>
      </w:r>
      <w:r w:rsidR="00537763">
        <w:t>he Trop</w:t>
      </w:r>
      <w:r w:rsidR="002876DF">
        <w:t>arion toolbox (</w:t>
      </w:r>
      <w:hyperlink r:id="rId12" w:history="1">
        <w:r w:rsidR="002876DF" w:rsidRPr="00F20E6E">
          <w:rPr>
            <w:rStyle w:val="Hyperlink"/>
          </w:rPr>
          <w:t>https://github.com/Mak-Sim/Troparion</w:t>
        </w:r>
      </w:hyperlink>
      <w:r w:rsidR="002876DF">
        <w:t xml:space="preserve">) can be used for the calculation of both relative/local shimmer and jitter, as well as higher order APQs and PPQs. </w:t>
      </w:r>
    </w:p>
    <w:p w14:paraId="3530E112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clear;</w:t>
      </w:r>
    </w:p>
    <w:p w14:paraId="2F37390C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addpath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(</w:t>
      </w:r>
      <w:r w:rsidRPr="00C15819">
        <w:rPr>
          <w:rFonts w:ascii="Consolas" w:eastAsia="Times New Roman" w:hAnsi="Consolas" w:cs="Times New Roman"/>
          <w:color w:val="A709F5"/>
          <w:sz w:val="20"/>
          <w:szCs w:val="20"/>
          <w:lang w:val="en-NZ" w:eastAsia="en-NZ"/>
        </w:rPr>
        <w:t>'..\Speech samples'</w:t>
      </w: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);</w:t>
      </w:r>
    </w:p>
    <w:p w14:paraId="74943C1A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addpath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(</w:t>
      </w:r>
      <w:r w:rsidRPr="00C15819">
        <w:rPr>
          <w:rFonts w:ascii="Consolas" w:eastAsia="Times New Roman" w:hAnsi="Consolas" w:cs="Times New Roman"/>
          <w:color w:val="A709F5"/>
          <w:sz w:val="20"/>
          <w:szCs w:val="20"/>
          <w:lang w:val="en-NZ" w:eastAsia="en-NZ"/>
        </w:rPr>
        <w:t>'Troparion-master\IRAPT\</w:t>
      </w:r>
      <w:proofErr w:type="spellStart"/>
      <w:r w:rsidRPr="00C15819">
        <w:rPr>
          <w:rFonts w:ascii="Consolas" w:eastAsia="Times New Roman" w:hAnsi="Consolas" w:cs="Times New Roman"/>
          <w:color w:val="A709F5"/>
          <w:sz w:val="20"/>
          <w:szCs w:val="20"/>
          <w:lang w:val="en-NZ" w:eastAsia="en-NZ"/>
        </w:rPr>
        <w:t>IRAPT_web</w:t>
      </w:r>
      <w:proofErr w:type="spellEnd"/>
      <w:r w:rsidRPr="00C15819">
        <w:rPr>
          <w:rFonts w:ascii="Consolas" w:eastAsia="Times New Roman" w:hAnsi="Consolas" w:cs="Times New Roman"/>
          <w:color w:val="A709F5"/>
          <w:sz w:val="20"/>
          <w:szCs w:val="20"/>
          <w:lang w:val="en-NZ" w:eastAsia="en-NZ"/>
        </w:rPr>
        <w:t>'</w:t>
      </w: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);</w:t>
      </w:r>
    </w:p>
    <w:p w14:paraId="75D29ADE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</w:p>
    <w:p w14:paraId="2B8C265E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filename = </w:t>
      </w:r>
      <w:r w:rsidRPr="00C15819">
        <w:rPr>
          <w:rFonts w:ascii="Consolas" w:eastAsia="Times New Roman" w:hAnsi="Consolas" w:cs="Times New Roman"/>
          <w:color w:val="A709F5"/>
          <w:sz w:val="20"/>
          <w:szCs w:val="20"/>
          <w:lang w:val="en-NZ" w:eastAsia="en-NZ"/>
        </w:rPr>
        <w:t>'vowel.wav'</w:t>
      </w: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;</w:t>
      </w:r>
    </w:p>
    <w:p w14:paraId="3AA8B765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[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s,Fs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]=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audioread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(filename);</w:t>
      </w:r>
    </w:p>
    <w:p w14:paraId="75906FF6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</w:p>
    <w:p w14:paraId="41241B24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[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Fo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, ~, 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time_marks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] = 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irapt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(s, Fs, </w:t>
      </w:r>
      <w:r w:rsidRPr="00C15819">
        <w:rPr>
          <w:rFonts w:ascii="Consolas" w:eastAsia="Times New Roman" w:hAnsi="Consolas" w:cs="Times New Roman"/>
          <w:color w:val="A709F5"/>
          <w:sz w:val="20"/>
          <w:szCs w:val="20"/>
          <w:lang w:val="en-NZ" w:eastAsia="en-NZ"/>
        </w:rPr>
        <w:t>'irapt1'</w:t>
      </w: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,</w:t>
      </w:r>
      <w:r w:rsidRPr="00C15819">
        <w:rPr>
          <w:rFonts w:ascii="Consolas" w:eastAsia="Times New Roman" w:hAnsi="Consolas" w:cs="Times New Roman"/>
          <w:color w:val="A709F5"/>
          <w:sz w:val="20"/>
          <w:szCs w:val="20"/>
          <w:lang w:val="en-NZ" w:eastAsia="en-NZ"/>
        </w:rPr>
        <w:t>'sustain phonation'</w:t>
      </w: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);  </w:t>
      </w:r>
    </w:p>
    <w:p w14:paraId="213207C6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    </w:t>
      </w:r>
    </w:p>
    <w:p w14:paraId="17610CA7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color w:val="008013"/>
          <w:sz w:val="20"/>
          <w:szCs w:val="20"/>
          <w:lang w:val="en-NZ" w:eastAsia="en-NZ"/>
        </w:rPr>
        <w:t>% Segmentation of signal onto fundamental periods</w:t>
      </w:r>
    </w:p>
    <w:p w14:paraId="012F0E5B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[periods] = 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WM_phase_const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(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s,Fo,time_marks,Fs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);</w:t>
      </w:r>
    </w:p>
    <w:p w14:paraId="05466891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[amplitudes]= 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amp_extract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(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periods,s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);</w:t>
      </w:r>
    </w:p>
    <w:p w14:paraId="79263C4B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    </w:t>
      </w:r>
    </w:p>
    <w:p w14:paraId="4AE408BB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color w:val="008013"/>
          <w:sz w:val="20"/>
          <w:szCs w:val="20"/>
          <w:lang w:val="en-NZ" w:eastAsia="en-NZ"/>
        </w:rPr>
        <w:t>% Perturbation parameters calculation</w:t>
      </w:r>
    </w:p>
    <w:p w14:paraId="292FD5B6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J_loc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  = 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shim_local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(periods);</w:t>
      </w:r>
    </w:p>
    <w:p w14:paraId="2B26708C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J_rap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  = shim_apq3(periods);</w:t>
      </w:r>
    </w:p>
    <w:p w14:paraId="7CB884FF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J_ppq5 = shim_apq5(periods);</w:t>
      </w:r>
    </w:p>
    <w:p w14:paraId="4DD3182E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J_apq11 = shim_apq11(periods);</w:t>
      </w:r>
    </w:p>
    <w:p w14:paraId="36538C21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J_apq17 = 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shimmer_apq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(periods,17);</w:t>
      </w:r>
    </w:p>
    <w:p w14:paraId="3E33ABA6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S_loc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   = 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shim_local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(amplitudes);</w:t>
      </w:r>
    </w:p>
    <w:p w14:paraId="5F4CDB17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S_apq3  = shim_apq3(amplitudes);</w:t>
      </w:r>
    </w:p>
    <w:p w14:paraId="227DEEC1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S_apq5  = shim_apq5(amplitudes);</w:t>
      </w:r>
    </w:p>
    <w:p w14:paraId="543D1D15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S_apq11 = shim_apq11(amplitudes);</w:t>
      </w:r>
    </w:p>
    <w:p w14:paraId="47918698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S_apq17  = 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shimmer_apq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(amplitudes,17);</w:t>
      </w:r>
    </w:p>
    <w:p w14:paraId="34E55880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</w:p>
    <w:p w14:paraId="5D80F3D3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color w:val="008013"/>
          <w:sz w:val="20"/>
          <w:szCs w:val="20"/>
          <w:lang w:val="en-NZ" w:eastAsia="en-NZ"/>
        </w:rPr>
        <w:t>% Plot the speech signal</w:t>
      </w:r>
    </w:p>
    <w:p w14:paraId="3716D0E0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n = 0:size(s,1)-1;</w:t>
      </w:r>
    </w:p>
    <w:p w14:paraId="0157F872" w14:textId="77777777" w:rsidR="00C15819" w:rsidRPr="00C15819" w:rsidRDefault="00C15819" w:rsidP="00C1581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plot(</w:t>
      </w:r>
      <w:proofErr w:type="spellStart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n,s</w:t>
      </w:r>
      <w:proofErr w:type="spellEnd"/>
      <w:r w:rsidRPr="00C15819">
        <w:rPr>
          <w:rFonts w:ascii="Consolas" w:eastAsia="Times New Roman" w:hAnsi="Consolas" w:cs="Times New Roman"/>
          <w:sz w:val="20"/>
          <w:szCs w:val="20"/>
          <w:lang w:val="en-NZ" w:eastAsia="en-NZ"/>
        </w:rPr>
        <w:t>)</w:t>
      </w:r>
    </w:p>
    <w:p w14:paraId="72E8FBB9" w14:textId="77777777" w:rsidR="00C15819" w:rsidRDefault="00C15819" w:rsidP="00220E9C"/>
    <w:p w14:paraId="0EBCE249" w14:textId="6CEA1A54" w:rsidR="00083528" w:rsidRDefault="00083528" w:rsidP="00F64F08">
      <w:pPr>
        <w:spacing w:after="0"/>
      </w:pPr>
      <w:r>
        <w:lastRenderedPageBreak/>
        <w:t xml:space="preserve">For the vowel sound shown </w:t>
      </w:r>
      <w:r w:rsidR="00875161">
        <w:t>above, the calculated perturbation parameters are:</w:t>
      </w:r>
    </w:p>
    <w:p w14:paraId="7E3116B3" w14:textId="72A24962" w:rsidR="00F64F08" w:rsidRPr="00F64F08" w:rsidRDefault="00F64F08" w:rsidP="00F64F0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proofErr w:type="spellStart"/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>J_loc</w:t>
      </w:r>
      <w:proofErr w:type="spellEnd"/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 =3.4907</w:t>
      </w:r>
      <w:r w:rsidR="009A163C">
        <w:rPr>
          <w:rFonts w:ascii="Consolas" w:eastAsia="Times New Roman" w:hAnsi="Consolas" w:cs="Times New Roman"/>
          <w:sz w:val="20"/>
          <w:szCs w:val="20"/>
          <w:lang w:val="en-NZ" w:eastAsia="en-NZ"/>
        </w:rPr>
        <w:tab/>
      </w:r>
      <w:r w:rsidR="009A163C">
        <w:rPr>
          <w:rFonts w:ascii="Consolas" w:eastAsia="Times New Roman" w:hAnsi="Consolas" w:cs="Times New Roman"/>
          <w:sz w:val="20"/>
          <w:szCs w:val="20"/>
          <w:lang w:val="en-NZ" w:eastAsia="en-NZ"/>
        </w:rPr>
        <w:tab/>
      </w:r>
      <w:proofErr w:type="spellStart"/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>J_rap</w:t>
      </w:r>
      <w:proofErr w:type="spellEnd"/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 =0.8259</w:t>
      </w:r>
      <w:r w:rsidR="009A163C">
        <w:rPr>
          <w:rFonts w:ascii="Consolas" w:eastAsia="Times New Roman" w:hAnsi="Consolas" w:cs="Times New Roman"/>
          <w:sz w:val="20"/>
          <w:szCs w:val="20"/>
          <w:lang w:val="en-NZ" w:eastAsia="en-NZ"/>
        </w:rPr>
        <w:tab/>
      </w:r>
      <w:r w:rsidR="009A163C">
        <w:rPr>
          <w:rFonts w:ascii="Consolas" w:eastAsia="Times New Roman" w:hAnsi="Consolas" w:cs="Times New Roman"/>
          <w:sz w:val="20"/>
          <w:szCs w:val="20"/>
          <w:lang w:val="en-NZ" w:eastAsia="en-NZ"/>
        </w:rPr>
        <w:tab/>
      </w:r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>J_ppq5 =0.7433</w:t>
      </w:r>
      <w:r w:rsidR="009A163C">
        <w:rPr>
          <w:rFonts w:ascii="Consolas" w:eastAsia="Times New Roman" w:hAnsi="Consolas" w:cs="Times New Roman"/>
          <w:sz w:val="20"/>
          <w:szCs w:val="20"/>
          <w:lang w:val="en-NZ" w:eastAsia="en-NZ"/>
        </w:rPr>
        <w:tab/>
      </w:r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>J_apq11 =2.4222</w:t>
      </w:r>
    </w:p>
    <w:p w14:paraId="7833605E" w14:textId="3A373E1F" w:rsidR="00F64F08" w:rsidRPr="00F64F08" w:rsidRDefault="00F64F08" w:rsidP="00F64F0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>J_apq17 =5.9698</w:t>
      </w:r>
      <w:r w:rsidR="009A163C">
        <w:rPr>
          <w:rFonts w:ascii="Consolas" w:eastAsia="Times New Roman" w:hAnsi="Consolas" w:cs="Times New Roman"/>
          <w:sz w:val="20"/>
          <w:szCs w:val="20"/>
          <w:lang w:val="en-NZ" w:eastAsia="en-NZ"/>
        </w:rPr>
        <w:tab/>
      </w:r>
      <w:proofErr w:type="spellStart"/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>S_loc</w:t>
      </w:r>
      <w:proofErr w:type="spellEnd"/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 =6.0298</w:t>
      </w:r>
      <w:r w:rsidR="009A163C">
        <w:rPr>
          <w:rFonts w:ascii="Consolas" w:eastAsia="Times New Roman" w:hAnsi="Consolas" w:cs="Times New Roman"/>
          <w:sz w:val="20"/>
          <w:szCs w:val="20"/>
          <w:lang w:val="en-NZ" w:eastAsia="en-NZ"/>
        </w:rPr>
        <w:tab/>
      </w:r>
      <w:r w:rsidR="009A163C">
        <w:rPr>
          <w:rFonts w:ascii="Consolas" w:eastAsia="Times New Roman" w:hAnsi="Consolas" w:cs="Times New Roman"/>
          <w:sz w:val="20"/>
          <w:szCs w:val="20"/>
          <w:lang w:val="en-NZ" w:eastAsia="en-NZ"/>
        </w:rPr>
        <w:tab/>
      </w:r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>S_apq3 =2.6811</w:t>
      </w:r>
      <w:r w:rsidR="009A163C">
        <w:rPr>
          <w:rFonts w:ascii="Consolas" w:eastAsia="Times New Roman" w:hAnsi="Consolas" w:cs="Times New Roman"/>
          <w:sz w:val="20"/>
          <w:szCs w:val="20"/>
          <w:lang w:val="en-NZ" w:eastAsia="en-NZ"/>
        </w:rPr>
        <w:tab/>
      </w:r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>S_apq5 =4.5740</w:t>
      </w:r>
    </w:p>
    <w:p w14:paraId="7A76DD87" w14:textId="6B598BB4" w:rsidR="00875161" w:rsidRPr="00F64F08" w:rsidRDefault="00F64F08" w:rsidP="00F64F0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>S_apq11 =8.0217</w:t>
      </w:r>
      <w:r w:rsidR="009A163C">
        <w:rPr>
          <w:rFonts w:ascii="Consolas" w:eastAsia="Times New Roman" w:hAnsi="Consolas" w:cs="Times New Roman"/>
          <w:sz w:val="20"/>
          <w:szCs w:val="20"/>
          <w:lang w:val="en-NZ" w:eastAsia="en-NZ"/>
        </w:rPr>
        <w:tab/>
      </w:r>
      <w:r w:rsidRPr="00F64F08">
        <w:rPr>
          <w:rFonts w:ascii="Consolas" w:eastAsia="Times New Roman" w:hAnsi="Consolas" w:cs="Times New Roman"/>
          <w:sz w:val="20"/>
          <w:szCs w:val="20"/>
          <w:lang w:val="en-NZ" w:eastAsia="en-NZ"/>
        </w:rPr>
        <w:t>S_apq17 =5.7511</w:t>
      </w:r>
    </w:p>
    <w:sectPr w:rsidR="00875161" w:rsidRPr="00F64F08" w:rsidSect="00E912D6"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9B8A7" w14:textId="77777777" w:rsidR="00567DF9" w:rsidRDefault="00567DF9" w:rsidP="00CB58C3">
      <w:pPr>
        <w:spacing w:after="0" w:line="240" w:lineRule="auto"/>
      </w:pPr>
      <w:r>
        <w:separator/>
      </w:r>
    </w:p>
  </w:endnote>
  <w:endnote w:type="continuationSeparator" w:id="0">
    <w:p w14:paraId="2E51D022" w14:textId="77777777" w:rsidR="00567DF9" w:rsidRDefault="00567DF9" w:rsidP="00CB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6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4F" w14:textId="77777777" w:rsidR="000A7889" w:rsidRDefault="000A78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C7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43EBC50" w14:textId="77777777" w:rsidR="000A7889" w:rsidRDefault="000A7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25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51" w14:textId="77777777" w:rsidR="000A7889" w:rsidRDefault="00000000">
        <w:pPr>
          <w:pStyle w:val="Footer"/>
          <w:jc w:val="center"/>
        </w:pPr>
      </w:p>
    </w:sdtContent>
  </w:sdt>
  <w:p w14:paraId="243EBC52" w14:textId="77777777" w:rsidR="000A7889" w:rsidRDefault="000A7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4A0AF" w14:textId="77777777" w:rsidR="00567DF9" w:rsidRDefault="00567DF9" w:rsidP="00CB58C3">
      <w:pPr>
        <w:spacing w:after="0" w:line="240" w:lineRule="auto"/>
      </w:pPr>
      <w:r>
        <w:separator/>
      </w:r>
    </w:p>
  </w:footnote>
  <w:footnote w:type="continuationSeparator" w:id="0">
    <w:p w14:paraId="250D14AD" w14:textId="77777777" w:rsidR="00567DF9" w:rsidRDefault="00567DF9" w:rsidP="00CB5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F1"/>
    <w:multiLevelType w:val="hybridMultilevel"/>
    <w:tmpl w:val="FBA6C5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7376"/>
    <w:multiLevelType w:val="hybridMultilevel"/>
    <w:tmpl w:val="EB8C07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B75C9"/>
    <w:multiLevelType w:val="hybridMultilevel"/>
    <w:tmpl w:val="9C0AAD7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B72B9"/>
    <w:multiLevelType w:val="hybridMultilevel"/>
    <w:tmpl w:val="11CC0AC0"/>
    <w:lvl w:ilvl="0" w:tplc="CB5AF4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829CD"/>
    <w:multiLevelType w:val="hybridMultilevel"/>
    <w:tmpl w:val="82EAB7FC"/>
    <w:lvl w:ilvl="0" w:tplc="CEFE6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05211"/>
    <w:multiLevelType w:val="hybridMultilevel"/>
    <w:tmpl w:val="168AF4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9326DF"/>
    <w:multiLevelType w:val="hybridMultilevel"/>
    <w:tmpl w:val="AF968C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E0517"/>
    <w:multiLevelType w:val="hybridMultilevel"/>
    <w:tmpl w:val="DA22F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24A32"/>
    <w:multiLevelType w:val="hybridMultilevel"/>
    <w:tmpl w:val="4E3A8CC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D95A7E"/>
    <w:multiLevelType w:val="hybridMultilevel"/>
    <w:tmpl w:val="B2285C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5123A"/>
    <w:multiLevelType w:val="hybridMultilevel"/>
    <w:tmpl w:val="A27026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F01149"/>
    <w:multiLevelType w:val="hybridMultilevel"/>
    <w:tmpl w:val="11CE6E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C050E"/>
    <w:multiLevelType w:val="hybridMultilevel"/>
    <w:tmpl w:val="29A88F9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0A25C7"/>
    <w:multiLevelType w:val="hybridMultilevel"/>
    <w:tmpl w:val="0D70D86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F96B18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AD6077"/>
    <w:multiLevelType w:val="hybridMultilevel"/>
    <w:tmpl w:val="3EE2E8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CA1236"/>
    <w:multiLevelType w:val="hybridMultilevel"/>
    <w:tmpl w:val="E45897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4F164C"/>
    <w:multiLevelType w:val="hybridMultilevel"/>
    <w:tmpl w:val="2594F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F017E"/>
    <w:multiLevelType w:val="multilevel"/>
    <w:tmpl w:val="F318A5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CE406CD"/>
    <w:multiLevelType w:val="hybridMultilevel"/>
    <w:tmpl w:val="454005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63AC3"/>
    <w:multiLevelType w:val="hybridMultilevel"/>
    <w:tmpl w:val="36302B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8F5AF7"/>
    <w:multiLevelType w:val="multilevel"/>
    <w:tmpl w:val="18861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55171F8"/>
    <w:multiLevelType w:val="hybridMultilevel"/>
    <w:tmpl w:val="DA20C188"/>
    <w:lvl w:ilvl="0" w:tplc="65B401E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9295982"/>
    <w:multiLevelType w:val="hybridMultilevel"/>
    <w:tmpl w:val="9EFCB3E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246C7C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3334697">
    <w:abstractNumId w:val="4"/>
  </w:num>
  <w:num w:numId="2" w16cid:durableId="1791584631">
    <w:abstractNumId w:val="18"/>
  </w:num>
  <w:num w:numId="3" w16cid:durableId="203256170">
    <w:abstractNumId w:val="21"/>
  </w:num>
  <w:num w:numId="4" w16cid:durableId="838884889">
    <w:abstractNumId w:val="3"/>
  </w:num>
  <w:num w:numId="5" w16cid:durableId="996156108">
    <w:abstractNumId w:val="22"/>
  </w:num>
  <w:num w:numId="6" w16cid:durableId="1761172748">
    <w:abstractNumId w:val="12"/>
  </w:num>
  <w:num w:numId="7" w16cid:durableId="274605978">
    <w:abstractNumId w:val="13"/>
  </w:num>
  <w:num w:numId="8" w16cid:durableId="1830095586">
    <w:abstractNumId w:val="20"/>
  </w:num>
  <w:num w:numId="9" w16cid:durableId="1910458033">
    <w:abstractNumId w:val="6"/>
  </w:num>
  <w:num w:numId="10" w16cid:durableId="1659338120">
    <w:abstractNumId w:val="23"/>
  </w:num>
  <w:num w:numId="11" w16cid:durableId="1362589501">
    <w:abstractNumId w:val="16"/>
  </w:num>
  <w:num w:numId="12" w16cid:durableId="1278832127">
    <w:abstractNumId w:val="2"/>
  </w:num>
  <w:num w:numId="13" w16cid:durableId="1626539500">
    <w:abstractNumId w:val="10"/>
  </w:num>
  <w:num w:numId="14" w16cid:durableId="314073653">
    <w:abstractNumId w:val="15"/>
  </w:num>
  <w:num w:numId="15" w16cid:durableId="1852794857">
    <w:abstractNumId w:val="1"/>
  </w:num>
  <w:num w:numId="16" w16cid:durableId="1287546697">
    <w:abstractNumId w:val="14"/>
  </w:num>
  <w:num w:numId="17" w16cid:durableId="46926639">
    <w:abstractNumId w:val="24"/>
  </w:num>
  <w:num w:numId="18" w16cid:durableId="1412586327">
    <w:abstractNumId w:val="9"/>
  </w:num>
  <w:num w:numId="19" w16cid:durableId="635600226">
    <w:abstractNumId w:val="0"/>
  </w:num>
  <w:num w:numId="20" w16cid:durableId="1012494749">
    <w:abstractNumId w:val="11"/>
  </w:num>
  <w:num w:numId="21" w16cid:durableId="388575744">
    <w:abstractNumId w:val="19"/>
  </w:num>
  <w:num w:numId="22" w16cid:durableId="480970201">
    <w:abstractNumId w:val="17"/>
  </w:num>
  <w:num w:numId="23" w16cid:durableId="1065883097">
    <w:abstractNumId w:val="7"/>
  </w:num>
  <w:num w:numId="24" w16cid:durableId="1395548507">
    <w:abstractNumId w:val="8"/>
  </w:num>
  <w:num w:numId="25" w16cid:durableId="122696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CE"/>
    <w:rsid w:val="00007C52"/>
    <w:rsid w:val="00013C16"/>
    <w:rsid w:val="00021184"/>
    <w:rsid w:val="000309EE"/>
    <w:rsid w:val="0003135D"/>
    <w:rsid w:val="00031FA2"/>
    <w:rsid w:val="00034CDA"/>
    <w:rsid w:val="00035CA1"/>
    <w:rsid w:val="0004003D"/>
    <w:rsid w:val="00041625"/>
    <w:rsid w:val="00043477"/>
    <w:rsid w:val="00055E80"/>
    <w:rsid w:val="0006268B"/>
    <w:rsid w:val="00065EB5"/>
    <w:rsid w:val="00071BDC"/>
    <w:rsid w:val="00075DF0"/>
    <w:rsid w:val="000807F0"/>
    <w:rsid w:val="00083528"/>
    <w:rsid w:val="00093161"/>
    <w:rsid w:val="000A1A5D"/>
    <w:rsid w:val="000A7889"/>
    <w:rsid w:val="000B3EC5"/>
    <w:rsid w:val="000B4861"/>
    <w:rsid w:val="000B68C1"/>
    <w:rsid w:val="000C0896"/>
    <w:rsid w:val="000D0A45"/>
    <w:rsid w:val="000D25BD"/>
    <w:rsid w:val="000E4947"/>
    <w:rsid w:val="000F1736"/>
    <w:rsid w:val="00102D44"/>
    <w:rsid w:val="00104A24"/>
    <w:rsid w:val="00104FA1"/>
    <w:rsid w:val="00111FE2"/>
    <w:rsid w:val="00112326"/>
    <w:rsid w:val="001203AA"/>
    <w:rsid w:val="00125980"/>
    <w:rsid w:val="0012757E"/>
    <w:rsid w:val="001310CE"/>
    <w:rsid w:val="00132850"/>
    <w:rsid w:val="00136A5F"/>
    <w:rsid w:val="0015520D"/>
    <w:rsid w:val="00160B82"/>
    <w:rsid w:val="0016209B"/>
    <w:rsid w:val="00162FE3"/>
    <w:rsid w:val="00163E8C"/>
    <w:rsid w:val="00172C84"/>
    <w:rsid w:val="0017521B"/>
    <w:rsid w:val="001779CB"/>
    <w:rsid w:val="001842AA"/>
    <w:rsid w:val="0019553C"/>
    <w:rsid w:val="0019647F"/>
    <w:rsid w:val="001A2776"/>
    <w:rsid w:val="001A7AB6"/>
    <w:rsid w:val="001B737E"/>
    <w:rsid w:val="001C4163"/>
    <w:rsid w:val="001D2458"/>
    <w:rsid w:val="001E3540"/>
    <w:rsid w:val="001E6EF5"/>
    <w:rsid w:val="001F3F78"/>
    <w:rsid w:val="001F4ADA"/>
    <w:rsid w:val="001F7692"/>
    <w:rsid w:val="00220E9C"/>
    <w:rsid w:val="002267C4"/>
    <w:rsid w:val="0022751B"/>
    <w:rsid w:val="00227A9F"/>
    <w:rsid w:val="0023009C"/>
    <w:rsid w:val="00232993"/>
    <w:rsid w:val="00234013"/>
    <w:rsid w:val="002342F7"/>
    <w:rsid w:val="00237DF3"/>
    <w:rsid w:val="002414FC"/>
    <w:rsid w:val="00243B97"/>
    <w:rsid w:val="00243C29"/>
    <w:rsid w:val="00253732"/>
    <w:rsid w:val="002539D3"/>
    <w:rsid w:val="00257BF0"/>
    <w:rsid w:val="0026077C"/>
    <w:rsid w:val="00266812"/>
    <w:rsid w:val="00283418"/>
    <w:rsid w:val="002876DF"/>
    <w:rsid w:val="00287D5D"/>
    <w:rsid w:val="00290DE0"/>
    <w:rsid w:val="00290FA9"/>
    <w:rsid w:val="002912D8"/>
    <w:rsid w:val="002954F8"/>
    <w:rsid w:val="002A3195"/>
    <w:rsid w:val="002A4088"/>
    <w:rsid w:val="002A57C1"/>
    <w:rsid w:val="002D191C"/>
    <w:rsid w:val="002D2ED1"/>
    <w:rsid w:val="002D63D4"/>
    <w:rsid w:val="002E4096"/>
    <w:rsid w:val="002E6582"/>
    <w:rsid w:val="002E73DD"/>
    <w:rsid w:val="002F3A23"/>
    <w:rsid w:val="002F6167"/>
    <w:rsid w:val="002F6520"/>
    <w:rsid w:val="00305A79"/>
    <w:rsid w:val="00313151"/>
    <w:rsid w:val="00313CDD"/>
    <w:rsid w:val="003148B1"/>
    <w:rsid w:val="0032137D"/>
    <w:rsid w:val="00322DA9"/>
    <w:rsid w:val="00344B29"/>
    <w:rsid w:val="003549B3"/>
    <w:rsid w:val="003560EC"/>
    <w:rsid w:val="003602B1"/>
    <w:rsid w:val="00362A4C"/>
    <w:rsid w:val="003758EB"/>
    <w:rsid w:val="00380658"/>
    <w:rsid w:val="00394D6F"/>
    <w:rsid w:val="003971D6"/>
    <w:rsid w:val="003A3368"/>
    <w:rsid w:val="003A38FE"/>
    <w:rsid w:val="003A4146"/>
    <w:rsid w:val="003A46EF"/>
    <w:rsid w:val="003A490A"/>
    <w:rsid w:val="003B0E19"/>
    <w:rsid w:val="003B112B"/>
    <w:rsid w:val="003B23BD"/>
    <w:rsid w:val="003B7AAD"/>
    <w:rsid w:val="003C4BE7"/>
    <w:rsid w:val="003C5264"/>
    <w:rsid w:val="003D15E5"/>
    <w:rsid w:val="003D2CFF"/>
    <w:rsid w:val="003D39DA"/>
    <w:rsid w:val="003D3D91"/>
    <w:rsid w:val="003D756F"/>
    <w:rsid w:val="003D7A4E"/>
    <w:rsid w:val="003E07DC"/>
    <w:rsid w:val="003E341D"/>
    <w:rsid w:val="003F0F42"/>
    <w:rsid w:val="00402A48"/>
    <w:rsid w:val="004056A7"/>
    <w:rsid w:val="00414D12"/>
    <w:rsid w:val="004234B4"/>
    <w:rsid w:val="0042627F"/>
    <w:rsid w:val="0043486B"/>
    <w:rsid w:val="00435854"/>
    <w:rsid w:val="00436115"/>
    <w:rsid w:val="004436EF"/>
    <w:rsid w:val="0044560F"/>
    <w:rsid w:val="00454F35"/>
    <w:rsid w:val="00472797"/>
    <w:rsid w:val="004743A3"/>
    <w:rsid w:val="00477300"/>
    <w:rsid w:val="004808B1"/>
    <w:rsid w:val="00483409"/>
    <w:rsid w:val="00487E31"/>
    <w:rsid w:val="00491C73"/>
    <w:rsid w:val="004920BA"/>
    <w:rsid w:val="0049294F"/>
    <w:rsid w:val="004953A2"/>
    <w:rsid w:val="004A55AB"/>
    <w:rsid w:val="004A7B4F"/>
    <w:rsid w:val="004C0C9C"/>
    <w:rsid w:val="004D5FAA"/>
    <w:rsid w:val="004E34FC"/>
    <w:rsid w:val="004E577B"/>
    <w:rsid w:val="004F2285"/>
    <w:rsid w:val="00500118"/>
    <w:rsid w:val="0051336F"/>
    <w:rsid w:val="00520A91"/>
    <w:rsid w:val="00521075"/>
    <w:rsid w:val="005256F0"/>
    <w:rsid w:val="00530586"/>
    <w:rsid w:val="00536708"/>
    <w:rsid w:val="00537763"/>
    <w:rsid w:val="00545694"/>
    <w:rsid w:val="00546268"/>
    <w:rsid w:val="005505C2"/>
    <w:rsid w:val="0055075F"/>
    <w:rsid w:val="00553BA3"/>
    <w:rsid w:val="00557E6E"/>
    <w:rsid w:val="005640F4"/>
    <w:rsid w:val="00566E32"/>
    <w:rsid w:val="00567DF9"/>
    <w:rsid w:val="0057096D"/>
    <w:rsid w:val="00570C44"/>
    <w:rsid w:val="005759BE"/>
    <w:rsid w:val="00576D29"/>
    <w:rsid w:val="00583D24"/>
    <w:rsid w:val="005859AC"/>
    <w:rsid w:val="00594B39"/>
    <w:rsid w:val="00596EE0"/>
    <w:rsid w:val="005A209C"/>
    <w:rsid w:val="005A765B"/>
    <w:rsid w:val="005B158C"/>
    <w:rsid w:val="005B4CFC"/>
    <w:rsid w:val="005C4B4D"/>
    <w:rsid w:val="005C582E"/>
    <w:rsid w:val="005C7A5A"/>
    <w:rsid w:val="005D1FF0"/>
    <w:rsid w:val="005D5815"/>
    <w:rsid w:val="005F1C69"/>
    <w:rsid w:val="005F1EF0"/>
    <w:rsid w:val="005F60EF"/>
    <w:rsid w:val="006164E0"/>
    <w:rsid w:val="006224FF"/>
    <w:rsid w:val="00622F35"/>
    <w:rsid w:val="00626478"/>
    <w:rsid w:val="00630C23"/>
    <w:rsid w:val="00631560"/>
    <w:rsid w:val="00646139"/>
    <w:rsid w:val="00650B87"/>
    <w:rsid w:val="00656B82"/>
    <w:rsid w:val="00664E0B"/>
    <w:rsid w:val="00666085"/>
    <w:rsid w:val="0067326A"/>
    <w:rsid w:val="006739B7"/>
    <w:rsid w:val="006742B9"/>
    <w:rsid w:val="0067676A"/>
    <w:rsid w:val="0068317F"/>
    <w:rsid w:val="00690EE7"/>
    <w:rsid w:val="006A0A67"/>
    <w:rsid w:val="006A41DA"/>
    <w:rsid w:val="006C6F79"/>
    <w:rsid w:val="006D0D71"/>
    <w:rsid w:val="006D52F5"/>
    <w:rsid w:val="006D76A9"/>
    <w:rsid w:val="006E722C"/>
    <w:rsid w:val="00717713"/>
    <w:rsid w:val="00720131"/>
    <w:rsid w:val="00721F61"/>
    <w:rsid w:val="0073223F"/>
    <w:rsid w:val="007327EF"/>
    <w:rsid w:val="00733E62"/>
    <w:rsid w:val="00734D3E"/>
    <w:rsid w:val="00741707"/>
    <w:rsid w:val="0074193B"/>
    <w:rsid w:val="00746EC2"/>
    <w:rsid w:val="007536E4"/>
    <w:rsid w:val="00754CDE"/>
    <w:rsid w:val="0075783E"/>
    <w:rsid w:val="00766F08"/>
    <w:rsid w:val="007724FC"/>
    <w:rsid w:val="0077350E"/>
    <w:rsid w:val="00774B79"/>
    <w:rsid w:val="00777DA4"/>
    <w:rsid w:val="007927CA"/>
    <w:rsid w:val="00794625"/>
    <w:rsid w:val="00797C7E"/>
    <w:rsid w:val="007A2F01"/>
    <w:rsid w:val="007A5301"/>
    <w:rsid w:val="007B130C"/>
    <w:rsid w:val="007D0F0C"/>
    <w:rsid w:val="007D2D81"/>
    <w:rsid w:val="007E636E"/>
    <w:rsid w:val="007F3094"/>
    <w:rsid w:val="007F729F"/>
    <w:rsid w:val="00806D6F"/>
    <w:rsid w:val="00830E7E"/>
    <w:rsid w:val="00843AB3"/>
    <w:rsid w:val="008541DE"/>
    <w:rsid w:val="00856969"/>
    <w:rsid w:val="00875161"/>
    <w:rsid w:val="00877AEA"/>
    <w:rsid w:val="00886A7C"/>
    <w:rsid w:val="00890C8B"/>
    <w:rsid w:val="0089218E"/>
    <w:rsid w:val="008B103C"/>
    <w:rsid w:val="008C020A"/>
    <w:rsid w:val="008C6089"/>
    <w:rsid w:val="008D3758"/>
    <w:rsid w:val="008E5FD1"/>
    <w:rsid w:val="008E6AE8"/>
    <w:rsid w:val="008E73CF"/>
    <w:rsid w:val="008E73E0"/>
    <w:rsid w:val="008F4570"/>
    <w:rsid w:val="0090012E"/>
    <w:rsid w:val="00905897"/>
    <w:rsid w:val="00906893"/>
    <w:rsid w:val="00906CB3"/>
    <w:rsid w:val="00914F93"/>
    <w:rsid w:val="00916AE7"/>
    <w:rsid w:val="00921C78"/>
    <w:rsid w:val="009224FC"/>
    <w:rsid w:val="009230B2"/>
    <w:rsid w:val="009234AB"/>
    <w:rsid w:val="00941501"/>
    <w:rsid w:val="00947572"/>
    <w:rsid w:val="0095073E"/>
    <w:rsid w:val="0095398B"/>
    <w:rsid w:val="00957291"/>
    <w:rsid w:val="00973FE2"/>
    <w:rsid w:val="00977D63"/>
    <w:rsid w:val="00982D64"/>
    <w:rsid w:val="0099205E"/>
    <w:rsid w:val="009A0160"/>
    <w:rsid w:val="009A163C"/>
    <w:rsid w:val="009A523B"/>
    <w:rsid w:val="009A5B22"/>
    <w:rsid w:val="009B0231"/>
    <w:rsid w:val="009B0459"/>
    <w:rsid w:val="009C5A27"/>
    <w:rsid w:val="009C6CF8"/>
    <w:rsid w:val="009D0684"/>
    <w:rsid w:val="009D47FE"/>
    <w:rsid w:val="009D5E20"/>
    <w:rsid w:val="009D7EE2"/>
    <w:rsid w:val="009E5B02"/>
    <w:rsid w:val="009F63A8"/>
    <w:rsid w:val="00A043CD"/>
    <w:rsid w:val="00A0507F"/>
    <w:rsid w:val="00A11987"/>
    <w:rsid w:val="00A15D4D"/>
    <w:rsid w:val="00A20742"/>
    <w:rsid w:val="00A249EB"/>
    <w:rsid w:val="00A36F2A"/>
    <w:rsid w:val="00A520B8"/>
    <w:rsid w:val="00A66CB3"/>
    <w:rsid w:val="00A67AF7"/>
    <w:rsid w:val="00A73584"/>
    <w:rsid w:val="00A7793A"/>
    <w:rsid w:val="00A80150"/>
    <w:rsid w:val="00AB06D7"/>
    <w:rsid w:val="00AB0859"/>
    <w:rsid w:val="00AB629A"/>
    <w:rsid w:val="00AB6A65"/>
    <w:rsid w:val="00AB72CB"/>
    <w:rsid w:val="00AC6AC2"/>
    <w:rsid w:val="00AD020D"/>
    <w:rsid w:val="00AD1534"/>
    <w:rsid w:val="00AD2A02"/>
    <w:rsid w:val="00AD3FAD"/>
    <w:rsid w:val="00AD441D"/>
    <w:rsid w:val="00AE0866"/>
    <w:rsid w:val="00AE2844"/>
    <w:rsid w:val="00AE450E"/>
    <w:rsid w:val="00AE51D6"/>
    <w:rsid w:val="00AE7FD1"/>
    <w:rsid w:val="00AF2EE6"/>
    <w:rsid w:val="00B05EC2"/>
    <w:rsid w:val="00B134AD"/>
    <w:rsid w:val="00B214E3"/>
    <w:rsid w:val="00B21EB6"/>
    <w:rsid w:val="00B26DF4"/>
    <w:rsid w:val="00B352D7"/>
    <w:rsid w:val="00B46CC4"/>
    <w:rsid w:val="00B51D51"/>
    <w:rsid w:val="00B532B1"/>
    <w:rsid w:val="00B544CB"/>
    <w:rsid w:val="00B6066D"/>
    <w:rsid w:val="00B61A6B"/>
    <w:rsid w:val="00B623DC"/>
    <w:rsid w:val="00B62DB8"/>
    <w:rsid w:val="00B638C7"/>
    <w:rsid w:val="00B63FA6"/>
    <w:rsid w:val="00B70770"/>
    <w:rsid w:val="00B724F4"/>
    <w:rsid w:val="00B856A1"/>
    <w:rsid w:val="00B904E4"/>
    <w:rsid w:val="00B92113"/>
    <w:rsid w:val="00B93E89"/>
    <w:rsid w:val="00B9598D"/>
    <w:rsid w:val="00BA7C29"/>
    <w:rsid w:val="00BB4713"/>
    <w:rsid w:val="00BC1021"/>
    <w:rsid w:val="00BD08FC"/>
    <w:rsid w:val="00BD42E8"/>
    <w:rsid w:val="00BF19ED"/>
    <w:rsid w:val="00BF2CEB"/>
    <w:rsid w:val="00BF67A9"/>
    <w:rsid w:val="00C042C1"/>
    <w:rsid w:val="00C14BF3"/>
    <w:rsid w:val="00C15819"/>
    <w:rsid w:val="00C17A96"/>
    <w:rsid w:val="00C2726B"/>
    <w:rsid w:val="00C310E5"/>
    <w:rsid w:val="00C32032"/>
    <w:rsid w:val="00C345B8"/>
    <w:rsid w:val="00C3609E"/>
    <w:rsid w:val="00C4156B"/>
    <w:rsid w:val="00C4547E"/>
    <w:rsid w:val="00C50145"/>
    <w:rsid w:val="00C50B3D"/>
    <w:rsid w:val="00C53681"/>
    <w:rsid w:val="00C55F85"/>
    <w:rsid w:val="00C60BE1"/>
    <w:rsid w:val="00C624C5"/>
    <w:rsid w:val="00C66AC2"/>
    <w:rsid w:val="00C72154"/>
    <w:rsid w:val="00C74B5E"/>
    <w:rsid w:val="00C75F6C"/>
    <w:rsid w:val="00C833E6"/>
    <w:rsid w:val="00C90CC5"/>
    <w:rsid w:val="00C94EAC"/>
    <w:rsid w:val="00C95CB7"/>
    <w:rsid w:val="00CA096C"/>
    <w:rsid w:val="00CA530D"/>
    <w:rsid w:val="00CB58C3"/>
    <w:rsid w:val="00CB6E38"/>
    <w:rsid w:val="00CC4DF8"/>
    <w:rsid w:val="00CC610A"/>
    <w:rsid w:val="00CC6BEE"/>
    <w:rsid w:val="00CD284C"/>
    <w:rsid w:val="00CD4FFA"/>
    <w:rsid w:val="00CD6568"/>
    <w:rsid w:val="00CD779D"/>
    <w:rsid w:val="00CE2661"/>
    <w:rsid w:val="00CF5875"/>
    <w:rsid w:val="00CF6635"/>
    <w:rsid w:val="00D02231"/>
    <w:rsid w:val="00D15783"/>
    <w:rsid w:val="00D1742A"/>
    <w:rsid w:val="00D40A21"/>
    <w:rsid w:val="00D50853"/>
    <w:rsid w:val="00D625F0"/>
    <w:rsid w:val="00D64CC0"/>
    <w:rsid w:val="00D7548B"/>
    <w:rsid w:val="00D77B9D"/>
    <w:rsid w:val="00D85637"/>
    <w:rsid w:val="00D90584"/>
    <w:rsid w:val="00DA034D"/>
    <w:rsid w:val="00DA2653"/>
    <w:rsid w:val="00DA3D3B"/>
    <w:rsid w:val="00DA4E7A"/>
    <w:rsid w:val="00DA514B"/>
    <w:rsid w:val="00DB1D1F"/>
    <w:rsid w:val="00DB3041"/>
    <w:rsid w:val="00DF14C7"/>
    <w:rsid w:val="00E0041A"/>
    <w:rsid w:val="00E023E6"/>
    <w:rsid w:val="00E12549"/>
    <w:rsid w:val="00E15F61"/>
    <w:rsid w:val="00E1733B"/>
    <w:rsid w:val="00E35F6A"/>
    <w:rsid w:val="00E41C22"/>
    <w:rsid w:val="00E4319C"/>
    <w:rsid w:val="00E4347F"/>
    <w:rsid w:val="00E44794"/>
    <w:rsid w:val="00E47F20"/>
    <w:rsid w:val="00E51B97"/>
    <w:rsid w:val="00E5354A"/>
    <w:rsid w:val="00E6001D"/>
    <w:rsid w:val="00E62D5A"/>
    <w:rsid w:val="00E651C1"/>
    <w:rsid w:val="00E755E5"/>
    <w:rsid w:val="00E84DB5"/>
    <w:rsid w:val="00E912D6"/>
    <w:rsid w:val="00E91FB5"/>
    <w:rsid w:val="00E92E84"/>
    <w:rsid w:val="00E97538"/>
    <w:rsid w:val="00E97D70"/>
    <w:rsid w:val="00EA2005"/>
    <w:rsid w:val="00EA65AC"/>
    <w:rsid w:val="00EB1848"/>
    <w:rsid w:val="00EB2A61"/>
    <w:rsid w:val="00EB32DE"/>
    <w:rsid w:val="00EB7E61"/>
    <w:rsid w:val="00EC0BBE"/>
    <w:rsid w:val="00EC1F5E"/>
    <w:rsid w:val="00EC23DF"/>
    <w:rsid w:val="00ED7899"/>
    <w:rsid w:val="00EE2C29"/>
    <w:rsid w:val="00EE5384"/>
    <w:rsid w:val="00F044FA"/>
    <w:rsid w:val="00F065B4"/>
    <w:rsid w:val="00F17AA4"/>
    <w:rsid w:val="00F32037"/>
    <w:rsid w:val="00F341DB"/>
    <w:rsid w:val="00F356BB"/>
    <w:rsid w:val="00F40999"/>
    <w:rsid w:val="00F45A6B"/>
    <w:rsid w:val="00F54AAB"/>
    <w:rsid w:val="00F64F08"/>
    <w:rsid w:val="00F667C5"/>
    <w:rsid w:val="00F67A76"/>
    <w:rsid w:val="00F91B9C"/>
    <w:rsid w:val="00FA1DC3"/>
    <w:rsid w:val="00FA2E7C"/>
    <w:rsid w:val="00FB5595"/>
    <w:rsid w:val="00FB7643"/>
    <w:rsid w:val="00FC2CCA"/>
    <w:rsid w:val="00FC634E"/>
    <w:rsid w:val="00FE1A0B"/>
    <w:rsid w:val="00FF6B33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BB8C"/>
  <w15:chartTrackingRefBased/>
  <w15:docId w15:val="{4CBEF2D2-8FEE-45FC-96F6-D9D9B81D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5F"/>
    <w:pPr>
      <w:spacing w:line="360" w:lineRule="auto"/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07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CFC"/>
    <w:pPr>
      <w:jc w:val="center"/>
    </w:pPr>
    <w:rPr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B4CFC"/>
    <w:rPr>
      <w:rFonts w:ascii="Times New Roman" w:hAnsi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521075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21075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5210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4FC"/>
    <w:rPr>
      <w:color w:val="808080"/>
    </w:rPr>
  </w:style>
  <w:style w:type="table" w:styleId="TableGrid">
    <w:name w:val="Table Grid"/>
    <w:basedOn w:val="TableNormal"/>
    <w:uiPriority w:val="39"/>
    <w:rsid w:val="00B6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B58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8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8C3"/>
    <w:rPr>
      <w:vertAlign w:val="superscript"/>
    </w:rPr>
  </w:style>
  <w:style w:type="table" w:customStyle="1" w:styleId="TableGrid1">
    <w:name w:val="Table Grid1"/>
    <w:basedOn w:val="TableNormal"/>
    <w:next w:val="TableGrid"/>
    <w:rsid w:val="004E5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1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goodstyle">
    <w:name w:val="A good style"/>
    <w:basedOn w:val="Normal"/>
    <w:link w:val="AgoodstyleChar"/>
    <w:qFormat/>
    <w:rsid w:val="00AE51D6"/>
    <w:pPr>
      <w:spacing w:line="259" w:lineRule="auto"/>
      <w:jc w:val="left"/>
    </w:pPr>
  </w:style>
  <w:style w:type="character" w:customStyle="1" w:styleId="AgoodstyleChar">
    <w:name w:val="A good style Char"/>
    <w:basedOn w:val="DefaultParagraphFont"/>
    <w:link w:val="Agoodstyle"/>
    <w:rsid w:val="00AE51D6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D5E2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E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E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2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20"/>
    <w:rPr>
      <w:rFonts w:ascii="Times New Roman" w:hAnsi="Times New Roman"/>
    </w:rPr>
  </w:style>
  <w:style w:type="table" w:customStyle="1" w:styleId="TableGrid2">
    <w:name w:val="Table Grid2"/>
    <w:basedOn w:val="TableNormal"/>
    <w:next w:val="TableGrid"/>
    <w:rsid w:val="00C90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k-Sim/Tropar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5CE24-F989-4833-A4D1-B44CCBD9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161</cp:revision>
  <cp:lastPrinted>2023-10-12T22:50:00Z</cp:lastPrinted>
  <dcterms:created xsi:type="dcterms:W3CDTF">2023-11-17T00:44:00Z</dcterms:created>
  <dcterms:modified xsi:type="dcterms:W3CDTF">2024-04-16T03:42:00Z</dcterms:modified>
</cp:coreProperties>
</file>