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D79" w:rsidRPr="00C3334F" w:rsidRDefault="00915D79" w:rsidP="00C3334F">
      <w:pPr>
        <w:pStyle w:val="Default"/>
        <w:wordWrap w:val="0"/>
        <w:jc w:val="center"/>
        <w:rPr>
          <w:b/>
          <w:bCs/>
          <w:sz w:val="36"/>
          <w:szCs w:val="36"/>
        </w:rPr>
      </w:pPr>
      <w:r w:rsidRPr="00C3334F">
        <w:rPr>
          <w:b/>
          <w:bCs/>
          <w:sz w:val="36"/>
          <w:szCs w:val="36"/>
        </w:rPr>
        <w:t>2018 May Day MCM</w:t>
      </w:r>
    </w:p>
    <w:p w:rsidR="00915D79" w:rsidRPr="00C3334F" w:rsidRDefault="00915D79" w:rsidP="00C3334F">
      <w:pPr>
        <w:pStyle w:val="Default"/>
        <w:wordWrap w:val="0"/>
        <w:rPr>
          <w:sz w:val="28"/>
          <w:szCs w:val="28"/>
        </w:rPr>
      </w:pPr>
      <w:r>
        <w:rPr>
          <w:noProof/>
        </w:rPr>
        <w:pict>
          <v:line id="_x0000_s1026" style="position:absolute;flip:y;z-index:251658240;visibility:visible" from="-.75pt,6.65pt" to="509.25pt,9.05pt" strokeweight="4.5pt">
            <v:stroke linestyle="thinThick"/>
          </v:line>
        </w:pict>
      </w:r>
    </w:p>
    <w:p w:rsidR="00915D79" w:rsidRPr="00C3334F" w:rsidRDefault="00915D79">
      <w:pPr>
        <w:jc w:val="center"/>
        <w:rPr>
          <w:rFonts w:ascii="Times New Roman" w:hAnsi="Times New Roman"/>
          <w:b/>
          <w:sz w:val="32"/>
          <w:szCs w:val="32"/>
        </w:rPr>
      </w:pPr>
      <w:r w:rsidRPr="00C3334F">
        <w:rPr>
          <w:rFonts w:ascii="Times New Roman" w:hAnsi="Times New Roman"/>
          <w:b/>
          <w:bCs/>
          <w:sz w:val="32"/>
          <w:szCs w:val="32"/>
        </w:rPr>
        <w:t xml:space="preserve">Problem B: </w:t>
      </w:r>
      <w:r w:rsidRPr="00C3334F">
        <w:rPr>
          <w:rFonts w:ascii="Times New Roman" w:hAnsi="Times New Roman"/>
          <w:b/>
          <w:sz w:val="32"/>
          <w:szCs w:val="32"/>
        </w:rPr>
        <w:t>RMB Loan Scale Allocation and Profit of Commercial Bank</w:t>
      </w:r>
    </w:p>
    <w:p w:rsidR="00915D79" w:rsidRPr="00C3334F" w:rsidRDefault="00915D79">
      <w:pPr>
        <w:rPr>
          <w:rFonts w:ascii="Times New Roman" w:hAnsi="Times New Roman"/>
          <w:szCs w:val="21"/>
        </w:rPr>
      </w:pPr>
    </w:p>
    <w:p w:rsidR="00915D79" w:rsidRPr="00C3334F" w:rsidRDefault="00915D79" w:rsidP="00BF0938">
      <w:pPr>
        <w:spacing w:afterLines="100" w:line="320" w:lineRule="exact"/>
        <w:rPr>
          <w:rFonts w:ascii="Times New Roman" w:hAnsi="Times New Roman"/>
          <w:sz w:val="28"/>
          <w:szCs w:val="28"/>
        </w:rPr>
      </w:pPr>
      <w:r w:rsidRPr="00C3334F">
        <w:rPr>
          <w:rFonts w:ascii="Times New Roman" w:hAnsi="Times New Roman"/>
          <w:sz w:val="28"/>
          <w:szCs w:val="28"/>
        </w:rPr>
        <w:t>The simple model for commercial bank loans is to absorb deposits from the clients, deposit Legal reserves</w:t>
      </w:r>
      <w:r>
        <w:rPr>
          <w:rFonts w:ascii="Times New Roman" w:hAnsi="Times New Roman"/>
          <w:sz w:val="28"/>
          <w:szCs w:val="28"/>
        </w:rPr>
        <w:t xml:space="preserve"> </w:t>
      </w:r>
      <w:r w:rsidRPr="00C3334F">
        <w:rPr>
          <w:rFonts w:ascii="Times New Roman" w:hAnsi="Times New Roman"/>
          <w:sz w:val="28"/>
          <w:szCs w:val="28"/>
        </w:rPr>
        <w:t>(Legal reserve ratio: 15.5 % for large financial institutions and 12 % for small and medium-sized financial institutions; 1.62%</w:t>
      </w:r>
      <w:r>
        <w:rPr>
          <w:rFonts w:ascii="Times New Roman" w:hAnsi="Times New Roman"/>
          <w:sz w:val="28"/>
          <w:szCs w:val="28"/>
        </w:rPr>
        <w:t xml:space="preserve"> </w:t>
      </w:r>
      <w:r w:rsidRPr="00E76301">
        <w:rPr>
          <w:rFonts w:ascii="Times New Roman" w:hAnsi="Times New Roman"/>
          <w:sz w:val="28"/>
          <w:szCs w:val="28"/>
        </w:rPr>
        <w:t>Legal reserve interest rate</w:t>
      </w:r>
      <w:r w:rsidRPr="00C3334F">
        <w:rPr>
          <w:rFonts w:ascii="Times New Roman" w:hAnsi="Times New Roman"/>
          <w:sz w:val="28"/>
          <w:szCs w:val="28"/>
        </w:rPr>
        <w:t xml:space="preserve">), set aside a certain proportion of the provisioning level (Commercial banks </w:t>
      </w:r>
      <w:r>
        <w:rPr>
          <w:rFonts w:ascii="Times New Roman" w:hAnsi="Times New Roman"/>
          <w:sz w:val="28"/>
          <w:szCs w:val="28"/>
        </w:rPr>
        <w:t>assume</w:t>
      </w:r>
      <w:r w:rsidRPr="00C3334F">
        <w:rPr>
          <w:rFonts w:ascii="Times New Roman" w:hAnsi="Times New Roman"/>
          <w:sz w:val="28"/>
          <w:szCs w:val="28"/>
        </w:rPr>
        <w:t xml:space="preserve"> payment and settlement of financial intermediation to meet liquidity security), and the remaining funds </w:t>
      </w:r>
      <w:r>
        <w:rPr>
          <w:rFonts w:ascii="Times New Roman" w:hAnsi="Times New Roman"/>
          <w:sz w:val="28"/>
          <w:szCs w:val="28"/>
        </w:rPr>
        <w:t xml:space="preserve">are used </w:t>
      </w:r>
      <w:r w:rsidRPr="00C3334F">
        <w:rPr>
          <w:rFonts w:ascii="Times New Roman" w:hAnsi="Times New Roman"/>
          <w:sz w:val="28"/>
          <w:szCs w:val="28"/>
        </w:rPr>
        <w:t>for loan placement or other asset allocations.</w:t>
      </w:r>
    </w:p>
    <w:p w:rsidR="00915D79" w:rsidRPr="00C3334F" w:rsidRDefault="00915D79" w:rsidP="00BF0938">
      <w:pPr>
        <w:spacing w:afterLines="100" w:line="320" w:lineRule="exact"/>
        <w:rPr>
          <w:rFonts w:ascii="Times New Roman" w:hAnsi="Times New Roman"/>
          <w:sz w:val="28"/>
          <w:szCs w:val="28"/>
        </w:rPr>
      </w:pPr>
      <w:r w:rsidRPr="00C3334F">
        <w:rPr>
          <w:rFonts w:ascii="Times New Roman" w:hAnsi="Times New Roman"/>
          <w:sz w:val="28"/>
          <w:szCs w:val="28"/>
        </w:rPr>
        <w:t>For commercial banks, the increase of loans scale is limited by their deposits scale</w:t>
      </w:r>
      <w:r>
        <w:rPr>
          <w:rFonts w:ascii="Times New Roman" w:hAnsi="Times New Roman"/>
          <w:sz w:val="28"/>
          <w:szCs w:val="28"/>
        </w:rPr>
        <w:t>, which means it is o</w:t>
      </w:r>
      <w:r w:rsidRPr="00C3334F">
        <w:rPr>
          <w:rFonts w:ascii="Times New Roman" w:hAnsi="Times New Roman"/>
          <w:sz w:val="28"/>
          <w:szCs w:val="28"/>
        </w:rPr>
        <w:t xml:space="preserve">nly when the deposits are effectively increased </w:t>
      </w:r>
      <w:r>
        <w:rPr>
          <w:rFonts w:ascii="Times New Roman" w:hAnsi="Times New Roman"/>
          <w:sz w:val="28"/>
          <w:szCs w:val="28"/>
        </w:rPr>
        <w:t>that</w:t>
      </w:r>
      <w:r w:rsidRPr="00C3334F">
        <w:rPr>
          <w:rFonts w:ascii="Times New Roman" w:hAnsi="Times New Roman"/>
          <w:sz w:val="28"/>
          <w:szCs w:val="28"/>
        </w:rPr>
        <w:t xml:space="preserve"> banks </w:t>
      </w:r>
      <w:r>
        <w:rPr>
          <w:rFonts w:ascii="Times New Roman" w:hAnsi="Times New Roman"/>
          <w:sz w:val="28"/>
          <w:szCs w:val="28"/>
        </w:rPr>
        <w:t xml:space="preserve">can </w:t>
      </w:r>
      <w:r w:rsidRPr="00C3334F">
        <w:rPr>
          <w:rFonts w:ascii="Times New Roman" w:hAnsi="Times New Roman"/>
          <w:sz w:val="28"/>
          <w:szCs w:val="28"/>
        </w:rPr>
        <w:t xml:space="preserve">have sufficient funds for loans. Specifically, </w:t>
      </w:r>
      <w:r>
        <w:rPr>
          <w:rFonts w:ascii="Times New Roman" w:hAnsi="Times New Roman"/>
          <w:sz w:val="28"/>
          <w:szCs w:val="28"/>
        </w:rPr>
        <w:t xml:space="preserve">if </w:t>
      </w:r>
      <w:r w:rsidRPr="00C3334F">
        <w:rPr>
          <w:rFonts w:ascii="Times New Roman" w:hAnsi="Times New Roman"/>
          <w:sz w:val="28"/>
          <w:szCs w:val="28"/>
        </w:rPr>
        <w:t xml:space="preserve">the proportion of a commercial bank in total national deposits is relatively stable, the </w:t>
      </w:r>
      <w:r>
        <w:rPr>
          <w:rFonts w:ascii="Times New Roman" w:hAnsi="Times New Roman"/>
          <w:sz w:val="28"/>
          <w:szCs w:val="28"/>
        </w:rPr>
        <w:t xml:space="preserve">annual increase in the </w:t>
      </w:r>
      <w:r w:rsidRPr="00C3334F">
        <w:rPr>
          <w:rFonts w:ascii="Times New Roman" w:hAnsi="Times New Roman"/>
          <w:sz w:val="28"/>
          <w:szCs w:val="28"/>
        </w:rPr>
        <w:t xml:space="preserve">amount of deposits is limited by the growth of total social capital. From the perspective of economic indicators, the growth of social deposits is closely </w:t>
      </w:r>
      <w:r>
        <w:rPr>
          <w:rFonts w:ascii="Times New Roman" w:hAnsi="Times New Roman"/>
          <w:sz w:val="28"/>
          <w:szCs w:val="28"/>
        </w:rPr>
        <w:t>intertwined</w:t>
      </w:r>
      <w:r w:rsidRPr="00C3334F">
        <w:rPr>
          <w:rFonts w:ascii="Times New Roman" w:hAnsi="Times New Roman"/>
          <w:sz w:val="28"/>
          <w:szCs w:val="28"/>
        </w:rPr>
        <w:t xml:space="preserve"> to macroeconomic indicators such as GDP, CPI, and industrial value-added (Annex 1 is the macroeconomic indicators for 2010-2017 and the forecast for 2018).</w:t>
      </w:r>
    </w:p>
    <w:p w:rsidR="00915D79" w:rsidRPr="00C3334F" w:rsidRDefault="00915D79" w:rsidP="00BF0938">
      <w:pPr>
        <w:spacing w:afterLines="100" w:line="320" w:lineRule="exact"/>
        <w:rPr>
          <w:rFonts w:ascii="Times New Roman" w:hAnsi="Times New Roman"/>
          <w:sz w:val="28"/>
          <w:szCs w:val="28"/>
        </w:rPr>
      </w:pPr>
      <w:r w:rsidRPr="00C3334F">
        <w:rPr>
          <w:rFonts w:ascii="Times New Roman" w:hAnsi="Times New Roman"/>
          <w:sz w:val="28"/>
          <w:szCs w:val="28"/>
        </w:rPr>
        <w:t xml:space="preserve">In the loan allocation models, commercial banks </w:t>
      </w:r>
      <w:r>
        <w:rPr>
          <w:rFonts w:ascii="Times New Roman" w:hAnsi="Times New Roman"/>
          <w:sz w:val="28"/>
          <w:szCs w:val="28"/>
        </w:rPr>
        <w:t xml:space="preserve">usually </w:t>
      </w:r>
      <w:r w:rsidRPr="00C3334F">
        <w:rPr>
          <w:rFonts w:ascii="Times New Roman" w:hAnsi="Times New Roman"/>
          <w:sz w:val="28"/>
          <w:szCs w:val="28"/>
        </w:rPr>
        <w:t xml:space="preserve">used the pre-distribution and annual limit management models, that is, the one-time pre-distribution of the annual scale at the beginning of the year to each branch, and no longer increase </w:t>
      </w:r>
      <w:r>
        <w:rPr>
          <w:rFonts w:ascii="Times New Roman" w:hAnsi="Times New Roman"/>
          <w:sz w:val="28"/>
          <w:szCs w:val="28"/>
        </w:rPr>
        <w:t xml:space="preserve">the loan amount </w:t>
      </w:r>
      <w:r w:rsidRPr="00C3334F">
        <w:rPr>
          <w:rFonts w:ascii="Times New Roman" w:hAnsi="Times New Roman"/>
          <w:sz w:val="28"/>
          <w:szCs w:val="28"/>
        </w:rPr>
        <w:t xml:space="preserve">during the year. </w:t>
      </w:r>
      <w:r>
        <w:rPr>
          <w:rFonts w:ascii="Times New Roman" w:hAnsi="Times New Roman"/>
          <w:sz w:val="28"/>
          <w:szCs w:val="28"/>
        </w:rPr>
        <w:t>While, t</w:t>
      </w:r>
      <w:r w:rsidRPr="00C3334F">
        <w:rPr>
          <w:rFonts w:ascii="Times New Roman" w:hAnsi="Times New Roman"/>
          <w:sz w:val="28"/>
          <w:szCs w:val="28"/>
        </w:rPr>
        <w:t>here are many disadvantages in this model</w:t>
      </w:r>
      <w:r>
        <w:rPr>
          <w:rFonts w:ascii="Times New Roman" w:hAnsi="Times New Roman"/>
          <w:sz w:val="28"/>
          <w:szCs w:val="28"/>
        </w:rPr>
        <w:t>.</w:t>
      </w:r>
      <w:r w:rsidRPr="00C3334F">
        <w:rPr>
          <w:rFonts w:ascii="Times New Roman" w:hAnsi="Times New Roman"/>
          <w:sz w:val="28"/>
          <w:szCs w:val="28"/>
        </w:rPr>
        <w:t xml:space="preserve"> </w:t>
      </w:r>
      <w:r>
        <w:rPr>
          <w:rFonts w:ascii="Times New Roman" w:hAnsi="Times New Roman"/>
          <w:sz w:val="28"/>
          <w:szCs w:val="28"/>
        </w:rPr>
        <w:t>For example, it would ignore</w:t>
      </w:r>
      <w:r w:rsidRPr="00C3334F">
        <w:rPr>
          <w:rFonts w:ascii="Times New Roman" w:hAnsi="Times New Roman"/>
          <w:sz w:val="28"/>
          <w:szCs w:val="28"/>
        </w:rPr>
        <w:t xml:space="preserve"> the actual amount of disposable loans, changes in the environment</w:t>
      </w:r>
      <w:r>
        <w:rPr>
          <w:rFonts w:ascii="Times New Roman" w:hAnsi="Times New Roman"/>
          <w:sz w:val="28"/>
          <w:szCs w:val="28"/>
        </w:rPr>
        <w:t xml:space="preserve"> and</w:t>
      </w:r>
      <w:r w:rsidRPr="00C3334F">
        <w:rPr>
          <w:rFonts w:ascii="Times New Roman" w:hAnsi="Times New Roman"/>
          <w:sz w:val="28"/>
          <w:szCs w:val="28"/>
        </w:rPr>
        <w:t xml:space="preserve"> demand during the year, resulting in low efficiency and poor flexibility. </w:t>
      </w:r>
      <w:r w:rsidRPr="00405249">
        <w:rPr>
          <w:rFonts w:ascii="Times New Roman" w:hAnsi="Times New Roman"/>
          <w:sz w:val="28"/>
          <w:szCs w:val="28"/>
        </w:rPr>
        <w:t>At present, in terms of most commercial banks, its loan scale growth is determined by deposit growth, and a combination of deposits and loans will be considered; internal and external synergies, and asset-liability dynamic balance also belong to common models.</w:t>
      </w:r>
      <w:r w:rsidRPr="00C3334F">
        <w:rPr>
          <w:rFonts w:ascii="Times New Roman" w:hAnsi="Times New Roman"/>
          <w:sz w:val="28"/>
          <w:szCs w:val="28"/>
        </w:rPr>
        <w:t xml:space="preserve"> </w:t>
      </w:r>
      <w:r w:rsidRPr="0085396E">
        <w:rPr>
          <w:rFonts w:ascii="Times New Roman" w:hAnsi="Times New Roman"/>
          <w:sz w:val="28"/>
          <w:szCs w:val="28"/>
        </w:rPr>
        <w:t>Commercial banks</w:t>
      </w:r>
      <w:r w:rsidRPr="00C3334F">
        <w:rPr>
          <w:rFonts w:ascii="Times New Roman" w:hAnsi="Times New Roman"/>
          <w:sz w:val="28"/>
          <w:szCs w:val="28"/>
        </w:rPr>
        <w:t xml:space="preserve"> must strive to obtain the largest revenue of the whole bank, balance regional development differences, and mobilize the enthusiasm of all units in the industry. </w:t>
      </w:r>
      <w:r>
        <w:rPr>
          <w:rFonts w:ascii="Times New Roman" w:hAnsi="Times New Roman"/>
          <w:sz w:val="28"/>
          <w:szCs w:val="28"/>
        </w:rPr>
        <w:t>Meanwhile, i</w:t>
      </w:r>
      <w:r w:rsidRPr="00C3334F">
        <w:rPr>
          <w:rFonts w:ascii="Times New Roman" w:hAnsi="Times New Roman"/>
          <w:sz w:val="28"/>
          <w:szCs w:val="28"/>
        </w:rPr>
        <w:t xml:space="preserve">t is </w:t>
      </w:r>
      <w:r>
        <w:rPr>
          <w:rFonts w:ascii="Times New Roman" w:hAnsi="Times New Roman"/>
          <w:sz w:val="28"/>
          <w:szCs w:val="28"/>
        </w:rPr>
        <w:t xml:space="preserve">still </w:t>
      </w:r>
      <w:r w:rsidRPr="00C3334F">
        <w:rPr>
          <w:rFonts w:ascii="Times New Roman" w:hAnsi="Times New Roman"/>
          <w:sz w:val="28"/>
          <w:szCs w:val="28"/>
        </w:rPr>
        <w:t>necessary to support the country's major projects, key policies, people's livelihood projects and the effective development of the real economy.</w:t>
      </w:r>
    </w:p>
    <w:p w:rsidR="00915D79" w:rsidRPr="00C3334F" w:rsidRDefault="00915D79" w:rsidP="00BF0938">
      <w:pPr>
        <w:spacing w:afterLines="100" w:line="320" w:lineRule="exact"/>
        <w:rPr>
          <w:rFonts w:ascii="Times New Roman" w:hAnsi="Times New Roman"/>
          <w:sz w:val="28"/>
          <w:szCs w:val="28"/>
        </w:rPr>
      </w:pPr>
      <w:r w:rsidRPr="00C3334F">
        <w:rPr>
          <w:rFonts w:ascii="Times New Roman" w:hAnsi="Times New Roman"/>
          <w:sz w:val="28"/>
          <w:szCs w:val="28"/>
        </w:rPr>
        <w:t xml:space="preserve">For the medium-sized commercial bank A, the development of deposit loans in its provincial branches for the past three years is shown in Annex 2. Please refer to the relevant literature and information, and grasp the business model of the commercial bank, </w:t>
      </w:r>
      <w:r>
        <w:rPr>
          <w:rFonts w:ascii="Times New Roman" w:hAnsi="Times New Roman"/>
          <w:sz w:val="28"/>
          <w:szCs w:val="28"/>
        </w:rPr>
        <w:t xml:space="preserve">then </w:t>
      </w:r>
      <w:r w:rsidRPr="00C3334F">
        <w:rPr>
          <w:rFonts w:ascii="Times New Roman" w:hAnsi="Times New Roman"/>
          <w:sz w:val="28"/>
          <w:szCs w:val="28"/>
        </w:rPr>
        <w:t>on the basis of a full understanding of the future economic, interest rate, exchange rate and other policies and trends</w:t>
      </w:r>
      <w:r>
        <w:rPr>
          <w:rFonts w:ascii="Times New Roman" w:hAnsi="Times New Roman"/>
          <w:sz w:val="28"/>
          <w:szCs w:val="28"/>
        </w:rPr>
        <w:t xml:space="preserve">, please </w:t>
      </w:r>
      <w:r w:rsidRPr="00C3334F">
        <w:rPr>
          <w:rFonts w:ascii="Times New Roman" w:hAnsi="Times New Roman"/>
          <w:sz w:val="28"/>
          <w:szCs w:val="28"/>
        </w:rPr>
        <w:t>answer the following questions.</w:t>
      </w:r>
      <w:r w:rsidRPr="00C3334F">
        <w:rPr>
          <w:rFonts w:ascii="Times New Roman" w:hAnsi="Times New Roman"/>
        </w:rPr>
        <w:t xml:space="preserve"> </w:t>
      </w:r>
      <w:r w:rsidRPr="00C3334F">
        <w:rPr>
          <w:rFonts w:ascii="Times New Roman" w:hAnsi="Times New Roman"/>
          <w:sz w:val="28"/>
          <w:szCs w:val="28"/>
        </w:rPr>
        <w:t>(The historical data on deposits and loans in Annexes 2, 3 and 4 are for reference)</w:t>
      </w:r>
    </w:p>
    <w:p w:rsidR="00915D79" w:rsidRPr="00C3334F" w:rsidRDefault="00915D79" w:rsidP="00BF0938">
      <w:pPr>
        <w:spacing w:afterLines="100" w:line="320" w:lineRule="exact"/>
        <w:rPr>
          <w:rFonts w:ascii="Times New Roman" w:hAnsi="Times New Roman"/>
          <w:sz w:val="28"/>
          <w:szCs w:val="28"/>
        </w:rPr>
      </w:pPr>
      <w:r w:rsidRPr="00C3334F">
        <w:rPr>
          <w:rFonts w:ascii="Times New Roman" w:hAnsi="Times New Roman"/>
          <w:sz w:val="28"/>
          <w:szCs w:val="28"/>
        </w:rPr>
        <w:t xml:space="preserve">1. Assume that the bank has no other sources of funds besides customer deposits, and does not consider provisioning levels for the time being. </w:t>
      </w:r>
      <w:r>
        <w:rPr>
          <w:rFonts w:ascii="Times New Roman" w:hAnsi="Times New Roman"/>
          <w:sz w:val="28"/>
          <w:szCs w:val="28"/>
        </w:rPr>
        <w:t>B</w:t>
      </w:r>
      <w:r w:rsidRPr="00C3334F">
        <w:rPr>
          <w:rFonts w:ascii="Times New Roman" w:hAnsi="Times New Roman"/>
          <w:sz w:val="28"/>
          <w:szCs w:val="28"/>
        </w:rPr>
        <w:t>ased on the historical data of Annex 2 on total deposits and loans of Commercial Bank A and the historical data of macroeconomic indicators in Annex 1</w:t>
      </w:r>
      <w:r>
        <w:rPr>
          <w:rFonts w:ascii="Times New Roman" w:hAnsi="Times New Roman"/>
          <w:sz w:val="28"/>
          <w:szCs w:val="28"/>
        </w:rPr>
        <w:t>, p</w:t>
      </w:r>
      <w:r w:rsidRPr="00C3334F">
        <w:rPr>
          <w:rFonts w:ascii="Times New Roman" w:hAnsi="Times New Roman"/>
          <w:sz w:val="28"/>
          <w:szCs w:val="28"/>
        </w:rPr>
        <w:t xml:space="preserve">lease establish a mathematical model </w:t>
      </w:r>
      <w:r>
        <w:rPr>
          <w:rFonts w:ascii="Times New Roman" w:hAnsi="Times New Roman"/>
          <w:sz w:val="28"/>
          <w:szCs w:val="28"/>
        </w:rPr>
        <w:t xml:space="preserve">and </w:t>
      </w:r>
      <w:r w:rsidRPr="00C3334F">
        <w:rPr>
          <w:rFonts w:ascii="Times New Roman" w:hAnsi="Times New Roman"/>
          <w:sz w:val="28"/>
          <w:szCs w:val="28"/>
        </w:rPr>
        <w:t>predict the increase in deposits and loans of the Bank in 2018.</w:t>
      </w:r>
    </w:p>
    <w:p w:rsidR="00915D79" w:rsidRPr="00C3334F" w:rsidRDefault="00915D79" w:rsidP="00BF0938">
      <w:pPr>
        <w:spacing w:afterLines="100" w:line="320" w:lineRule="exact"/>
        <w:rPr>
          <w:rFonts w:ascii="Times New Roman" w:hAnsi="Times New Roman"/>
          <w:sz w:val="28"/>
          <w:szCs w:val="28"/>
        </w:rPr>
      </w:pPr>
      <w:r w:rsidRPr="00C3334F">
        <w:rPr>
          <w:rFonts w:ascii="Times New Roman" w:hAnsi="Times New Roman"/>
          <w:sz w:val="28"/>
          <w:szCs w:val="28"/>
        </w:rPr>
        <w:t>2. Assume that the bank has no other source</w:t>
      </w:r>
      <w:r>
        <w:rPr>
          <w:rFonts w:ascii="Times New Roman" w:hAnsi="Times New Roman"/>
          <w:sz w:val="28"/>
          <w:szCs w:val="28"/>
        </w:rPr>
        <w:t>s</w:t>
      </w:r>
      <w:r w:rsidRPr="00C3334F">
        <w:rPr>
          <w:rFonts w:ascii="Times New Roman" w:hAnsi="Times New Roman"/>
          <w:sz w:val="28"/>
          <w:szCs w:val="28"/>
        </w:rPr>
        <w:t xml:space="preserve"> of funds besides customer deposits</w:t>
      </w:r>
      <w:r>
        <w:rPr>
          <w:rFonts w:ascii="Times New Roman" w:hAnsi="Times New Roman"/>
          <w:sz w:val="28"/>
          <w:szCs w:val="28"/>
        </w:rPr>
        <w:t xml:space="preserve">, </w:t>
      </w:r>
      <w:r w:rsidRPr="00C3334F">
        <w:rPr>
          <w:rFonts w:ascii="Times New Roman" w:hAnsi="Times New Roman"/>
          <w:sz w:val="28"/>
          <w:szCs w:val="28"/>
        </w:rPr>
        <w:t xml:space="preserve">and does not consider provisioning levels for the time being. </w:t>
      </w:r>
      <w:r>
        <w:rPr>
          <w:rFonts w:ascii="Times New Roman" w:hAnsi="Times New Roman"/>
          <w:sz w:val="28"/>
          <w:szCs w:val="28"/>
        </w:rPr>
        <w:t>B</w:t>
      </w:r>
      <w:r w:rsidRPr="00C3334F">
        <w:rPr>
          <w:rFonts w:ascii="Times New Roman" w:hAnsi="Times New Roman"/>
          <w:sz w:val="28"/>
          <w:szCs w:val="28"/>
        </w:rPr>
        <w:t xml:space="preserve">ased on the results of the problem 1 forecast and the related data in Annex 3, </w:t>
      </w:r>
      <w:r>
        <w:rPr>
          <w:rFonts w:ascii="Times New Roman" w:hAnsi="Times New Roman"/>
          <w:sz w:val="28"/>
          <w:szCs w:val="28"/>
        </w:rPr>
        <w:t>p</w:t>
      </w:r>
      <w:r w:rsidRPr="00C3334F">
        <w:rPr>
          <w:rFonts w:ascii="Times New Roman" w:hAnsi="Times New Roman"/>
          <w:sz w:val="28"/>
          <w:szCs w:val="28"/>
        </w:rPr>
        <w:t xml:space="preserve">lease establish a mathematical model and give the loan scale allocation scheme of commercial </w:t>
      </w:r>
      <w:r>
        <w:rPr>
          <w:rFonts w:ascii="Times New Roman" w:hAnsi="Times New Roman"/>
          <w:sz w:val="28"/>
          <w:szCs w:val="28"/>
        </w:rPr>
        <w:t>Bank</w:t>
      </w:r>
      <w:r w:rsidRPr="00C3334F">
        <w:rPr>
          <w:rFonts w:ascii="Times New Roman" w:hAnsi="Times New Roman"/>
          <w:sz w:val="28"/>
          <w:szCs w:val="28"/>
        </w:rPr>
        <w:t xml:space="preserve"> A for 2018 such that the entire bank’s incremental net interest on deposits and loans will be maximized, and fill </w:t>
      </w:r>
      <w:r>
        <w:rPr>
          <w:rFonts w:ascii="Times New Roman" w:hAnsi="Times New Roman"/>
          <w:sz w:val="28"/>
          <w:szCs w:val="28"/>
        </w:rPr>
        <w:t>your</w:t>
      </w:r>
      <w:r w:rsidRPr="00C3334F">
        <w:rPr>
          <w:rFonts w:ascii="Times New Roman" w:hAnsi="Times New Roman"/>
          <w:sz w:val="28"/>
          <w:szCs w:val="28"/>
        </w:rPr>
        <w:t xml:space="preserve"> distribution plan in Table 1.</w:t>
      </w:r>
    </w:p>
    <w:p w:rsidR="00915D79" w:rsidRPr="00C3334F" w:rsidRDefault="00915D79" w:rsidP="00BF0938">
      <w:pPr>
        <w:spacing w:afterLines="100" w:line="320" w:lineRule="exact"/>
        <w:rPr>
          <w:rFonts w:ascii="Times New Roman" w:hAnsi="Times New Roman"/>
          <w:sz w:val="28"/>
          <w:szCs w:val="28"/>
        </w:rPr>
      </w:pPr>
      <w:r w:rsidRPr="00C3334F">
        <w:rPr>
          <w:rFonts w:ascii="Times New Roman" w:hAnsi="Times New Roman"/>
          <w:sz w:val="28"/>
          <w:szCs w:val="28"/>
        </w:rPr>
        <w:t>3. If commercial bank A will issue 50 billion Yuan 15-year common debt on May 1, 2018 (the interest rate is approximately 5.1%), without considering the provision level</w:t>
      </w:r>
      <w:r>
        <w:rPr>
          <w:rFonts w:ascii="Times New Roman" w:hAnsi="Times New Roman"/>
          <w:sz w:val="28"/>
          <w:szCs w:val="28"/>
        </w:rPr>
        <w:t xml:space="preserve">, </w:t>
      </w:r>
      <w:r w:rsidRPr="00C3334F">
        <w:rPr>
          <w:rFonts w:ascii="Times New Roman" w:hAnsi="Times New Roman"/>
          <w:sz w:val="28"/>
          <w:szCs w:val="28"/>
        </w:rPr>
        <w:t xml:space="preserve">please combine these conditions to further optimize Problem 2 and re-design the allocation plan for the loan scale of each branch of commercial </w:t>
      </w:r>
      <w:r>
        <w:rPr>
          <w:rFonts w:ascii="Times New Roman" w:hAnsi="Times New Roman"/>
          <w:sz w:val="28"/>
          <w:szCs w:val="28"/>
        </w:rPr>
        <w:t>B</w:t>
      </w:r>
      <w:r w:rsidRPr="00C3334F">
        <w:rPr>
          <w:rFonts w:ascii="Times New Roman" w:hAnsi="Times New Roman"/>
          <w:sz w:val="28"/>
          <w:szCs w:val="28"/>
        </w:rPr>
        <w:t>ank A</w:t>
      </w:r>
      <w:r>
        <w:rPr>
          <w:rFonts w:ascii="Times New Roman" w:hAnsi="Times New Roman"/>
          <w:sz w:val="28"/>
          <w:szCs w:val="28"/>
        </w:rPr>
        <w:t>; then let</w:t>
      </w:r>
      <w:r w:rsidRPr="00C3334F">
        <w:rPr>
          <w:rFonts w:ascii="Times New Roman" w:hAnsi="Times New Roman"/>
          <w:sz w:val="28"/>
          <w:szCs w:val="28"/>
        </w:rPr>
        <w:t xml:space="preserve"> the bank’s net interest on incremental deposit and loan interest be the largest, and fill </w:t>
      </w:r>
      <w:r>
        <w:rPr>
          <w:rFonts w:ascii="Times New Roman" w:hAnsi="Times New Roman"/>
          <w:sz w:val="28"/>
          <w:szCs w:val="28"/>
        </w:rPr>
        <w:t>your</w:t>
      </w:r>
      <w:r w:rsidRPr="00C3334F">
        <w:rPr>
          <w:rFonts w:ascii="Times New Roman" w:hAnsi="Times New Roman"/>
          <w:sz w:val="28"/>
          <w:szCs w:val="28"/>
        </w:rPr>
        <w:t xml:space="preserve"> allocation plan in Table 1.</w:t>
      </w:r>
    </w:p>
    <w:p w:rsidR="00915D79" w:rsidRPr="00C3334F" w:rsidRDefault="00915D79" w:rsidP="00BF0938">
      <w:pPr>
        <w:autoSpaceDE w:val="0"/>
        <w:autoSpaceDN w:val="0"/>
        <w:adjustRightInd w:val="0"/>
        <w:spacing w:afterLines="100" w:line="320" w:lineRule="exact"/>
        <w:rPr>
          <w:rFonts w:ascii="Times New Roman" w:hAnsi="Times New Roman"/>
          <w:sz w:val="28"/>
          <w:szCs w:val="28"/>
        </w:rPr>
      </w:pPr>
      <w:r w:rsidRPr="00C3334F">
        <w:rPr>
          <w:rFonts w:ascii="Times New Roman" w:hAnsi="Times New Roman"/>
          <w:sz w:val="28"/>
          <w:szCs w:val="28"/>
        </w:rPr>
        <w:t xml:space="preserve">4. In order to ensure normal daily transactions, each branch needs to reserve a certain amount of provision funds every day (The lack of reserve funds can easily cause customer dissatisfaction. Severely, it can cause social panic and trigger a run; </w:t>
      </w:r>
      <w:r>
        <w:rPr>
          <w:rFonts w:ascii="Times New Roman" w:hAnsi="Times New Roman"/>
          <w:sz w:val="28"/>
          <w:szCs w:val="28"/>
        </w:rPr>
        <w:t xml:space="preserve">vise verse, </w:t>
      </w:r>
      <w:r w:rsidRPr="00C3334F">
        <w:rPr>
          <w:rFonts w:ascii="Times New Roman" w:hAnsi="Times New Roman"/>
          <w:sz w:val="28"/>
          <w:szCs w:val="28"/>
        </w:rPr>
        <w:t xml:space="preserve">excessive reserve funds will reduce banks Profitability level) to ensure the lowest provisioning level (provision level = provision fund / deposit balance). Assume that the behavior of each client's deposit and withdrawal is random, please establish a mathematical model according to the daily deposit and withdrawal transaction data of each branch in Annex 4 </w:t>
      </w:r>
      <w:r>
        <w:rPr>
          <w:rFonts w:ascii="Times New Roman" w:hAnsi="Times New Roman"/>
          <w:sz w:val="28"/>
          <w:szCs w:val="28"/>
        </w:rPr>
        <w:t>for</w:t>
      </w:r>
      <w:r w:rsidRPr="00C3334F">
        <w:rPr>
          <w:rFonts w:ascii="Times New Roman" w:hAnsi="Times New Roman"/>
          <w:sz w:val="28"/>
          <w:szCs w:val="28"/>
        </w:rPr>
        <w:t xml:space="preserve"> 2017 and calculate the minimum required amount for daily operations of commercial </w:t>
      </w:r>
      <w:r>
        <w:rPr>
          <w:rFonts w:ascii="Times New Roman" w:hAnsi="Times New Roman"/>
          <w:sz w:val="28"/>
          <w:szCs w:val="28"/>
        </w:rPr>
        <w:t>B</w:t>
      </w:r>
      <w:r w:rsidRPr="00C3334F">
        <w:rPr>
          <w:rFonts w:ascii="Times New Roman" w:hAnsi="Times New Roman"/>
          <w:sz w:val="28"/>
          <w:szCs w:val="28"/>
        </w:rPr>
        <w:t xml:space="preserve">ank A branches at the given confidence level 99% for 2018. </w:t>
      </w:r>
      <w:r>
        <w:rPr>
          <w:rFonts w:ascii="Times New Roman" w:hAnsi="Times New Roman"/>
          <w:sz w:val="28"/>
          <w:szCs w:val="28"/>
        </w:rPr>
        <w:t>And</w:t>
      </w:r>
      <w:r w:rsidRPr="00C3334F">
        <w:rPr>
          <w:rFonts w:ascii="Times New Roman" w:hAnsi="Times New Roman"/>
          <w:sz w:val="28"/>
          <w:szCs w:val="28"/>
        </w:rPr>
        <w:t xml:space="preserve"> </w:t>
      </w:r>
      <w:r>
        <w:rPr>
          <w:rFonts w:ascii="Times New Roman" w:hAnsi="Times New Roman"/>
          <w:sz w:val="28"/>
          <w:szCs w:val="28"/>
        </w:rPr>
        <w:t>f</w:t>
      </w:r>
      <w:r w:rsidRPr="00C3334F">
        <w:rPr>
          <w:rFonts w:ascii="Times New Roman" w:hAnsi="Times New Roman"/>
          <w:sz w:val="28"/>
          <w:szCs w:val="28"/>
        </w:rPr>
        <w:t>ill the results in Table 1.</w:t>
      </w:r>
    </w:p>
    <w:p w:rsidR="00915D79" w:rsidRPr="00C3334F" w:rsidRDefault="00915D79" w:rsidP="00BF0938">
      <w:pPr>
        <w:spacing w:afterLines="100" w:line="320" w:lineRule="exact"/>
        <w:rPr>
          <w:rFonts w:ascii="Times New Roman" w:hAnsi="Times New Roman"/>
          <w:sz w:val="28"/>
          <w:szCs w:val="28"/>
        </w:rPr>
      </w:pPr>
      <w:r w:rsidRPr="00C3334F">
        <w:rPr>
          <w:rFonts w:ascii="Times New Roman" w:hAnsi="Times New Roman"/>
          <w:sz w:val="28"/>
          <w:szCs w:val="28"/>
        </w:rPr>
        <w:t>5. On the issue of loan scale allocation, relationship</w:t>
      </w:r>
      <w:r>
        <w:rPr>
          <w:rFonts w:ascii="Times New Roman" w:hAnsi="Times New Roman"/>
          <w:sz w:val="28"/>
          <w:szCs w:val="28"/>
        </w:rPr>
        <w:t>s</w:t>
      </w:r>
      <w:r w:rsidRPr="00C3334F">
        <w:rPr>
          <w:rFonts w:ascii="Times New Roman" w:hAnsi="Times New Roman"/>
          <w:sz w:val="28"/>
          <w:szCs w:val="28"/>
        </w:rPr>
        <w:t xml:space="preserve"> between benefits and risks, corporate operations and international policy orientation, regionalization differences and the fair assessment of branches</w:t>
      </w:r>
      <w:r>
        <w:rPr>
          <w:rFonts w:ascii="Times New Roman" w:hAnsi="Times New Roman"/>
          <w:sz w:val="28"/>
          <w:szCs w:val="28"/>
        </w:rPr>
        <w:t xml:space="preserve"> should be </w:t>
      </w:r>
      <w:bookmarkStart w:id="0" w:name="621237-3-18"/>
      <w:bookmarkEnd w:id="0"/>
      <w:r w:rsidRPr="00F57480">
        <w:rPr>
          <w:rFonts w:ascii="Times New Roman" w:hAnsi="Times New Roman"/>
          <w:sz w:val="28"/>
          <w:szCs w:val="28"/>
        </w:rPr>
        <w:fldChar w:fldCharType="begin"/>
      </w:r>
      <w:r w:rsidRPr="00F57480">
        <w:rPr>
          <w:rFonts w:ascii="Times New Roman" w:hAnsi="Times New Roman"/>
          <w:sz w:val="28"/>
          <w:szCs w:val="28"/>
        </w:rPr>
        <w:instrText xml:space="preserve"> HYPERLINK "http://cn.bing.com/dict/search?q=judiciously&amp;FORM=BDVSP6&amp;mkt=zh-cn" </w:instrText>
      </w:r>
      <w:r w:rsidRPr="00405249">
        <w:rPr>
          <w:rFonts w:ascii="Times New Roman" w:hAnsi="Times New Roman"/>
          <w:sz w:val="28"/>
          <w:szCs w:val="28"/>
        </w:rPr>
      </w:r>
      <w:r w:rsidRPr="00F57480">
        <w:rPr>
          <w:rFonts w:ascii="Times New Roman" w:hAnsi="Times New Roman"/>
          <w:sz w:val="28"/>
          <w:szCs w:val="28"/>
        </w:rPr>
        <w:fldChar w:fldCharType="separate"/>
      </w:r>
      <w:r w:rsidRPr="00F57480">
        <w:rPr>
          <w:rFonts w:ascii="Times New Roman" w:hAnsi="Times New Roman"/>
          <w:sz w:val="28"/>
          <w:szCs w:val="28"/>
        </w:rPr>
        <w:t>judiciously</w:t>
      </w:r>
      <w:r w:rsidRPr="00F57480">
        <w:rPr>
          <w:rFonts w:ascii="Times New Roman" w:hAnsi="Times New Roman"/>
          <w:sz w:val="28"/>
          <w:szCs w:val="28"/>
        </w:rPr>
        <w:fldChar w:fldCharType="end"/>
      </w:r>
      <w:bookmarkStart w:id="1" w:name="621237-3-19"/>
      <w:bookmarkEnd w:id="1"/>
      <w:r>
        <w:rPr>
          <w:rFonts w:ascii="Times New Roman" w:hAnsi="Times New Roman"/>
          <w:sz w:val="28"/>
          <w:szCs w:val="28"/>
        </w:rPr>
        <w:t xml:space="preserve"> </w:t>
      </w:r>
      <w:hyperlink r:id="rId6" w:history="1">
        <w:r w:rsidRPr="00F57480">
          <w:rPr>
            <w:rFonts w:ascii="Times New Roman" w:hAnsi="Times New Roman"/>
            <w:sz w:val="28"/>
            <w:szCs w:val="28"/>
          </w:rPr>
          <w:t>resolved</w:t>
        </w:r>
      </w:hyperlink>
      <w:r w:rsidRPr="00C3334F">
        <w:rPr>
          <w:rFonts w:ascii="Times New Roman" w:hAnsi="Times New Roman"/>
          <w:sz w:val="28"/>
          <w:szCs w:val="28"/>
        </w:rPr>
        <w:t xml:space="preserve"> to achieve a win-win or multi-win situation, please improve the above models and give relevant suggestions.</w:t>
      </w:r>
    </w:p>
    <w:p w:rsidR="00915D79" w:rsidRPr="00C3334F" w:rsidRDefault="00915D79" w:rsidP="00BF0938">
      <w:pPr>
        <w:spacing w:afterLines="100" w:line="320" w:lineRule="exact"/>
        <w:rPr>
          <w:rFonts w:ascii="Times New Roman" w:hAnsi="Times New Roman"/>
          <w:sz w:val="28"/>
          <w:szCs w:val="28"/>
        </w:rPr>
      </w:pPr>
      <w:r w:rsidRPr="00C3334F">
        <w:rPr>
          <w:rFonts w:ascii="Times New Roman" w:hAnsi="Times New Roman"/>
          <w:sz w:val="28"/>
          <w:szCs w:val="28"/>
        </w:rPr>
        <w:t>Note: All data are hypothetical data.</w:t>
      </w:r>
    </w:p>
    <w:p w:rsidR="00915D79" w:rsidRPr="00C3334F" w:rsidRDefault="00915D79" w:rsidP="004811DA">
      <w:pPr>
        <w:jc w:val="center"/>
        <w:rPr>
          <w:rFonts w:ascii="Times New Roman" w:hAnsi="Times New Roman"/>
          <w:szCs w:val="21"/>
        </w:rPr>
      </w:pPr>
      <w:r w:rsidRPr="00C3334F">
        <w:rPr>
          <w:rFonts w:ascii="Times New Roman" w:hAnsi="Times New Roman"/>
          <w:szCs w:val="21"/>
        </w:rPr>
        <w:t xml:space="preserve"> </w:t>
      </w:r>
    </w:p>
    <w:p w:rsidR="00915D79" w:rsidRPr="00C3334F" w:rsidRDefault="00915D79" w:rsidP="004E041C">
      <w:pPr>
        <w:jc w:val="center"/>
        <w:rPr>
          <w:rFonts w:ascii="Times New Roman" w:hAnsi="Times New Roman"/>
          <w:sz w:val="28"/>
          <w:szCs w:val="28"/>
        </w:rPr>
      </w:pPr>
      <w:r w:rsidRPr="00C3334F">
        <w:rPr>
          <w:rFonts w:ascii="Times New Roman" w:hAnsi="Times New Roman"/>
          <w:szCs w:val="21"/>
        </w:rPr>
        <w:br w:type="page"/>
      </w:r>
      <w:r w:rsidRPr="00C3334F">
        <w:rPr>
          <w:rFonts w:ascii="Times New Roman" w:hAnsi="Times New Roman"/>
          <w:sz w:val="28"/>
          <w:szCs w:val="28"/>
        </w:rPr>
        <w:t>Table 1</w:t>
      </w:r>
    </w:p>
    <w:tbl>
      <w:tblPr>
        <w:tblW w:w="8894" w:type="dxa"/>
        <w:jc w:val="center"/>
        <w:tblLayout w:type="fixed"/>
        <w:tblLook w:val="00A0"/>
      </w:tblPr>
      <w:tblGrid>
        <w:gridCol w:w="720"/>
        <w:gridCol w:w="2027"/>
        <w:gridCol w:w="1800"/>
        <w:gridCol w:w="2265"/>
        <w:gridCol w:w="2082"/>
      </w:tblGrid>
      <w:tr w:rsidR="00915D79" w:rsidRPr="00C3334F" w:rsidTr="00754196">
        <w:trPr>
          <w:trHeight w:val="270"/>
          <w:jc w:val="center"/>
        </w:trPr>
        <w:tc>
          <w:tcPr>
            <w:tcW w:w="2747" w:type="dxa"/>
            <w:gridSpan w:val="2"/>
            <w:tcBorders>
              <w:top w:val="single" w:sz="4" w:space="0" w:color="000000"/>
              <w:left w:val="single" w:sz="4" w:space="0" w:color="000000"/>
              <w:bottom w:val="single" w:sz="4" w:space="0" w:color="000000"/>
              <w:right w:val="single" w:sz="4" w:space="0" w:color="000000"/>
            </w:tcBorders>
            <w:vAlign w:val="center"/>
          </w:tcPr>
          <w:p w:rsidR="00915D79" w:rsidRPr="00C3334F" w:rsidRDefault="00915D79" w:rsidP="006401D9">
            <w:pPr>
              <w:widowControl/>
              <w:jc w:val="center"/>
              <w:rPr>
                <w:rFonts w:ascii="Times New Roman" w:hAnsi="Times New Roman"/>
                <w:b/>
                <w:bCs/>
                <w:color w:val="000000"/>
                <w:kern w:val="0"/>
                <w:sz w:val="24"/>
                <w:szCs w:val="24"/>
              </w:rPr>
            </w:pPr>
            <w:r w:rsidRPr="00C3334F">
              <w:rPr>
                <w:rFonts w:ascii="Times New Roman" w:hAnsi="Times New Roman"/>
                <w:b/>
                <w:bCs/>
                <w:color w:val="000000"/>
                <w:kern w:val="0"/>
                <w:sz w:val="24"/>
                <w:szCs w:val="24"/>
              </w:rPr>
              <w:t>Unit: 100 million Yuan</w:t>
            </w:r>
          </w:p>
        </w:tc>
        <w:tc>
          <w:tcPr>
            <w:tcW w:w="1800" w:type="dxa"/>
            <w:tcBorders>
              <w:top w:val="single" w:sz="4" w:space="0" w:color="000000"/>
              <w:left w:val="nil"/>
              <w:bottom w:val="single" w:sz="4" w:space="0" w:color="000000"/>
              <w:right w:val="single" w:sz="4" w:space="0" w:color="000000"/>
            </w:tcBorders>
            <w:vAlign w:val="center"/>
          </w:tcPr>
          <w:p w:rsidR="00915D79" w:rsidRPr="00C3334F" w:rsidRDefault="00915D79" w:rsidP="006401D9">
            <w:pPr>
              <w:widowControl/>
              <w:jc w:val="center"/>
              <w:rPr>
                <w:rFonts w:ascii="Times New Roman" w:hAnsi="Times New Roman"/>
                <w:b/>
                <w:bCs/>
                <w:color w:val="000000"/>
                <w:kern w:val="0"/>
                <w:sz w:val="24"/>
                <w:szCs w:val="24"/>
              </w:rPr>
            </w:pPr>
            <w:r w:rsidRPr="00C3334F">
              <w:rPr>
                <w:rFonts w:ascii="Times New Roman" w:hAnsi="Times New Roman"/>
                <w:b/>
                <w:bCs/>
                <w:color w:val="000000"/>
                <w:kern w:val="0"/>
                <w:sz w:val="24"/>
                <w:szCs w:val="24"/>
              </w:rPr>
              <w:t>Question 2</w:t>
            </w:r>
          </w:p>
        </w:tc>
        <w:tc>
          <w:tcPr>
            <w:tcW w:w="2265" w:type="dxa"/>
            <w:tcBorders>
              <w:top w:val="single" w:sz="4" w:space="0" w:color="000000"/>
              <w:left w:val="nil"/>
              <w:bottom w:val="single" w:sz="4" w:space="0" w:color="000000"/>
              <w:right w:val="single" w:sz="4" w:space="0" w:color="000000"/>
            </w:tcBorders>
            <w:vAlign w:val="center"/>
          </w:tcPr>
          <w:p w:rsidR="00915D79" w:rsidRPr="00C3334F" w:rsidRDefault="00915D79" w:rsidP="006401D9">
            <w:pPr>
              <w:widowControl/>
              <w:jc w:val="center"/>
              <w:rPr>
                <w:rFonts w:ascii="Times New Roman" w:hAnsi="Times New Roman"/>
                <w:b/>
                <w:bCs/>
                <w:color w:val="000000"/>
                <w:kern w:val="0"/>
                <w:sz w:val="24"/>
                <w:szCs w:val="24"/>
              </w:rPr>
            </w:pPr>
            <w:r w:rsidRPr="00C3334F">
              <w:rPr>
                <w:rFonts w:ascii="Times New Roman" w:hAnsi="Times New Roman"/>
                <w:b/>
                <w:bCs/>
                <w:color w:val="000000"/>
                <w:kern w:val="0"/>
                <w:sz w:val="24"/>
                <w:szCs w:val="24"/>
              </w:rPr>
              <w:t>Question 3</w:t>
            </w:r>
          </w:p>
        </w:tc>
        <w:tc>
          <w:tcPr>
            <w:tcW w:w="2082" w:type="dxa"/>
            <w:tcBorders>
              <w:top w:val="single" w:sz="4" w:space="0" w:color="000000"/>
              <w:left w:val="nil"/>
              <w:bottom w:val="single" w:sz="4" w:space="0" w:color="000000"/>
              <w:right w:val="single" w:sz="4" w:space="0" w:color="000000"/>
            </w:tcBorders>
            <w:vAlign w:val="center"/>
          </w:tcPr>
          <w:p w:rsidR="00915D79" w:rsidRPr="00C3334F" w:rsidRDefault="00915D79" w:rsidP="006401D9">
            <w:pPr>
              <w:widowControl/>
              <w:jc w:val="center"/>
              <w:rPr>
                <w:rFonts w:ascii="Times New Roman" w:hAnsi="Times New Roman"/>
                <w:b/>
                <w:bCs/>
                <w:color w:val="000000"/>
                <w:kern w:val="0"/>
                <w:sz w:val="24"/>
                <w:szCs w:val="24"/>
              </w:rPr>
            </w:pPr>
            <w:r w:rsidRPr="00C3334F">
              <w:rPr>
                <w:rFonts w:ascii="Times New Roman" w:hAnsi="Times New Roman"/>
                <w:b/>
                <w:bCs/>
                <w:color w:val="000000"/>
                <w:kern w:val="0"/>
                <w:sz w:val="24"/>
                <w:szCs w:val="24"/>
              </w:rPr>
              <w:t>Question 4</w:t>
            </w:r>
          </w:p>
        </w:tc>
      </w:tr>
      <w:tr w:rsidR="00915D79" w:rsidRPr="00C3334F" w:rsidTr="00754196">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No.</w:t>
            </w:r>
          </w:p>
        </w:tc>
        <w:tc>
          <w:tcPr>
            <w:tcW w:w="2027" w:type="dxa"/>
            <w:tcBorders>
              <w:top w:val="single" w:sz="4" w:space="0" w:color="000000"/>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Branches</w:t>
            </w:r>
          </w:p>
        </w:tc>
        <w:tc>
          <w:tcPr>
            <w:tcW w:w="1800" w:type="dxa"/>
            <w:tcBorders>
              <w:top w:val="single" w:sz="4" w:space="0" w:color="000000"/>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sz w:val="24"/>
                <w:szCs w:val="24"/>
              </w:rPr>
            </w:pPr>
            <w:r w:rsidRPr="00754196">
              <w:rPr>
                <w:rFonts w:ascii="Times New Roman" w:hAnsi="Times New Roman"/>
                <w:sz w:val="24"/>
                <w:szCs w:val="24"/>
              </w:rPr>
              <w:t>Loan Scale Allocation</w:t>
            </w:r>
          </w:p>
        </w:tc>
        <w:tc>
          <w:tcPr>
            <w:tcW w:w="2265" w:type="dxa"/>
            <w:tcBorders>
              <w:top w:val="single" w:sz="4" w:space="0" w:color="000000"/>
              <w:left w:val="nil"/>
              <w:bottom w:val="single" w:sz="4" w:space="0" w:color="000000"/>
              <w:right w:val="single" w:sz="4" w:space="0" w:color="000000"/>
            </w:tcBorders>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sz w:val="24"/>
                <w:szCs w:val="24"/>
              </w:rPr>
              <w:t>Loan Scale Allocation</w:t>
            </w:r>
          </w:p>
        </w:tc>
        <w:tc>
          <w:tcPr>
            <w:tcW w:w="2082" w:type="dxa"/>
            <w:tcBorders>
              <w:top w:val="single" w:sz="4" w:space="0" w:color="000000"/>
              <w:left w:val="nil"/>
              <w:bottom w:val="single" w:sz="4" w:space="0" w:color="000000"/>
              <w:right w:val="single" w:sz="4" w:space="0" w:color="000000"/>
            </w:tcBorders>
            <w:vAlign w:val="center"/>
          </w:tcPr>
          <w:p w:rsidR="00915D79" w:rsidRPr="00754196" w:rsidRDefault="00915D79" w:rsidP="00897E2C">
            <w:pPr>
              <w:widowControl/>
              <w:jc w:val="center"/>
              <w:rPr>
                <w:rFonts w:ascii="Times New Roman" w:hAnsi="Times New Roman"/>
                <w:bCs/>
                <w:color w:val="000000"/>
                <w:kern w:val="0"/>
                <w:sz w:val="24"/>
                <w:szCs w:val="24"/>
              </w:rPr>
            </w:pPr>
            <w:r w:rsidRPr="00754196">
              <w:rPr>
                <w:rFonts w:ascii="Times New Roman" w:hAnsi="Times New Roman"/>
                <w:sz w:val="24"/>
                <w:szCs w:val="24"/>
              </w:rPr>
              <w:t xml:space="preserve">Provision funds for 2018   </w:t>
            </w:r>
            <w:r w:rsidRPr="00754196">
              <w:rPr>
                <w:rFonts w:ascii="Times New Roman" w:hAnsi="Times New Roman"/>
                <w:bCs/>
                <w:color w:val="000000"/>
                <w:kern w:val="0"/>
                <w:sz w:val="24"/>
                <w:szCs w:val="24"/>
              </w:rPr>
              <w:t xml:space="preserve">   </w:t>
            </w: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1</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City">
                <w:r w:rsidRPr="00754196">
                  <w:rPr>
                    <w:rFonts w:ascii="Times New Roman" w:hAnsi="Times New Roman"/>
                    <w:bCs/>
                    <w:color w:val="000000"/>
                    <w:kern w:val="0"/>
                    <w:sz w:val="24"/>
                    <w:szCs w:val="24"/>
                  </w:rPr>
                  <w:t>Beijing</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2</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Jiangsu</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3</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Guangdong</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4</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Zhejiang</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5</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City">
                <w:r w:rsidRPr="00754196">
                  <w:rPr>
                    <w:rFonts w:ascii="Times New Roman" w:hAnsi="Times New Roman"/>
                    <w:bCs/>
                    <w:color w:val="000000"/>
                    <w:kern w:val="0"/>
                    <w:sz w:val="24"/>
                    <w:szCs w:val="24"/>
                  </w:rPr>
                  <w:t>Shanghai</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6</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Shandong</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7</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Henan</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8</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Hubei</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9</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Anhui</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10</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Sichuan</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11</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Liaoning</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12</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Hebei</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13</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City">
                <w:r w:rsidRPr="00754196">
                  <w:rPr>
                    <w:rFonts w:ascii="Times New Roman" w:hAnsi="Times New Roman"/>
                    <w:bCs/>
                    <w:color w:val="000000"/>
                    <w:kern w:val="0"/>
                    <w:sz w:val="24"/>
                    <w:szCs w:val="24"/>
                  </w:rPr>
                  <w:t>Chongqing</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14</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Hunan</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15</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Shanxi</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16</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Shaanxi</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17</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City">
                <w:r w:rsidRPr="00754196">
                  <w:rPr>
                    <w:rFonts w:ascii="Times New Roman" w:hAnsi="Times New Roman"/>
                    <w:bCs/>
                    <w:color w:val="000000"/>
                    <w:kern w:val="0"/>
                    <w:sz w:val="24"/>
                    <w:szCs w:val="24"/>
                  </w:rPr>
                  <w:t>Tianj</w:t>
                </w:r>
                <w:bookmarkStart w:id="2" w:name="_GoBack"/>
                <w:bookmarkEnd w:id="2"/>
                <w:r w:rsidRPr="00754196">
                  <w:rPr>
                    <w:rFonts w:ascii="Times New Roman" w:hAnsi="Times New Roman"/>
                    <w:bCs/>
                    <w:color w:val="000000"/>
                    <w:kern w:val="0"/>
                    <w:sz w:val="24"/>
                    <w:szCs w:val="24"/>
                  </w:rPr>
                  <w:t>in</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18</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Guangxi</w:t>
            </w:r>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19</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Jilin</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20</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Yunnan</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21</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Fujian</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22</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Jiangxi</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23</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Heilongjiang</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24</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Xinjiang</w:t>
            </w:r>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25</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Guizhou</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26</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Gansu</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27</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r w:rsidRPr="00754196">
                <w:rPr>
                  <w:rFonts w:ascii="Times New Roman" w:hAnsi="Times New Roman"/>
                  <w:bCs/>
                  <w:color w:val="000000"/>
                  <w:kern w:val="0"/>
                  <w:sz w:val="24"/>
                  <w:szCs w:val="24"/>
                </w:rPr>
                <w:t>Hainan</w:t>
              </w:r>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28</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r w:rsidRPr="00754196">
                <w:rPr>
                  <w:rFonts w:ascii="Times New Roman" w:hAnsi="Times New Roman"/>
                  <w:bCs/>
                  <w:color w:val="000000"/>
                  <w:kern w:val="0"/>
                  <w:sz w:val="24"/>
                  <w:szCs w:val="24"/>
                </w:rPr>
                <w:t>Inner Mongolia</w:t>
              </w:r>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29</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Ningxia</w:t>
            </w:r>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720" w:type="dxa"/>
            <w:tcBorders>
              <w:top w:val="nil"/>
              <w:left w:val="single" w:sz="4" w:space="0" w:color="000000"/>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30</w:t>
            </w:r>
          </w:p>
        </w:tc>
        <w:tc>
          <w:tcPr>
            <w:tcW w:w="2027" w:type="dxa"/>
            <w:tcBorders>
              <w:top w:val="nil"/>
              <w:left w:val="nil"/>
              <w:bottom w:val="single" w:sz="4" w:space="0" w:color="000000"/>
              <w:right w:val="single" w:sz="4" w:space="0" w:color="000000"/>
            </w:tcBorders>
            <w:vAlign w:val="center"/>
          </w:tcPr>
          <w:p w:rsidR="00915D79" w:rsidRPr="00754196" w:rsidRDefault="00915D79" w:rsidP="005518D8">
            <w:pPr>
              <w:widowControl/>
              <w:jc w:val="center"/>
              <w:rPr>
                <w:rFonts w:ascii="Times New Roman" w:hAnsi="Times New Roman"/>
                <w:bCs/>
                <w:color w:val="000000"/>
                <w:kern w:val="0"/>
                <w:sz w:val="24"/>
                <w:szCs w:val="24"/>
              </w:rPr>
            </w:pPr>
            <w:smartTag w:uri="urn:schemas-microsoft-com:office:smarttags" w:element="place">
              <w:smartTag w:uri="urn:schemas-microsoft-com:office:smarttags" w:element="State">
                <w:r w:rsidRPr="00754196">
                  <w:rPr>
                    <w:rFonts w:ascii="Times New Roman" w:hAnsi="Times New Roman"/>
                    <w:bCs/>
                    <w:color w:val="000000"/>
                    <w:kern w:val="0"/>
                    <w:sz w:val="24"/>
                    <w:szCs w:val="24"/>
                  </w:rPr>
                  <w:t>Qinghai</w:t>
                </w:r>
              </w:smartTag>
            </w:smartTag>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r w:rsidRPr="00754196">
              <w:rPr>
                <w:rFonts w:ascii="Times New Roman" w:hAnsi="Times New Roman" w:hint="eastAsia"/>
                <w:color w:val="000000"/>
                <w:kern w:val="0"/>
                <w:sz w:val="24"/>
                <w:szCs w:val="24"/>
              </w:rPr>
              <w:t xml:space="preserve">　</w:t>
            </w: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r w:rsidR="00915D79" w:rsidRPr="00C3334F" w:rsidTr="00754196">
        <w:trPr>
          <w:trHeight w:val="270"/>
          <w:jc w:val="center"/>
        </w:trPr>
        <w:tc>
          <w:tcPr>
            <w:tcW w:w="2747" w:type="dxa"/>
            <w:gridSpan w:val="2"/>
            <w:tcBorders>
              <w:top w:val="nil"/>
              <w:left w:val="single" w:sz="4" w:space="0" w:color="000000"/>
              <w:bottom w:val="single" w:sz="4" w:space="0" w:color="000000"/>
              <w:right w:val="single" w:sz="4" w:space="0" w:color="000000"/>
            </w:tcBorders>
            <w:vAlign w:val="center"/>
          </w:tcPr>
          <w:p w:rsidR="00915D79" w:rsidRPr="00754196" w:rsidRDefault="00915D79" w:rsidP="004B1FFA">
            <w:pPr>
              <w:widowControl/>
              <w:jc w:val="center"/>
              <w:rPr>
                <w:rFonts w:ascii="Times New Roman" w:hAnsi="Times New Roman"/>
                <w:bCs/>
                <w:color w:val="000000"/>
                <w:kern w:val="0"/>
                <w:sz w:val="24"/>
                <w:szCs w:val="24"/>
              </w:rPr>
            </w:pPr>
            <w:r w:rsidRPr="00754196">
              <w:rPr>
                <w:rFonts w:ascii="Times New Roman" w:hAnsi="Times New Roman"/>
                <w:bCs/>
                <w:color w:val="000000"/>
                <w:kern w:val="0"/>
                <w:sz w:val="24"/>
                <w:szCs w:val="24"/>
              </w:rPr>
              <w:t>Total branch</w:t>
            </w:r>
          </w:p>
        </w:tc>
        <w:tc>
          <w:tcPr>
            <w:tcW w:w="1800" w:type="dxa"/>
            <w:tcBorders>
              <w:top w:val="nil"/>
              <w:left w:val="nil"/>
              <w:bottom w:val="single" w:sz="4" w:space="0" w:color="000000"/>
              <w:right w:val="single" w:sz="4" w:space="0" w:color="000000"/>
            </w:tcBorders>
            <w:vAlign w:val="center"/>
          </w:tcPr>
          <w:p w:rsidR="00915D79" w:rsidRPr="00754196" w:rsidRDefault="00915D79" w:rsidP="005518D8">
            <w:pPr>
              <w:widowControl/>
              <w:jc w:val="right"/>
              <w:rPr>
                <w:rFonts w:ascii="Times New Roman" w:hAnsi="Times New Roman"/>
                <w:color w:val="000000"/>
                <w:kern w:val="0"/>
                <w:sz w:val="24"/>
                <w:szCs w:val="24"/>
              </w:rPr>
            </w:pPr>
          </w:p>
        </w:tc>
        <w:tc>
          <w:tcPr>
            <w:tcW w:w="2265"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c>
          <w:tcPr>
            <w:tcW w:w="2082" w:type="dxa"/>
            <w:tcBorders>
              <w:top w:val="nil"/>
              <w:left w:val="nil"/>
              <w:bottom w:val="single" w:sz="4" w:space="0" w:color="000000"/>
              <w:right w:val="single" w:sz="4" w:space="0" w:color="000000"/>
            </w:tcBorders>
          </w:tcPr>
          <w:p w:rsidR="00915D79" w:rsidRPr="00754196" w:rsidRDefault="00915D79" w:rsidP="005518D8">
            <w:pPr>
              <w:widowControl/>
              <w:jc w:val="right"/>
              <w:rPr>
                <w:rFonts w:ascii="Times New Roman" w:hAnsi="Times New Roman"/>
                <w:color w:val="000000"/>
                <w:kern w:val="0"/>
                <w:sz w:val="24"/>
                <w:szCs w:val="24"/>
              </w:rPr>
            </w:pPr>
          </w:p>
        </w:tc>
      </w:tr>
    </w:tbl>
    <w:p w:rsidR="00915D79" w:rsidRPr="00C3334F" w:rsidRDefault="00915D79" w:rsidP="004E041C">
      <w:pPr>
        <w:rPr>
          <w:rFonts w:ascii="Times New Roman" w:hAnsi="Times New Roman"/>
          <w:szCs w:val="21"/>
        </w:rPr>
      </w:pPr>
    </w:p>
    <w:p w:rsidR="00915D79" w:rsidRPr="00C3334F" w:rsidRDefault="00915D79">
      <w:pPr>
        <w:rPr>
          <w:rFonts w:ascii="Times New Roman" w:hAnsi="Times New Roman"/>
          <w:szCs w:val="21"/>
        </w:rPr>
      </w:pPr>
    </w:p>
    <w:sectPr w:rsidR="00915D79" w:rsidRPr="00C3334F" w:rsidSect="004A3DD9">
      <w:footerReference w:type="default" r:id="rId7"/>
      <w:pgSz w:w="11906" w:h="16838"/>
      <w:pgMar w:top="1440" w:right="851" w:bottom="1440" w:left="85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D79" w:rsidRDefault="00915D79" w:rsidP="00C61D8F">
      <w:r>
        <w:separator/>
      </w:r>
    </w:p>
  </w:endnote>
  <w:endnote w:type="continuationSeparator" w:id="0">
    <w:p w:rsidR="00915D79" w:rsidRDefault="00915D79" w:rsidP="00C61D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D79" w:rsidRDefault="00915D79">
    <w:pPr>
      <w:pStyle w:val="Footer"/>
      <w:jc w:val="cen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sidRPr="00903382">
      <w:rPr>
        <w:noProof/>
        <w:sz w:val="24"/>
        <w:szCs w:val="24"/>
        <w:lang w:val="zh-CN"/>
      </w:rPr>
      <w:t>1</w:t>
    </w:r>
    <w:r>
      <w:rPr>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D79" w:rsidRDefault="00915D79" w:rsidP="00C61D8F">
      <w:r>
        <w:separator/>
      </w:r>
    </w:p>
  </w:footnote>
  <w:footnote w:type="continuationSeparator" w:id="0">
    <w:p w:rsidR="00915D79" w:rsidRDefault="00915D79" w:rsidP="00C61D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ulTrailSpace/>
    <w:doNotExpandShiftReturn/>
    <w:adjustLineHeightInTable/>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1D8F"/>
    <w:rsid w:val="0000533C"/>
    <w:rsid w:val="00014C7D"/>
    <w:rsid w:val="00021BB5"/>
    <w:rsid w:val="00157A51"/>
    <w:rsid w:val="0016039E"/>
    <w:rsid w:val="0017774D"/>
    <w:rsid w:val="001C773C"/>
    <w:rsid w:val="00213B16"/>
    <w:rsid w:val="00215AE6"/>
    <w:rsid w:val="00221E44"/>
    <w:rsid w:val="00267657"/>
    <w:rsid w:val="00274CDF"/>
    <w:rsid w:val="00286BF7"/>
    <w:rsid w:val="002D6DE7"/>
    <w:rsid w:val="00323F83"/>
    <w:rsid w:val="00347CB9"/>
    <w:rsid w:val="00350C66"/>
    <w:rsid w:val="003D24F1"/>
    <w:rsid w:val="003E3821"/>
    <w:rsid w:val="00405249"/>
    <w:rsid w:val="00414CBA"/>
    <w:rsid w:val="00423661"/>
    <w:rsid w:val="00427FCB"/>
    <w:rsid w:val="00456FF8"/>
    <w:rsid w:val="004811DA"/>
    <w:rsid w:val="004A3DD9"/>
    <w:rsid w:val="004B1FFA"/>
    <w:rsid w:val="004E041C"/>
    <w:rsid w:val="004E3DEA"/>
    <w:rsid w:val="005051ED"/>
    <w:rsid w:val="00526711"/>
    <w:rsid w:val="005468FF"/>
    <w:rsid w:val="005518D8"/>
    <w:rsid w:val="005E6632"/>
    <w:rsid w:val="006401D9"/>
    <w:rsid w:val="006A7E65"/>
    <w:rsid w:val="006D44BB"/>
    <w:rsid w:val="006E23EE"/>
    <w:rsid w:val="007217E6"/>
    <w:rsid w:val="0073565C"/>
    <w:rsid w:val="0075270A"/>
    <w:rsid w:val="00754172"/>
    <w:rsid w:val="00754196"/>
    <w:rsid w:val="007B665B"/>
    <w:rsid w:val="007E41DE"/>
    <w:rsid w:val="0085396E"/>
    <w:rsid w:val="00873DFC"/>
    <w:rsid w:val="00897E2C"/>
    <w:rsid w:val="008C5CC6"/>
    <w:rsid w:val="008F3EEA"/>
    <w:rsid w:val="00903382"/>
    <w:rsid w:val="00915D79"/>
    <w:rsid w:val="00923B18"/>
    <w:rsid w:val="00947A44"/>
    <w:rsid w:val="0099469F"/>
    <w:rsid w:val="009966F0"/>
    <w:rsid w:val="009B2570"/>
    <w:rsid w:val="009C396B"/>
    <w:rsid w:val="009D5C77"/>
    <w:rsid w:val="009E5BDF"/>
    <w:rsid w:val="00A32059"/>
    <w:rsid w:val="00A80979"/>
    <w:rsid w:val="00AA194F"/>
    <w:rsid w:val="00AB1BF9"/>
    <w:rsid w:val="00AD0E5D"/>
    <w:rsid w:val="00AF0E2D"/>
    <w:rsid w:val="00B66008"/>
    <w:rsid w:val="00B7332B"/>
    <w:rsid w:val="00BF0938"/>
    <w:rsid w:val="00C2046A"/>
    <w:rsid w:val="00C3334F"/>
    <w:rsid w:val="00C426A0"/>
    <w:rsid w:val="00C61D8F"/>
    <w:rsid w:val="00C842FA"/>
    <w:rsid w:val="00DA3F97"/>
    <w:rsid w:val="00DA4717"/>
    <w:rsid w:val="00E0735B"/>
    <w:rsid w:val="00E30780"/>
    <w:rsid w:val="00E73642"/>
    <w:rsid w:val="00E76301"/>
    <w:rsid w:val="00E94352"/>
    <w:rsid w:val="00EA0D85"/>
    <w:rsid w:val="00EB3B67"/>
    <w:rsid w:val="00EB696C"/>
    <w:rsid w:val="00EE10D8"/>
    <w:rsid w:val="00F57480"/>
    <w:rsid w:val="00FB0C45"/>
    <w:rsid w:val="00FE4D0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D8F"/>
    <w:pPr>
      <w:widowControl w:val="0"/>
      <w:jc w:val="both"/>
    </w:pPr>
    <w:rPr>
      <w:rFonts w:ascii="Calibri" w:hAnsi="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出段落1"/>
    <w:basedOn w:val="Normal"/>
    <w:uiPriority w:val="99"/>
    <w:rsid w:val="00C61D8F"/>
    <w:pPr>
      <w:ind w:firstLineChars="200" w:firstLine="200"/>
    </w:pPr>
  </w:style>
  <w:style w:type="paragraph" w:styleId="Header">
    <w:name w:val="header"/>
    <w:basedOn w:val="Normal"/>
    <w:link w:val="HeaderChar"/>
    <w:uiPriority w:val="99"/>
    <w:rsid w:val="00C61D8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52539"/>
    <w:rPr>
      <w:rFonts w:ascii="Calibri" w:hAnsi="Calibri"/>
      <w:sz w:val="18"/>
      <w:szCs w:val="18"/>
    </w:rPr>
  </w:style>
  <w:style w:type="paragraph" w:styleId="Footer">
    <w:name w:val="footer"/>
    <w:basedOn w:val="Normal"/>
    <w:link w:val="FooterChar"/>
    <w:uiPriority w:val="99"/>
    <w:rsid w:val="00C61D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52539"/>
    <w:rPr>
      <w:rFonts w:ascii="Calibri" w:hAnsi="Calibri"/>
      <w:sz w:val="18"/>
      <w:szCs w:val="18"/>
    </w:rPr>
  </w:style>
  <w:style w:type="paragraph" w:customStyle="1" w:styleId="reader-word-layer">
    <w:name w:val="reader-word-layer"/>
    <w:basedOn w:val="Normal"/>
    <w:uiPriority w:val="99"/>
    <w:rsid w:val="00C61D8F"/>
    <w:pPr>
      <w:widowControl/>
      <w:spacing w:before="100" w:beforeAutospacing="1" w:after="100" w:afterAutospacing="1"/>
      <w:jc w:val="left"/>
    </w:pPr>
    <w:rPr>
      <w:rFonts w:ascii="宋体" w:cs="宋体"/>
      <w:kern w:val="0"/>
      <w:sz w:val="24"/>
      <w:szCs w:val="24"/>
    </w:rPr>
  </w:style>
  <w:style w:type="character" w:styleId="Hyperlink">
    <w:name w:val="Hyperlink"/>
    <w:basedOn w:val="DefaultParagraphFont"/>
    <w:uiPriority w:val="99"/>
    <w:rsid w:val="00C61D8F"/>
    <w:rPr>
      <w:rFonts w:cs="Times New Roman"/>
      <w:color w:val="0000FF"/>
      <w:u w:val="single"/>
    </w:rPr>
  </w:style>
  <w:style w:type="paragraph" w:styleId="BalloonText">
    <w:name w:val="Balloon Text"/>
    <w:basedOn w:val="Normal"/>
    <w:link w:val="BalloonTextChar"/>
    <w:uiPriority w:val="99"/>
    <w:rsid w:val="00C61D8F"/>
    <w:rPr>
      <w:sz w:val="18"/>
      <w:szCs w:val="18"/>
    </w:rPr>
  </w:style>
  <w:style w:type="character" w:customStyle="1" w:styleId="BalloonTextChar">
    <w:name w:val="Balloon Text Char"/>
    <w:basedOn w:val="DefaultParagraphFont"/>
    <w:link w:val="BalloonText"/>
    <w:uiPriority w:val="99"/>
    <w:semiHidden/>
    <w:rsid w:val="00852539"/>
    <w:rPr>
      <w:rFonts w:ascii="Calibri" w:hAnsi="Calibri"/>
      <w:sz w:val="0"/>
      <w:szCs w:val="0"/>
    </w:rPr>
  </w:style>
  <w:style w:type="character" w:customStyle="1" w:styleId="apple-converted-space">
    <w:name w:val="apple-converted-space"/>
    <w:basedOn w:val="DefaultParagraphFont"/>
    <w:uiPriority w:val="99"/>
    <w:rsid w:val="008C5CC6"/>
    <w:rPr>
      <w:rFonts w:cs="Times New Roman"/>
    </w:rPr>
  </w:style>
  <w:style w:type="paragraph" w:customStyle="1" w:styleId="Default">
    <w:name w:val="Default"/>
    <w:uiPriority w:val="99"/>
    <w:rsid w:val="00C3334F"/>
    <w:pPr>
      <w:widowControl w:val="0"/>
      <w:autoSpaceDE w:val="0"/>
      <w:autoSpaceDN w:val="0"/>
      <w:adjustRightInd w:val="0"/>
    </w:pPr>
    <w:rPr>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n.bing.com/dict/search?q=resolved&amp;FORM=BDVSP6&amp;mkt=zh-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111</TotalTime>
  <Pages>3</Pages>
  <Words>922</Words>
  <Characters>5262</Characters>
  <Application>Microsoft Office Outlook</Application>
  <DocSecurity>0</DocSecurity>
  <Lines>0</Lines>
  <Paragraphs>0</Paragraphs>
  <ScaleCrop>false</ScaleCrop>
  <Company>BOCOM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微软中国</cp:lastModifiedBy>
  <cp:revision>24</cp:revision>
  <dcterms:created xsi:type="dcterms:W3CDTF">2018-04-25T01:01:00Z</dcterms:created>
  <dcterms:modified xsi:type="dcterms:W3CDTF">2018-04-28T15:08:00Z</dcterms:modified>
</cp:coreProperties>
</file>