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A837" w14:textId="77777777" w:rsidR="00057AA0" w:rsidRDefault="00057AA0" w:rsidP="00057AA0">
      <w:pPr>
        <w:rPr>
          <w:rFonts w:ascii="Aptos" w:hAnsi="Aptos"/>
        </w:rPr>
      </w:pPr>
      <w:r>
        <w:rPr>
          <w:rFonts w:ascii="Aptos" w:hAnsi="Aptos"/>
        </w:rPr>
        <w:t xml:space="preserve">See below for a detailed summary… you can tell why I wanted to get this written up.  I’ll send a response shortly with an example relating to Tank 639 since it appears we need to look at that closely. </w:t>
      </w:r>
    </w:p>
    <w:p w14:paraId="3BB30EBD" w14:textId="77777777" w:rsidR="00057AA0" w:rsidRDefault="00057AA0" w:rsidP="00057AA0">
      <w:pPr>
        <w:rPr>
          <w:rFonts w:ascii="Aptos" w:hAnsi="Aptos"/>
        </w:rPr>
      </w:pPr>
    </w:p>
    <w:p w14:paraId="5F492A72" w14:textId="77777777" w:rsidR="00057AA0" w:rsidRDefault="00057AA0" w:rsidP="00057AA0">
      <w:pPr>
        <w:rPr>
          <w:rFonts w:ascii="Aptos" w:hAnsi="Aptos"/>
        </w:rPr>
      </w:pPr>
      <w:r>
        <w:rPr>
          <w:rFonts w:ascii="Aptos" w:hAnsi="Aptos"/>
        </w:rPr>
        <w:t>A. NSR – Determine altered/modified status for existing units (under Rule 2-1)</w:t>
      </w:r>
    </w:p>
    <w:p w14:paraId="14EE43B0" w14:textId="77777777" w:rsidR="00057AA0" w:rsidRDefault="00057AA0" w:rsidP="00057AA0">
      <w:pPr>
        <w:pStyle w:val="ListParagraph"/>
        <w:numPr>
          <w:ilvl w:val="0"/>
          <w:numId w:val="1"/>
        </w:numPr>
        <w:contextualSpacing w:val="0"/>
        <w:rPr>
          <w:rFonts w:ascii="Aptos" w:eastAsia="Times New Roman" w:hAnsi="Aptos"/>
        </w:rPr>
      </w:pPr>
      <w:r>
        <w:rPr>
          <w:rFonts w:ascii="Aptos" w:eastAsia="Times New Roman" w:hAnsi="Aptos"/>
        </w:rPr>
        <w:t>If there is a physical change to an emission unit or any reason to expect changes in actual operations, evaluate whether an “alteration” or “modification” occurs on an emission unit basis.</w:t>
      </w:r>
    </w:p>
    <w:p w14:paraId="13A77C79" w14:textId="77777777" w:rsidR="00057AA0" w:rsidRDefault="00057AA0" w:rsidP="00057AA0">
      <w:pPr>
        <w:pStyle w:val="ListParagraph"/>
        <w:numPr>
          <w:ilvl w:val="1"/>
          <w:numId w:val="1"/>
        </w:numPr>
        <w:contextualSpacing w:val="0"/>
        <w:rPr>
          <w:rFonts w:ascii="Aptos" w:eastAsia="Times New Roman" w:hAnsi="Aptos"/>
        </w:rPr>
      </w:pPr>
      <w:r>
        <w:rPr>
          <w:rFonts w:ascii="Aptos" w:eastAsia="Times New Roman" w:hAnsi="Aptos"/>
        </w:rPr>
        <w:t>Note that BAAQMD has broadly interpreted a change in the method of operations in the past. Consider whether there may be an increase in actual or potential emissions, or a change in operations to upstream or downstream units. Examples where BAAQMD has determined a change in the method of operations occurred are</w:t>
      </w:r>
      <w:proofErr w:type="gramStart"/>
      <w:r>
        <w:rPr>
          <w:rFonts w:ascii="Aptos" w:eastAsia="Times New Roman" w:hAnsi="Aptos"/>
        </w:rPr>
        <w:t>:  (</w:t>
      </w:r>
      <w:proofErr w:type="gramEnd"/>
      <w:r>
        <w:rPr>
          <w:rFonts w:ascii="Aptos" w:eastAsia="Times New Roman" w:hAnsi="Aptos"/>
        </w:rPr>
        <w:t>1) process heaters - change in fuel gas composition despite that it will lower S content and heaters will fire at lower rates; (2) spent caustic loading – determined as a change because of facility change from petroleum to renewable processing, though rates decrease significantly</w:t>
      </w:r>
    </w:p>
    <w:p w14:paraId="1B5EF704" w14:textId="58EED2D6" w:rsidR="00057AA0" w:rsidRDefault="00057AA0" w:rsidP="00057AA0">
      <w:pPr>
        <w:pStyle w:val="ListParagraph"/>
        <w:numPr>
          <w:ilvl w:val="1"/>
          <w:numId w:val="1"/>
        </w:numPr>
        <w:contextualSpacing w:val="0"/>
        <w:rPr>
          <w:rFonts w:ascii="Aptos" w:eastAsia="Times New Roman" w:hAnsi="Aptos"/>
        </w:rPr>
      </w:pPr>
      <w:r>
        <w:rPr>
          <w:rFonts w:ascii="Aptos" w:eastAsia="Times New Roman" w:hAnsi="Aptos"/>
        </w:rPr>
        <w:t xml:space="preserve">If no </w:t>
      </w:r>
      <w:r w:rsidR="00837D44">
        <w:rPr>
          <w:rFonts w:ascii="Aptos" w:eastAsia="Times New Roman" w:hAnsi="Aptos"/>
        </w:rPr>
        <w:t>physical change or change in the method of operation</w:t>
      </w:r>
      <w:r>
        <w:rPr>
          <w:rFonts w:ascii="Aptos" w:eastAsia="Times New Roman" w:hAnsi="Aptos"/>
        </w:rPr>
        <w:t xml:space="preserve"> – not altered or modified.  Consider this unit only for the Federal Backstop test</w:t>
      </w:r>
    </w:p>
    <w:p w14:paraId="25370BC1" w14:textId="77777777" w:rsidR="00057AA0" w:rsidRDefault="00057AA0" w:rsidP="00057AA0">
      <w:pPr>
        <w:pStyle w:val="ListParagraph"/>
        <w:numPr>
          <w:ilvl w:val="0"/>
          <w:numId w:val="1"/>
        </w:numPr>
        <w:contextualSpacing w:val="0"/>
        <w:rPr>
          <w:rFonts w:ascii="Aptos" w:eastAsia="Times New Roman" w:hAnsi="Aptos"/>
        </w:rPr>
      </w:pPr>
      <w:r>
        <w:rPr>
          <w:rFonts w:ascii="Aptos" w:eastAsia="Times New Roman" w:hAnsi="Aptos"/>
        </w:rPr>
        <w:t>Determine the pre-project “PTE”</w:t>
      </w:r>
    </w:p>
    <w:p w14:paraId="4BCAA089" w14:textId="77777777" w:rsidR="00057AA0" w:rsidRDefault="00057AA0" w:rsidP="00057AA0">
      <w:pPr>
        <w:pStyle w:val="ListParagraph"/>
        <w:numPr>
          <w:ilvl w:val="1"/>
          <w:numId w:val="1"/>
        </w:numPr>
        <w:contextualSpacing w:val="0"/>
        <w:rPr>
          <w:rFonts w:eastAsia="Times New Roman"/>
        </w:rPr>
      </w:pPr>
      <w:r>
        <w:rPr>
          <w:rFonts w:eastAsia="Times New Roman"/>
        </w:rPr>
        <w:t xml:space="preserve">For sources with “firm” or “NSR” limits in the permit, PTE is defined using existing limits and supplemented with design information.  </w:t>
      </w:r>
    </w:p>
    <w:p w14:paraId="377D952A" w14:textId="77777777" w:rsidR="00057AA0" w:rsidRDefault="00057AA0" w:rsidP="00057AA0">
      <w:pPr>
        <w:pStyle w:val="ListParagraph"/>
        <w:numPr>
          <w:ilvl w:val="1"/>
          <w:numId w:val="1"/>
        </w:numPr>
        <w:contextualSpacing w:val="0"/>
        <w:rPr>
          <w:rFonts w:eastAsia="Times New Roman"/>
        </w:rPr>
      </w:pPr>
      <w:r>
        <w:rPr>
          <w:rFonts w:eastAsia="Times New Roman"/>
        </w:rPr>
        <w:t>For sources without firm limits (i.e., grandfathered sources), PTE is not defined as clearly. BAAQMD policy (attached) has been to use the highest daily and annual past actual rates to define PTE. Gather daily data dating back as far in history as data is available to determine daily &amp; annual max achieved.  Calculate emissions using those maximum rates (assuming the highest emissions are associated with highest throughputs – typically true but could consider also gathering daily emissions data if it determined using monitoring data)</w:t>
      </w:r>
    </w:p>
    <w:p w14:paraId="67D04D96" w14:textId="77777777" w:rsidR="00057AA0" w:rsidRDefault="00057AA0" w:rsidP="00057AA0">
      <w:pPr>
        <w:pStyle w:val="ListParagraph"/>
        <w:numPr>
          <w:ilvl w:val="1"/>
          <w:numId w:val="1"/>
        </w:numPr>
        <w:contextualSpacing w:val="0"/>
        <w:rPr>
          <w:rFonts w:ascii="Aptos" w:eastAsia="Times New Roman" w:hAnsi="Aptos"/>
        </w:rPr>
      </w:pPr>
      <w:r>
        <w:rPr>
          <w:rFonts w:ascii="Aptos" w:eastAsia="Times New Roman" w:hAnsi="Aptos"/>
        </w:rPr>
        <w:t xml:space="preserve">Note that BAAQMD has been requesting actual operating data even for sources with firm/NSR limits to “prove” the permitted maximums are achievable and that the units are not bottlenecked by another part of the facility.  However, they have not required use of this actual data in place of pre-project PTE to date. </w:t>
      </w:r>
    </w:p>
    <w:p w14:paraId="77FD45A2" w14:textId="2B29CEC0" w:rsidR="00837D44" w:rsidRDefault="00837D44" w:rsidP="00057AA0">
      <w:pPr>
        <w:pStyle w:val="ListParagraph"/>
        <w:numPr>
          <w:ilvl w:val="1"/>
          <w:numId w:val="1"/>
        </w:numPr>
        <w:contextualSpacing w:val="0"/>
        <w:rPr>
          <w:rFonts w:ascii="Aptos" w:eastAsia="Times New Roman" w:hAnsi="Aptos"/>
        </w:rPr>
      </w:pPr>
      <w:r>
        <w:rPr>
          <w:rFonts w:ascii="Aptos" w:eastAsia="Times New Roman" w:hAnsi="Aptos"/>
        </w:rPr>
        <w:t>Consider each material, if multiple materials or operating scenarios are involved such as for storage tanks.</w:t>
      </w:r>
    </w:p>
    <w:p w14:paraId="3D3D71D2" w14:textId="77777777" w:rsidR="00057AA0" w:rsidRDefault="00057AA0" w:rsidP="00057AA0">
      <w:pPr>
        <w:pStyle w:val="ListParagraph"/>
        <w:numPr>
          <w:ilvl w:val="0"/>
          <w:numId w:val="1"/>
        </w:numPr>
        <w:contextualSpacing w:val="0"/>
        <w:rPr>
          <w:rFonts w:ascii="Aptos" w:eastAsia="Times New Roman" w:hAnsi="Aptos"/>
        </w:rPr>
      </w:pPr>
      <w:r>
        <w:rPr>
          <w:rFonts w:ascii="Aptos" w:eastAsia="Times New Roman" w:hAnsi="Aptos"/>
        </w:rPr>
        <w:t>Determine the post-project PTE</w:t>
      </w:r>
    </w:p>
    <w:p w14:paraId="79446891" w14:textId="1736709B" w:rsidR="00057AA0" w:rsidRDefault="00057AA0" w:rsidP="00057AA0">
      <w:pPr>
        <w:pStyle w:val="ListParagraph"/>
        <w:numPr>
          <w:ilvl w:val="1"/>
          <w:numId w:val="1"/>
        </w:numPr>
        <w:contextualSpacing w:val="0"/>
        <w:rPr>
          <w:rFonts w:ascii="Aptos" w:eastAsia="Times New Roman" w:hAnsi="Aptos"/>
        </w:rPr>
      </w:pPr>
      <w:r>
        <w:rPr>
          <w:rFonts w:ascii="Aptos" w:eastAsia="Times New Roman" w:hAnsi="Aptos"/>
        </w:rPr>
        <w:t>If there are multiple operating scenarios (e.g., tanks with multiple stored materials), look at each scenario and find worst case.</w:t>
      </w:r>
      <w:r w:rsidR="00837D44">
        <w:rPr>
          <w:rFonts w:ascii="Aptos" w:eastAsia="Times New Roman" w:hAnsi="Aptos"/>
        </w:rPr>
        <w:t xml:space="preserve"> Look at both maximum daily and maximum annual operations.</w:t>
      </w:r>
    </w:p>
    <w:p w14:paraId="506C765D" w14:textId="77777777" w:rsidR="00057AA0" w:rsidRDefault="00057AA0" w:rsidP="00057AA0">
      <w:pPr>
        <w:pStyle w:val="ListParagraph"/>
        <w:numPr>
          <w:ilvl w:val="0"/>
          <w:numId w:val="1"/>
        </w:numPr>
        <w:contextualSpacing w:val="0"/>
        <w:rPr>
          <w:rFonts w:ascii="Aptos" w:eastAsia="Times New Roman" w:hAnsi="Aptos"/>
        </w:rPr>
      </w:pPr>
      <w:r>
        <w:rPr>
          <w:rFonts w:ascii="Aptos" w:eastAsia="Times New Roman" w:hAnsi="Aptos"/>
        </w:rPr>
        <w:t>Compare pre-project and post-project PTE</w:t>
      </w:r>
    </w:p>
    <w:p w14:paraId="2DCD8D42" w14:textId="748214FF" w:rsidR="00837D44" w:rsidRPr="00837D44" w:rsidRDefault="00057AA0" w:rsidP="00837D44">
      <w:pPr>
        <w:pStyle w:val="ListParagraph"/>
        <w:numPr>
          <w:ilvl w:val="1"/>
          <w:numId w:val="1"/>
        </w:numPr>
        <w:contextualSpacing w:val="0"/>
        <w:rPr>
          <w:rFonts w:ascii="Aptos" w:eastAsia="Times New Roman" w:hAnsi="Aptos"/>
        </w:rPr>
      </w:pPr>
      <w:r>
        <w:rPr>
          <w:rFonts w:ascii="Aptos" w:eastAsia="Times New Roman" w:hAnsi="Aptos"/>
        </w:rPr>
        <w:t xml:space="preserve">If there is an increase – </w:t>
      </w:r>
      <w:r w:rsidR="00837D44">
        <w:rPr>
          <w:rFonts w:ascii="Aptos" w:eastAsia="Times New Roman" w:hAnsi="Aptos"/>
        </w:rPr>
        <w:t xml:space="preserve">the source is </w:t>
      </w:r>
      <w:r>
        <w:rPr>
          <w:rFonts w:ascii="Aptos" w:eastAsia="Times New Roman" w:hAnsi="Aptos"/>
          <w:b/>
          <w:bCs/>
        </w:rPr>
        <w:t>modified</w:t>
      </w:r>
      <w:r w:rsidR="00547977">
        <w:rPr>
          <w:rFonts w:ascii="Aptos" w:eastAsia="Times New Roman" w:hAnsi="Aptos"/>
          <w:b/>
          <w:bCs/>
        </w:rPr>
        <w:t xml:space="preserve"> per 2-1-234.</w:t>
      </w:r>
    </w:p>
    <w:p w14:paraId="0132BB2C" w14:textId="232B1175" w:rsidR="00837D44" w:rsidRPr="00837D44" w:rsidRDefault="00837D44" w:rsidP="00837D44">
      <w:pPr>
        <w:pStyle w:val="ListParagraph"/>
        <w:numPr>
          <w:ilvl w:val="1"/>
          <w:numId w:val="1"/>
        </w:numPr>
        <w:contextualSpacing w:val="0"/>
        <w:rPr>
          <w:rFonts w:ascii="Aptos" w:eastAsia="Times New Roman" w:hAnsi="Aptos"/>
        </w:rPr>
      </w:pPr>
      <w:r>
        <w:rPr>
          <w:rFonts w:ascii="Aptos" w:eastAsia="Times New Roman" w:hAnsi="Aptos"/>
        </w:rPr>
        <w:t>Consider whether alternate limits can be taken to avoid the increase. For example, “baselining” a grandfathered unit involves taking limits equivalent to what was achieved in the past such that there is no increase. This should be evaluated against the impact of this operational restriction.</w:t>
      </w:r>
    </w:p>
    <w:p w14:paraId="329758CB" w14:textId="77777777" w:rsidR="00057AA0" w:rsidRDefault="00057AA0" w:rsidP="00837D44">
      <w:pPr>
        <w:pStyle w:val="ListParagraph"/>
        <w:numPr>
          <w:ilvl w:val="1"/>
          <w:numId w:val="1"/>
        </w:numPr>
        <w:contextualSpacing w:val="0"/>
        <w:rPr>
          <w:rFonts w:ascii="Aptos" w:eastAsia="Times New Roman" w:hAnsi="Aptos"/>
        </w:rPr>
      </w:pPr>
      <w:r>
        <w:rPr>
          <w:rFonts w:ascii="Aptos" w:eastAsia="Times New Roman" w:hAnsi="Aptos"/>
        </w:rPr>
        <w:t>If there is no increase – further evaluate:</w:t>
      </w:r>
    </w:p>
    <w:p w14:paraId="73364048" w14:textId="77777777" w:rsidR="00057AA0" w:rsidRDefault="00057AA0" w:rsidP="00837D44">
      <w:pPr>
        <w:pStyle w:val="ListParagraph"/>
        <w:numPr>
          <w:ilvl w:val="2"/>
          <w:numId w:val="1"/>
        </w:numPr>
        <w:contextualSpacing w:val="0"/>
        <w:rPr>
          <w:rFonts w:ascii="Aptos" w:eastAsia="Times New Roman" w:hAnsi="Aptos"/>
        </w:rPr>
      </w:pPr>
      <w:r>
        <w:rPr>
          <w:rFonts w:ascii="Aptos" w:eastAsia="Times New Roman" w:hAnsi="Aptos"/>
        </w:rPr>
        <w:t xml:space="preserve">Toxics: </w:t>
      </w:r>
    </w:p>
    <w:p w14:paraId="034CF083" w14:textId="77777777" w:rsidR="00057AA0" w:rsidRDefault="00057AA0" w:rsidP="00837D44">
      <w:pPr>
        <w:pStyle w:val="ListParagraph"/>
        <w:numPr>
          <w:ilvl w:val="3"/>
          <w:numId w:val="1"/>
        </w:numPr>
        <w:contextualSpacing w:val="0"/>
        <w:rPr>
          <w:rFonts w:ascii="Aptos" w:hAnsi="Aptos"/>
        </w:rPr>
      </w:pPr>
      <w:r>
        <w:rPr>
          <w:rFonts w:ascii="Aptos" w:hAnsi="Aptos"/>
        </w:rPr>
        <w:t xml:space="preserve">At 2-1-234.1.3. An individual unit would need to increase cancer risk by &gt; 1 in a million or chronic hazard index by &gt; 0.2 to be considered </w:t>
      </w:r>
      <w:r>
        <w:rPr>
          <w:rFonts w:ascii="Aptos" w:hAnsi="Aptos"/>
        </w:rPr>
        <w:lastRenderedPageBreak/>
        <w:t>modified under Rule 2-1. An increase less than the triggers in Rule 2-5 confirms that NSR is not triggered.</w:t>
      </w:r>
    </w:p>
    <w:p w14:paraId="37BCA693" w14:textId="77777777" w:rsidR="00057AA0" w:rsidRDefault="00057AA0" w:rsidP="00837D44">
      <w:pPr>
        <w:pStyle w:val="ListParagraph"/>
        <w:numPr>
          <w:ilvl w:val="2"/>
          <w:numId w:val="1"/>
        </w:numPr>
        <w:contextualSpacing w:val="0"/>
        <w:rPr>
          <w:rFonts w:ascii="Aptos" w:eastAsia="Times New Roman" w:hAnsi="Aptos"/>
        </w:rPr>
      </w:pPr>
      <w:r>
        <w:rPr>
          <w:rFonts w:ascii="Aptos" w:eastAsia="Times New Roman" w:hAnsi="Aptos"/>
        </w:rPr>
        <w:t xml:space="preserve">PTE is not greater than 5 </w:t>
      </w:r>
      <w:proofErr w:type="spellStart"/>
      <w:r>
        <w:rPr>
          <w:rFonts w:ascii="Aptos" w:eastAsia="Times New Roman" w:hAnsi="Aptos"/>
        </w:rPr>
        <w:t>tpy</w:t>
      </w:r>
      <w:proofErr w:type="spellEnd"/>
      <w:r>
        <w:rPr>
          <w:rFonts w:ascii="Aptos" w:eastAsia="Times New Roman" w:hAnsi="Aptos"/>
        </w:rPr>
        <w:t xml:space="preserve"> after abatement for any pollutant other than GHGs per 2-1-319</w:t>
      </w:r>
    </w:p>
    <w:p w14:paraId="5B4F243A" w14:textId="412BFCCB" w:rsidR="00057AA0" w:rsidRDefault="00057AA0" w:rsidP="00837D44">
      <w:pPr>
        <w:pStyle w:val="ListParagraph"/>
        <w:numPr>
          <w:ilvl w:val="2"/>
          <w:numId w:val="1"/>
        </w:numPr>
        <w:contextualSpacing w:val="0"/>
        <w:rPr>
          <w:rFonts w:ascii="Aptos" w:eastAsia="Times New Roman" w:hAnsi="Aptos"/>
        </w:rPr>
      </w:pPr>
      <w:r>
        <w:rPr>
          <w:rFonts w:ascii="Aptos" w:eastAsia="Times New Roman" w:hAnsi="Aptos"/>
        </w:rPr>
        <w:t xml:space="preserve">If no </w:t>
      </w:r>
      <w:r w:rsidR="00547977">
        <w:rPr>
          <w:rFonts w:ascii="Aptos" w:eastAsia="Times New Roman" w:hAnsi="Aptos"/>
        </w:rPr>
        <w:t xml:space="preserve">triggers from toxics or PTE greater than 5 </w:t>
      </w:r>
      <w:proofErr w:type="spellStart"/>
      <w:r w:rsidR="00547977">
        <w:rPr>
          <w:rFonts w:ascii="Aptos" w:eastAsia="Times New Roman" w:hAnsi="Aptos"/>
        </w:rPr>
        <w:t>tpy</w:t>
      </w:r>
      <w:proofErr w:type="spellEnd"/>
      <w:r w:rsidR="00547977">
        <w:rPr>
          <w:rFonts w:ascii="Aptos" w:eastAsia="Times New Roman" w:hAnsi="Aptos"/>
        </w:rPr>
        <w:t xml:space="preserve"> as noted above</w:t>
      </w:r>
      <w:r>
        <w:rPr>
          <w:rFonts w:ascii="Aptos" w:eastAsia="Times New Roman" w:hAnsi="Aptos"/>
        </w:rPr>
        <w:t xml:space="preserve">, </w:t>
      </w:r>
      <w:r w:rsidR="00547977">
        <w:rPr>
          <w:rFonts w:ascii="Aptos" w:eastAsia="Times New Roman" w:hAnsi="Aptos"/>
        </w:rPr>
        <w:t xml:space="preserve">then </w:t>
      </w:r>
      <w:proofErr w:type="gramStart"/>
      <w:r>
        <w:rPr>
          <w:rFonts w:ascii="Aptos" w:eastAsia="Times New Roman" w:hAnsi="Aptos"/>
        </w:rPr>
        <w:t>unit is</w:t>
      </w:r>
      <w:proofErr w:type="gramEnd"/>
      <w:r>
        <w:rPr>
          <w:rFonts w:ascii="Aptos" w:eastAsia="Times New Roman" w:hAnsi="Aptos"/>
        </w:rPr>
        <w:t xml:space="preserve"> </w:t>
      </w:r>
      <w:r>
        <w:rPr>
          <w:rFonts w:ascii="Aptos" w:eastAsia="Times New Roman" w:hAnsi="Aptos"/>
          <w:b/>
          <w:bCs/>
        </w:rPr>
        <w:t>altered</w:t>
      </w:r>
      <w:r w:rsidR="00547977">
        <w:rPr>
          <w:rFonts w:ascii="Aptos" w:eastAsia="Times New Roman" w:hAnsi="Aptos"/>
          <w:b/>
          <w:bCs/>
        </w:rPr>
        <w:t xml:space="preserve"> </w:t>
      </w:r>
      <w:r w:rsidR="00547977">
        <w:rPr>
          <w:rFonts w:ascii="Aptos" w:eastAsia="Times New Roman" w:hAnsi="Aptos"/>
        </w:rPr>
        <w:t>per 2-1-233.</w:t>
      </w:r>
    </w:p>
    <w:p w14:paraId="062DA236" w14:textId="77777777" w:rsidR="00057AA0" w:rsidRDefault="00057AA0" w:rsidP="00057AA0">
      <w:pPr>
        <w:rPr>
          <w:rFonts w:ascii="Aptos" w:hAnsi="Aptos"/>
        </w:rPr>
      </w:pPr>
    </w:p>
    <w:p w14:paraId="1FB49CA1" w14:textId="77777777" w:rsidR="00057AA0" w:rsidRDefault="00057AA0" w:rsidP="00057AA0">
      <w:pPr>
        <w:rPr>
          <w:rFonts w:ascii="Aptos" w:hAnsi="Aptos"/>
        </w:rPr>
      </w:pPr>
      <w:r>
        <w:rPr>
          <w:rFonts w:ascii="Aptos" w:hAnsi="Aptos"/>
        </w:rPr>
        <w:t>B. NSR – New Units</w:t>
      </w:r>
    </w:p>
    <w:p w14:paraId="6EE98A00" w14:textId="77777777" w:rsidR="00057AA0" w:rsidRDefault="00057AA0" w:rsidP="00057AA0">
      <w:pPr>
        <w:pStyle w:val="ListParagraph"/>
        <w:numPr>
          <w:ilvl w:val="0"/>
          <w:numId w:val="2"/>
        </w:numPr>
        <w:contextualSpacing w:val="0"/>
        <w:rPr>
          <w:rFonts w:ascii="Aptos" w:eastAsia="Times New Roman" w:hAnsi="Aptos"/>
        </w:rPr>
      </w:pPr>
      <w:r>
        <w:rPr>
          <w:rFonts w:ascii="Aptos" w:eastAsia="Times New Roman" w:hAnsi="Aptos"/>
        </w:rPr>
        <w:t>Determine PTE for all pollutants</w:t>
      </w:r>
    </w:p>
    <w:p w14:paraId="10602713" w14:textId="19158EFC" w:rsidR="00057AA0" w:rsidRDefault="00057AA0" w:rsidP="00057AA0">
      <w:pPr>
        <w:pStyle w:val="ListParagraph"/>
        <w:numPr>
          <w:ilvl w:val="0"/>
          <w:numId w:val="2"/>
        </w:numPr>
        <w:contextualSpacing w:val="0"/>
        <w:rPr>
          <w:rFonts w:ascii="Aptos" w:eastAsia="Times New Roman" w:hAnsi="Aptos"/>
        </w:rPr>
      </w:pPr>
      <w:r>
        <w:rPr>
          <w:rFonts w:ascii="Aptos" w:eastAsia="Times New Roman" w:hAnsi="Aptos"/>
        </w:rPr>
        <w:t>Evaluate categorical exemptions for any matches</w:t>
      </w:r>
      <w:r w:rsidR="00547977">
        <w:rPr>
          <w:rFonts w:ascii="Aptos" w:eastAsia="Times New Roman" w:hAnsi="Aptos"/>
        </w:rPr>
        <w:t xml:space="preserve"> in</w:t>
      </w:r>
      <w:r w:rsidR="00547977" w:rsidRPr="00547977">
        <w:t xml:space="preserve"> </w:t>
      </w:r>
      <w:r w:rsidR="00547977" w:rsidRPr="00547977">
        <w:rPr>
          <w:rFonts w:ascii="Aptos" w:eastAsia="Times New Roman" w:hAnsi="Aptos"/>
        </w:rPr>
        <w:t>Section 114 through 128</w:t>
      </w:r>
    </w:p>
    <w:p w14:paraId="53C7CE28" w14:textId="77777777" w:rsidR="00057AA0" w:rsidRDefault="00057AA0" w:rsidP="00057AA0">
      <w:pPr>
        <w:pStyle w:val="ListParagraph"/>
        <w:numPr>
          <w:ilvl w:val="0"/>
          <w:numId w:val="2"/>
        </w:numPr>
        <w:contextualSpacing w:val="0"/>
        <w:rPr>
          <w:rFonts w:ascii="Aptos" w:eastAsia="Times New Roman" w:hAnsi="Aptos"/>
        </w:rPr>
      </w:pPr>
      <w:r>
        <w:rPr>
          <w:rFonts w:ascii="Aptos" w:eastAsia="Times New Roman" w:hAnsi="Aptos"/>
        </w:rPr>
        <w:t>Evaluate whether PTE exceeds thresholds in 2-1-316 or 2-1-319</w:t>
      </w:r>
    </w:p>
    <w:p w14:paraId="333CAE99" w14:textId="77777777" w:rsidR="00057AA0" w:rsidRDefault="00057AA0" w:rsidP="00057AA0">
      <w:pPr>
        <w:pStyle w:val="ListParagraph"/>
        <w:numPr>
          <w:ilvl w:val="0"/>
          <w:numId w:val="2"/>
        </w:numPr>
        <w:contextualSpacing w:val="0"/>
        <w:rPr>
          <w:rFonts w:ascii="Aptos" w:eastAsia="Times New Roman" w:hAnsi="Aptos"/>
        </w:rPr>
      </w:pPr>
      <w:r>
        <w:rPr>
          <w:rFonts w:ascii="Aptos" w:eastAsia="Times New Roman" w:hAnsi="Aptos"/>
        </w:rPr>
        <w:t>Consider exemption at 2-1-103 if no others identified, which requires a detailed rule evaluation in addition to emission thresholds</w:t>
      </w:r>
    </w:p>
    <w:p w14:paraId="3A02E3CC" w14:textId="77777777" w:rsidR="00057AA0" w:rsidRDefault="00057AA0" w:rsidP="00057AA0">
      <w:pPr>
        <w:pStyle w:val="ListParagraph"/>
        <w:numPr>
          <w:ilvl w:val="0"/>
          <w:numId w:val="2"/>
        </w:numPr>
        <w:contextualSpacing w:val="0"/>
        <w:rPr>
          <w:rFonts w:ascii="Aptos" w:eastAsia="Times New Roman" w:hAnsi="Aptos"/>
        </w:rPr>
      </w:pPr>
      <w:r>
        <w:rPr>
          <w:rFonts w:ascii="Aptos" w:eastAsia="Times New Roman" w:hAnsi="Aptos"/>
        </w:rPr>
        <w:t xml:space="preserve">If not exempt, then unit is </w:t>
      </w:r>
      <w:r>
        <w:rPr>
          <w:rFonts w:ascii="Aptos" w:eastAsia="Times New Roman" w:hAnsi="Aptos"/>
          <w:b/>
          <w:bCs/>
        </w:rPr>
        <w:t>new</w:t>
      </w:r>
      <w:r>
        <w:rPr>
          <w:rFonts w:ascii="Aptos" w:eastAsia="Times New Roman" w:hAnsi="Aptos"/>
        </w:rPr>
        <w:t xml:space="preserve"> and subject to BAAQMD NSR</w:t>
      </w:r>
    </w:p>
    <w:p w14:paraId="1BE9D623" w14:textId="77777777" w:rsidR="00057AA0" w:rsidRDefault="00057AA0" w:rsidP="00057AA0">
      <w:pPr>
        <w:rPr>
          <w:rFonts w:ascii="Aptos" w:hAnsi="Aptos"/>
        </w:rPr>
      </w:pPr>
    </w:p>
    <w:p w14:paraId="74C8CC10" w14:textId="44A684B4" w:rsidR="00057AA0" w:rsidRDefault="00057AA0" w:rsidP="00057AA0">
      <w:pPr>
        <w:rPr>
          <w:rFonts w:ascii="Aptos" w:hAnsi="Aptos"/>
        </w:rPr>
      </w:pPr>
      <w:r>
        <w:rPr>
          <w:rFonts w:ascii="Aptos" w:hAnsi="Aptos"/>
        </w:rPr>
        <w:t>C. NSR – Federal Backstop test (under Rule 2-1</w:t>
      </w:r>
      <w:r w:rsidR="00547977">
        <w:rPr>
          <w:rFonts w:ascii="Aptos" w:hAnsi="Aptos"/>
        </w:rPr>
        <w:t>-234.2</w:t>
      </w:r>
      <w:r>
        <w:rPr>
          <w:rFonts w:ascii="Aptos" w:hAnsi="Aptos"/>
        </w:rPr>
        <w:t>)</w:t>
      </w:r>
      <w:r w:rsidR="00547977">
        <w:rPr>
          <w:rFonts w:ascii="Aptos" w:hAnsi="Aptos"/>
        </w:rPr>
        <w:t xml:space="preserve"> if there are new, modified, or altered units</w:t>
      </w:r>
    </w:p>
    <w:p w14:paraId="5649695D" w14:textId="77777777" w:rsidR="00057AA0" w:rsidRDefault="00057AA0" w:rsidP="00057AA0">
      <w:pPr>
        <w:pStyle w:val="ListParagraph"/>
        <w:numPr>
          <w:ilvl w:val="0"/>
          <w:numId w:val="3"/>
        </w:numPr>
        <w:contextualSpacing w:val="0"/>
        <w:rPr>
          <w:rFonts w:ascii="Aptos" w:eastAsia="Times New Roman" w:hAnsi="Aptos"/>
        </w:rPr>
      </w:pPr>
      <w:r>
        <w:rPr>
          <w:rFonts w:ascii="Aptos" w:eastAsia="Times New Roman" w:hAnsi="Aptos"/>
        </w:rPr>
        <w:t xml:space="preserve">Complete a traditional PSD applicability evaluation following federal rules.  </w:t>
      </w:r>
      <w:r>
        <w:rPr>
          <w:rFonts w:eastAsia="Times New Roman"/>
        </w:rPr>
        <w:t>Use of NSR Reform and a 2-year baseline are allowed. Nonattainment pollutants (VOC, PM2.5) also need to be included, following the analogous language at 51.165.</w:t>
      </w:r>
    </w:p>
    <w:p w14:paraId="595BEFD2" w14:textId="43160DA7" w:rsidR="00057AA0" w:rsidRDefault="00057AA0" w:rsidP="00057AA0">
      <w:pPr>
        <w:pStyle w:val="ListParagraph"/>
        <w:numPr>
          <w:ilvl w:val="1"/>
          <w:numId w:val="3"/>
        </w:numPr>
        <w:contextualSpacing w:val="0"/>
        <w:rPr>
          <w:rFonts w:ascii="Aptos" w:eastAsia="Times New Roman" w:hAnsi="Aptos"/>
        </w:rPr>
      </w:pPr>
      <w:r>
        <w:rPr>
          <w:rFonts w:ascii="Aptos" w:eastAsia="Times New Roman" w:hAnsi="Aptos"/>
        </w:rPr>
        <w:t xml:space="preserve">Plan to include any altered units identified above in A for consistency purposes, even if you are not expecting an increase. </w:t>
      </w:r>
    </w:p>
    <w:p w14:paraId="370C3FBA" w14:textId="77777777" w:rsidR="00057AA0" w:rsidRDefault="00057AA0" w:rsidP="00057AA0">
      <w:pPr>
        <w:pStyle w:val="ListParagraph"/>
        <w:numPr>
          <w:ilvl w:val="0"/>
          <w:numId w:val="3"/>
        </w:numPr>
        <w:contextualSpacing w:val="0"/>
        <w:rPr>
          <w:rFonts w:ascii="Aptos" w:eastAsia="Times New Roman" w:hAnsi="Aptos"/>
        </w:rPr>
      </w:pPr>
      <w:r>
        <w:rPr>
          <w:rFonts w:ascii="Aptos" w:eastAsia="Times New Roman" w:hAnsi="Aptos"/>
        </w:rPr>
        <w:t xml:space="preserve">If this shows PSD is triggered, then further guidance is needed from BAAQMD.  As the rules are written, it would mean each unit identified as altered would instead be considered modified. BAAQMD’s intent was to treat the project as a “PSD Project” but did not write the rules specifically.  </w:t>
      </w:r>
    </w:p>
    <w:p w14:paraId="6BF5A6BF" w14:textId="77777777" w:rsidR="00057AA0" w:rsidRDefault="00057AA0" w:rsidP="00057AA0">
      <w:pPr>
        <w:rPr>
          <w:rFonts w:ascii="Aptos" w:hAnsi="Aptos"/>
        </w:rPr>
      </w:pPr>
    </w:p>
    <w:p w14:paraId="4A0AE7F8" w14:textId="60D1089A" w:rsidR="00057AA0" w:rsidRDefault="00057AA0" w:rsidP="00057AA0">
      <w:pPr>
        <w:rPr>
          <w:rFonts w:ascii="Aptos" w:hAnsi="Aptos"/>
        </w:rPr>
      </w:pPr>
      <w:r>
        <w:rPr>
          <w:rFonts w:ascii="Aptos" w:hAnsi="Aptos"/>
        </w:rPr>
        <w:t>D. NSR - “PSD Project”, BACT, Offsets (under Rule 2-2)</w:t>
      </w:r>
      <w:r w:rsidR="00547977">
        <w:rPr>
          <w:rFonts w:ascii="Aptos" w:hAnsi="Aptos"/>
        </w:rPr>
        <w:t xml:space="preserve"> for new or modified units</w:t>
      </w:r>
    </w:p>
    <w:p w14:paraId="1F71F53B" w14:textId="77777777" w:rsidR="00057AA0" w:rsidRDefault="00057AA0" w:rsidP="00057AA0">
      <w:pPr>
        <w:pStyle w:val="ListParagraph"/>
        <w:numPr>
          <w:ilvl w:val="0"/>
          <w:numId w:val="4"/>
        </w:numPr>
        <w:contextualSpacing w:val="0"/>
        <w:rPr>
          <w:rFonts w:ascii="Aptos" w:eastAsia="Times New Roman" w:hAnsi="Aptos"/>
        </w:rPr>
      </w:pPr>
      <w:r>
        <w:rPr>
          <w:rFonts w:ascii="Aptos" w:eastAsia="Times New Roman" w:hAnsi="Aptos"/>
        </w:rPr>
        <w:t>The emission increase needs to be calculated (different from calculations used to determine if unit is modified under Rule 2-1 described in A). See 2-2-603, 2-2-604</w:t>
      </w:r>
    </w:p>
    <w:p w14:paraId="71D98DA1"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Baseline period ends at the date of a complete application and is the average of the most recent 36 months, except for GHG. GHG baseline period is the same as federal rules (24 months in last 10 years)</w:t>
      </w:r>
    </w:p>
    <w:p w14:paraId="421B5858"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Determine baseline throughput during the baseline period</w:t>
      </w:r>
    </w:p>
    <w:p w14:paraId="2E18EF60"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Determine baseline emissions during the baseline period</w:t>
      </w:r>
    </w:p>
    <w:p w14:paraId="0DA413B0" w14:textId="77777777" w:rsidR="00057AA0" w:rsidRDefault="00057AA0" w:rsidP="00057AA0">
      <w:pPr>
        <w:pStyle w:val="ListParagraph"/>
        <w:numPr>
          <w:ilvl w:val="2"/>
          <w:numId w:val="4"/>
        </w:numPr>
        <w:contextualSpacing w:val="0"/>
        <w:rPr>
          <w:rFonts w:ascii="Aptos" w:hAnsi="Aptos"/>
        </w:rPr>
      </w:pPr>
      <w:r>
        <w:rPr>
          <w:rFonts w:ascii="Aptos" w:hAnsi="Aptos"/>
        </w:rPr>
        <w:t>Note that BAAQMD requires “verifiable records” – ideally stack tests or CEMS. Negotiation may be required for factors (e.g., AP-42) or calculated values (e.g., LDAR emissions)</w:t>
      </w:r>
    </w:p>
    <w:p w14:paraId="6A940A4C"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Determine RACT/BARCT/federal/BAAQMD rule adjustment for each pollutant</w:t>
      </w:r>
    </w:p>
    <w:p w14:paraId="4C5BEAC3"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Determine adjusted baseline emissions</w:t>
      </w:r>
    </w:p>
    <w:p w14:paraId="7D4A1CEB"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Post-project emissions = PTE</w:t>
      </w:r>
    </w:p>
    <w:p w14:paraId="1F445AA9"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Emission change = PTE – adjusted baseline emissions.  Use this for BACT and “PSD Project” applicability.</w:t>
      </w:r>
    </w:p>
    <w:p w14:paraId="1C56BF77" w14:textId="77777777" w:rsidR="00057AA0" w:rsidRDefault="00057AA0" w:rsidP="00057AA0">
      <w:pPr>
        <w:pStyle w:val="ListParagraph"/>
        <w:numPr>
          <w:ilvl w:val="0"/>
          <w:numId w:val="4"/>
        </w:numPr>
        <w:contextualSpacing w:val="0"/>
        <w:rPr>
          <w:rFonts w:ascii="Aptos" w:eastAsia="Times New Roman" w:hAnsi="Aptos"/>
        </w:rPr>
      </w:pPr>
      <w:r>
        <w:rPr>
          <w:rFonts w:ascii="Aptos" w:eastAsia="Times New Roman" w:hAnsi="Aptos"/>
        </w:rPr>
        <w:t>BACT applicability at 2-2-301</w:t>
      </w:r>
    </w:p>
    <w:p w14:paraId="46FC094E"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 xml:space="preserve">New units with PTE &gt; 10 </w:t>
      </w:r>
      <w:proofErr w:type="spellStart"/>
      <w:r>
        <w:rPr>
          <w:rFonts w:ascii="Aptos" w:eastAsia="Times New Roman" w:hAnsi="Aptos"/>
        </w:rPr>
        <w:t>lb</w:t>
      </w:r>
      <w:proofErr w:type="spellEnd"/>
      <w:r>
        <w:rPr>
          <w:rFonts w:ascii="Aptos" w:eastAsia="Times New Roman" w:hAnsi="Aptos"/>
        </w:rPr>
        <w:t>/day</w:t>
      </w:r>
    </w:p>
    <w:p w14:paraId="4DFDBD57"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 xml:space="preserve">Modified units with PTE &gt; 10 </w:t>
      </w:r>
      <w:proofErr w:type="spellStart"/>
      <w:r>
        <w:rPr>
          <w:rFonts w:ascii="Aptos" w:eastAsia="Times New Roman" w:hAnsi="Aptos"/>
        </w:rPr>
        <w:t>lb</w:t>
      </w:r>
      <w:proofErr w:type="spellEnd"/>
      <w:r>
        <w:rPr>
          <w:rFonts w:ascii="Aptos" w:eastAsia="Times New Roman" w:hAnsi="Aptos"/>
        </w:rPr>
        <w:t>/day and an emissions increase per the calculation above</w:t>
      </w:r>
    </w:p>
    <w:p w14:paraId="1A55A1CD"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 xml:space="preserve">If subject, start with </w:t>
      </w:r>
      <w:hyperlink r:id="rId5" w:history="1">
        <w:r>
          <w:rPr>
            <w:rStyle w:val="Hyperlink"/>
            <w:rFonts w:ascii="Aptos" w:eastAsia="Times New Roman" w:hAnsi="Aptos"/>
          </w:rPr>
          <w:t>https://www.baaqmd.gov/en/permits/permitting-manuals/bact-tbact-workbook</w:t>
        </w:r>
      </w:hyperlink>
      <w:r>
        <w:rPr>
          <w:rFonts w:ascii="Aptos" w:eastAsia="Times New Roman" w:hAnsi="Aptos"/>
        </w:rPr>
        <w:t xml:space="preserve">. All units need to meet a “demonstrated in practice” </w:t>
      </w:r>
      <w:r>
        <w:rPr>
          <w:rFonts w:ascii="Aptos" w:eastAsia="Times New Roman" w:hAnsi="Aptos"/>
        </w:rPr>
        <w:lastRenderedPageBreak/>
        <w:t xml:space="preserve">standard or BACT2; top controls or BACT1 must be evaluate for cost effectiveness. Determinations from other CA districts must also be considered. </w:t>
      </w:r>
    </w:p>
    <w:p w14:paraId="622CFE3A" w14:textId="77777777" w:rsidR="00057AA0" w:rsidRDefault="00057AA0" w:rsidP="00057AA0">
      <w:pPr>
        <w:pStyle w:val="ListParagraph"/>
        <w:numPr>
          <w:ilvl w:val="0"/>
          <w:numId w:val="4"/>
        </w:numPr>
        <w:contextualSpacing w:val="0"/>
        <w:rPr>
          <w:rFonts w:ascii="Aptos" w:eastAsia="Times New Roman" w:hAnsi="Aptos"/>
        </w:rPr>
      </w:pPr>
      <w:r>
        <w:rPr>
          <w:rFonts w:ascii="Aptos" w:eastAsia="Times New Roman" w:hAnsi="Aptos"/>
        </w:rPr>
        <w:t>PSD Project at 2-2-224</w:t>
      </w:r>
    </w:p>
    <w:p w14:paraId="7321DF38"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 xml:space="preserve">Sum </w:t>
      </w:r>
      <w:proofErr w:type="gramStart"/>
      <w:r>
        <w:rPr>
          <w:rFonts w:ascii="Aptos" w:eastAsia="Times New Roman" w:hAnsi="Aptos"/>
        </w:rPr>
        <w:t>up</w:t>
      </w:r>
      <w:proofErr w:type="gramEnd"/>
      <w:r>
        <w:rPr>
          <w:rFonts w:ascii="Aptos" w:eastAsia="Times New Roman" w:hAnsi="Aptos"/>
        </w:rPr>
        <w:t xml:space="preserve"> the emission increases from the calculation above (D.1) and compare to SERs</w:t>
      </w:r>
    </w:p>
    <w:p w14:paraId="757D539D" w14:textId="77777777" w:rsidR="00057AA0" w:rsidRDefault="00057AA0" w:rsidP="00057AA0">
      <w:pPr>
        <w:pStyle w:val="ListParagraph"/>
        <w:numPr>
          <w:ilvl w:val="1"/>
          <w:numId w:val="4"/>
        </w:numPr>
        <w:contextualSpacing w:val="0"/>
        <w:rPr>
          <w:rFonts w:eastAsia="Times New Roman"/>
        </w:rPr>
      </w:pPr>
      <w:r>
        <w:rPr>
          <w:rFonts w:eastAsia="Times New Roman"/>
        </w:rPr>
        <w:t>If over, complete netting analysis following 2-2-604. Appears consistent with federal methodology.</w:t>
      </w:r>
    </w:p>
    <w:p w14:paraId="63FD9A01" w14:textId="77777777" w:rsidR="00057AA0" w:rsidRDefault="00057AA0" w:rsidP="00057AA0">
      <w:pPr>
        <w:pStyle w:val="ListParagraph"/>
        <w:numPr>
          <w:ilvl w:val="1"/>
          <w:numId w:val="4"/>
        </w:numPr>
        <w:contextualSpacing w:val="0"/>
        <w:rPr>
          <w:rFonts w:eastAsia="Times New Roman"/>
        </w:rPr>
      </w:pPr>
      <w:r>
        <w:rPr>
          <w:rFonts w:eastAsia="Times New Roman"/>
        </w:rPr>
        <w:t xml:space="preserve">If </w:t>
      </w:r>
      <w:proofErr w:type="gramStart"/>
      <w:r>
        <w:rPr>
          <w:rFonts w:eastAsia="Times New Roman"/>
        </w:rPr>
        <w:t>still</w:t>
      </w:r>
      <w:proofErr w:type="gramEnd"/>
      <w:r>
        <w:rPr>
          <w:rFonts w:eastAsia="Times New Roman"/>
        </w:rPr>
        <w:t xml:space="preserve"> over, complete PSD review as detailed in 2-2-304 through 307.</w:t>
      </w:r>
    </w:p>
    <w:p w14:paraId="130A0ED4" w14:textId="77777777" w:rsidR="00057AA0" w:rsidRDefault="00057AA0" w:rsidP="00057AA0">
      <w:pPr>
        <w:pStyle w:val="ListParagraph"/>
        <w:numPr>
          <w:ilvl w:val="0"/>
          <w:numId w:val="4"/>
        </w:numPr>
        <w:contextualSpacing w:val="0"/>
        <w:rPr>
          <w:rFonts w:ascii="Aptos" w:eastAsia="Times New Roman" w:hAnsi="Aptos"/>
        </w:rPr>
      </w:pPr>
      <w:r>
        <w:rPr>
          <w:rFonts w:ascii="Aptos" w:eastAsia="Times New Roman" w:hAnsi="Aptos"/>
        </w:rPr>
        <w:t>Determine cumulative increase (for offsets) – 2-2-606</w:t>
      </w:r>
    </w:p>
    <w:p w14:paraId="03E7952A"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 xml:space="preserve">If offsets have previously been provided, then new math is required for existing units.  Rather than </w:t>
      </w:r>
      <w:proofErr w:type="gramStart"/>
      <w:r>
        <w:rPr>
          <w:rFonts w:ascii="Aptos" w:eastAsia="Times New Roman" w:hAnsi="Aptos"/>
        </w:rPr>
        <w:t>adjusted</w:t>
      </w:r>
      <w:proofErr w:type="gramEnd"/>
      <w:r>
        <w:rPr>
          <w:rFonts w:ascii="Aptos" w:eastAsia="Times New Roman" w:hAnsi="Aptos"/>
        </w:rPr>
        <w:t xml:space="preserve"> baseline emissions, use the previous PTE then adjust downward to RACT/BARCT.</w:t>
      </w:r>
    </w:p>
    <w:p w14:paraId="66521DEF"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Cargo carriers must also be included if directly associated with a new/modified unit.  E.g., ships, trains associated with loading</w:t>
      </w:r>
    </w:p>
    <w:p w14:paraId="77534412" w14:textId="77777777" w:rsidR="00057AA0" w:rsidRDefault="00057AA0" w:rsidP="00057AA0">
      <w:pPr>
        <w:pStyle w:val="ListParagraph"/>
        <w:numPr>
          <w:ilvl w:val="1"/>
          <w:numId w:val="4"/>
        </w:numPr>
        <w:contextualSpacing w:val="0"/>
        <w:rPr>
          <w:rFonts w:ascii="Aptos" w:eastAsia="Times New Roman" w:hAnsi="Aptos"/>
        </w:rPr>
      </w:pPr>
      <w:r>
        <w:rPr>
          <w:rFonts w:ascii="Aptos" w:eastAsia="Times New Roman" w:hAnsi="Aptos"/>
        </w:rPr>
        <w:t xml:space="preserve">If there are enforceable decreases associated with the project, they can be included here per 2-2-605 and 2-2-607.  </w:t>
      </w:r>
    </w:p>
    <w:p w14:paraId="5067561B" w14:textId="77777777" w:rsidR="00057AA0" w:rsidRDefault="00057AA0" w:rsidP="00057AA0">
      <w:pPr>
        <w:rPr>
          <w:rFonts w:ascii="Aptos" w:hAnsi="Aptos"/>
        </w:rPr>
      </w:pPr>
    </w:p>
    <w:p w14:paraId="275F357B" w14:textId="77777777" w:rsidR="00057AA0" w:rsidRDefault="00057AA0" w:rsidP="00057AA0">
      <w:pPr>
        <w:rPr>
          <w:rFonts w:ascii="Aptos" w:hAnsi="Aptos"/>
        </w:rPr>
      </w:pPr>
      <w:r>
        <w:rPr>
          <w:rFonts w:ascii="Aptos" w:hAnsi="Aptos"/>
        </w:rPr>
        <w:t>Toxics (Rule 2-5)</w:t>
      </w:r>
    </w:p>
    <w:p w14:paraId="0A938A33" w14:textId="77777777" w:rsidR="00057AA0" w:rsidRDefault="00057AA0" w:rsidP="00057AA0">
      <w:pPr>
        <w:pStyle w:val="ListParagraph"/>
        <w:numPr>
          <w:ilvl w:val="0"/>
          <w:numId w:val="5"/>
        </w:numPr>
        <w:contextualSpacing w:val="0"/>
        <w:rPr>
          <w:rFonts w:ascii="Aptos" w:eastAsia="Times New Roman" w:hAnsi="Aptos"/>
        </w:rPr>
      </w:pPr>
      <w:r>
        <w:rPr>
          <w:rFonts w:ascii="Aptos" w:eastAsia="Times New Roman" w:hAnsi="Aptos"/>
        </w:rPr>
        <w:t>Existing permitted units</w:t>
      </w:r>
    </w:p>
    <w:p w14:paraId="59298A30" w14:textId="77777777" w:rsidR="00057AA0" w:rsidRDefault="00057AA0" w:rsidP="00057AA0">
      <w:pPr>
        <w:pStyle w:val="ListParagraph"/>
        <w:numPr>
          <w:ilvl w:val="1"/>
          <w:numId w:val="5"/>
        </w:numPr>
        <w:contextualSpacing w:val="0"/>
        <w:rPr>
          <w:rFonts w:ascii="Aptos" w:eastAsia="Times New Roman" w:hAnsi="Aptos"/>
        </w:rPr>
      </w:pPr>
      <w:r>
        <w:rPr>
          <w:rFonts w:ascii="Aptos" w:eastAsia="Times New Roman" w:hAnsi="Aptos"/>
        </w:rPr>
        <w:t>If there is a physical change to an emission unit or any reason to expect changes in actual operations, evaluate whether a “modification” occurs on an emission unit basis.</w:t>
      </w:r>
    </w:p>
    <w:p w14:paraId="29A72E1A" w14:textId="77777777" w:rsidR="00057AA0" w:rsidRDefault="00057AA0" w:rsidP="00057AA0">
      <w:pPr>
        <w:pStyle w:val="ListParagraph"/>
        <w:numPr>
          <w:ilvl w:val="2"/>
          <w:numId w:val="5"/>
        </w:numPr>
        <w:contextualSpacing w:val="0"/>
        <w:rPr>
          <w:rFonts w:ascii="Aptos" w:hAnsi="Aptos"/>
        </w:rPr>
      </w:pPr>
      <w:r>
        <w:rPr>
          <w:rFonts w:ascii="Aptos" w:hAnsi="Aptos"/>
        </w:rPr>
        <w:t>Note that “modification” is not the same under Rule 2-5 as it is under Rule 2-1. Also, there is no “alteration”</w:t>
      </w:r>
    </w:p>
    <w:p w14:paraId="0DA06D0C" w14:textId="77777777" w:rsidR="00057AA0" w:rsidRDefault="00057AA0" w:rsidP="00057AA0">
      <w:pPr>
        <w:pStyle w:val="ListParagraph"/>
        <w:numPr>
          <w:ilvl w:val="1"/>
          <w:numId w:val="5"/>
        </w:numPr>
        <w:contextualSpacing w:val="0"/>
        <w:rPr>
          <w:rFonts w:ascii="Aptos" w:eastAsia="Times New Roman" w:hAnsi="Aptos"/>
        </w:rPr>
      </w:pPr>
      <w:r>
        <w:rPr>
          <w:rFonts w:ascii="Aptos" w:eastAsia="Times New Roman" w:hAnsi="Aptos"/>
        </w:rPr>
        <w:t>BAAQMD has not typically considered combustion HAPs (i.e., from AP-42)</w:t>
      </w:r>
    </w:p>
    <w:p w14:paraId="5E84116A" w14:textId="0639A9D2" w:rsidR="00057AA0" w:rsidRDefault="00057AA0" w:rsidP="00057AA0">
      <w:pPr>
        <w:pStyle w:val="ListParagraph"/>
        <w:numPr>
          <w:ilvl w:val="1"/>
          <w:numId w:val="5"/>
        </w:numPr>
        <w:contextualSpacing w:val="0"/>
        <w:rPr>
          <w:rFonts w:ascii="Aptos" w:eastAsia="Times New Roman" w:hAnsi="Aptos"/>
        </w:rPr>
      </w:pPr>
      <w:r>
        <w:rPr>
          <w:rFonts w:ascii="Aptos" w:eastAsia="Times New Roman" w:hAnsi="Aptos"/>
        </w:rPr>
        <w:t xml:space="preserve">Determine baseline emissions </w:t>
      </w:r>
      <w:proofErr w:type="gramStart"/>
      <w:r>
        <w:rPr>
          <w:rFonts w:ascii="Aptos" w:eastAsia="Times New Roman" w:hAnsi="Aptos"/>
        </w:rPr>
        <w:t>similar to</w:t>
      </w:r>
      <w:proofErr w:type="gramEnd"/>
      <w:r>
        <w:rPr>
          <w:rFonts w:ascii="Aptos" w:eastAsia="Times New Roman" w:hAnsi="Aptos"/>
        </w:rPr>
        <w:t xml:space="preserve"> NSR under Rule 2-2 (3-year actuals, adjusted downward for MACT) per 2-5-602, unless there is an existing toxics limit. An existing toxics limit could be used instead of 3-year </w:t>
      </w:r>
      <w:proofErr w:type="gramStart"/>
      <w:r>
        <w:rPr>
          <w:rFonts w:ascii="Aptos" w:eastAsia="Times New Roman" w:hAnsi="Aptos"/>
        </w:rPr>
        <w:t>emissions</w:t>
      </w:r>
      <w:r w:rsidR="00547977">
        <w:rPr>
          <w:rFonts w:ascii="Aptos" w:eastAsia="Times New Roman" w:hAnsi="Aptos"/>
        </w:rPr>
        <w:t>,</w:t>
      </w:r>
      <w:r>
        <w:rPr>
          <w:rFonts w:ascii="Aptos" w:eastAsia="Times New Roman" w:hAnsi="Aptos"/>
        </w:rPr>
        <w:t xml:space="preserve"> but</w:t>
      </w:r>
      <w:proofErr w:type="gramEnd"/>
      <w:r>
        <w:rPr>
          <w:rFonts w:ascii="Aptos" w:eastAsia="Times New Roman" w:hAnsi="Aptos"/>
        </w:rPr>
        <w:t xml:space="preserve"> must still be adjusted downward</w:t>
      </w:r>
      <w:r w:rsidR="00547977">
        <w:rPr>
          <w:rFonts w:ascii="Aptos" w:eastAsia="Times New Roman" w:hAnsi="Aptos"/>
        </w:rPr>
        <w:t xml:space="preserve"> for MACT</w:t>
      </w:r>
      <w:r>
        <w:rPr>
          <w:rFonts w:ascii="Aptos" w:eastAsia="Times New Roman" w:hAnsi="Aptos"/>
        </w:rPr>
        <w:t>.</w:t>
      </w:r>
    </w:p>
    <w:p w14:paraId="0B9D0839" w14:textId="77777777" w:rsidR="00057AA0" w:rsidRDefault="00057AA0" w:rsidP="00057AA0">
      <w:pPr>
        <w:pStyle w:val="ListParagraph"/>
        <w:numPr>
          <w:ilvl w:val="1"/>
          <w:numId w:val="5"/>
        </w:numPr>
        <w:contextualSpacing w:val="0"/>
        <w:rPr>
          <w:rFonts w:ascii="Aptos" w:eastAsia="Times New Roman" w:hAnsi="Aptos"/>
        </w:rPr>
      </w:pPr>
      <w:r>
        <w:rPr>
          <w:rFonts w:ascii="Aptos" w:eastAsia="Times New Roman" w:hAnsi="Aptos"/>
        </w:rPr>
        <w:t>Determine post-project PTE per 2-5-601</w:t>
      </w:r>
    </w:p>
    <w:p w14:paraId="225117B9" w14:textId="77777777" w:rsidR="00057AA0" w:rsidRDefault="00057AA0" w:rsidP="00057AA0">
      <w:pPr>
        <w:pStyle w:val="ListParagraph"/>
        <w:numPr>
          <w:ilvl w:val="1"/>
          <w:numId w:val="5"/>
        </w:numPr>
        <w:contextualSpacing w:val="0"/>
        <w:rPr>
          <w:rFonts w:ascii="Aptos" w:eastAsia="Times New Roman" w:hAnsi="Aptos"/>
        </w:rPr>
      </w:pPr>
      <w:r>
        <w:rPr>
          <w:rFonts w:ascii="Aptos" w:eastAsia="Times New Roman" w:hAnsi="Aptos"/>
        </w:rPr>
        <w:t>Emission increase = post-project PTE – baseline emissions</w:t>
      </w:r>
    </w:p>
    <w:p w14:paraId="1C07E3B5" w14:textId="77777777" w:rsidR="00057AA0" w:rsidRDefault="00057AA0" w:rsidP="00057AA0">
      <w:pPr>
        <w:pStyle w:val="ListParagraph"/>
        <w:numPr>
          <w:ilvl w:val="1"/>
          <w:numId w:val="5"/>
        </w:numPr>
        <w:contextualSpacing w:val="0"/>
        <w:rPr>
          <w:rFonts w:ascii="Aptos" w:eastAsia="Times New Roman" w:hAnsi="Aptos"/>
        </w:rPr>
      </w:pPr>
      <w:r>
        <w:rPr>
          <w:rFonts w:ascii="Aptos" w:eastAsia="Times New Roman" w:hAnsi="Aptos"/>
        </w:rPr>
        <w:t>If emissions go up for some pollutants but down for others, consider a toxicity-weighted evaluation per 2-5-114.</w:t>
      </w:r>
    </w:p>
    <w:p w14:paraId="75B765E0" w14:textId="77777777" w:rsidR="00057AA0" w:rsidRDefault="00057AA0" w:rsidP="00057AA0">
      <w:pPr>
        <w:pStyle w:val="ListParagraph"/>
        <w:numPr>
          <w:ilvl w:val="0"/>
          <w:numId w:val="5"/>
        </w:numPr>
        <w:contextualSpacing w:val="0"/>
        <w:rPr>
          <w:rFonts w:ascii="Aptos" w:eastAsia="Times New Roman" w:hAnsi="Aptos"/>
        </w:rPr>
      </w:pPr>
      <w:r>
        <w:rPr>
          <w:rFonts w:ascii="Aptos" w:eastAsia="Times New Roman" w:hAnsi="Aptos"/>
        </w:rPr>
        <w:t>New units</w:t>
      </w:r>
    </w:p>
    <w:p w14:paraId="17CC3B63" w14:textId="77777777" w:rsidR="00057AA0" w:rsidRDefault="00057AA0" w:rsidP="00057AA0">
      <w:pPr>
        <w:pStyle w:val="ListParagraph"/>
        <w:numPr>
          <w:ilvl w:val="1"/>
          <w:numId w:val="5"/>
        </w:numPr>
        <w:contextualSpacing w:val="0"/>
        <w:rPr>
          <w:rFonts w:ascii="Aptos" w:eastAsia="Times New Roman" w:hAnsi="Aptos"/>
        </w:rPr>
      </w:pPr>
      <w:r>
        <w:rPr>
          <w:rFonts w:ascii="Aptos" w:eastAsia="Times New Roman" w:hAnsi="Aptos"/>
        </w:rPr>
        <w:t>Emission increase = PTE</w:t>
      </w:r>
    </w:p>
    <w:p w14:paraId="110F05EE" w14:textId="77D3CFF7" w:rsidR="00057AA0" w:rsidRDefault="00057AA0" w:rsidP="00057AA0">
      <w:pPr>
        <w:pStyle w:val="ListParagraph"/>
        <w:numPr>
          <w:ilvl w:val="0"/>
          <w:numId w:val="5"/>
        </w:numPr>
        <w:contextualSpacing w:val="0"/>
        <w:rPr>
          <w:rFonts w:ascii="Aptos" w:eastAsia="Times New Roman" w:hAnsi="Aptos"/>
        </w:rPr>
      </w:pPr>
      <w:r>
        <w:rPr>
          <w:rFonts w:ascii="Aptos" w:eastAsia="Times New Roman" w:hAnsi="Aptos"/>
        </w:rPr>
        <w:t xml:space="preserve">Determine HRA applicability by summing increases and </w:t>
      </w:r>
      <w:proofErr w:type="gramStart"/>
      <w:r>
        <w:rPr>
          <w:rFonts w:ascii="Aptos" w:eastAsia="Times New Roman" w:hAnsi="Aptos"/>
        </w:rPr>
        <w:t>comparing</w:t>
      </w:r>
      <w:proofErr w:type="gramEnd"/>
      <w:r>
        <w:rPr>
          <w:rFonts w:ascii="Aptos" w:eastAsia="Times New Roman" w:hAnsi="Aptos"/>
        </w:rPr>
        <w:t xml:space="preserve"> against the trigger levels.  If any trigger is exceeded, an HRA is required for all units &amp; pollutants.  This involves AERMOD &amp; HARP. </w:t>
      </w:r>
    </w:p>
    <w:p w14:paraId="08634173" w14:textId="77777777" w:rsidR="00057AA0" w:rsidRDefault="00057AA0" w:rsidP="00057AA0">
      <w:pPr>
        <w:pStyle w:val="ListParagraph"/>
        <w:numPr>
          <w:ilvl w:val="1"/>
          <w:numId w:val="5"/>
        </w:numPr>
        <w:contextualSpacing w:val="0"/>
        <w:rPr>
          <w:rFonts w:ascii="Aptos" w:eastAsia="Times New Roman" w:hAnsi="Aptos"/>
        </w:rPr>
      </w:pPr>
      <w:r>
        <w:rPr>
          <w:rFonts w:ascii="Aptos" w:eastAsia="Times New Roman" w:hAnsi="Aptos"/>
        </w:rPr>
        <w:t xml:space="preserve">If there are any exempt units with TACs, include it with the project HRA even though you can look at its impacts separately. </w:t>
      </w:r>
    </w:p>
    <w:p w14:paraId="62D27EEA" w14:textId="77777777" w:rsidR="00057AA0" w:rsidRDefault="00057AA0" w:rsidP="00057AA0">
      <w:pPr>
        <w:rPr>
          <w:rFonts w:ascii="Aptos" w:hAnsi="Aptos"/>
        </w:rPr>
      </w:pPr>
    </w:p>
    <w:sectPr w:rsidR="00057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712F9"/>
    <w:multiLevelType w:val="hybridMultilevel"/>
    <w:tmpl w:val="22382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5B77432"/>
    <w:multiLevelType w:val="hybridMultilevel"/>
    <w:tmpl w:val="DE4455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F85068A"/>
    <w:multiLevelType w:val="hybridMultilevel"/>
    <w:tmpl w:val="FDBA52F4"/>
    <w:lvl w:ilvl="0" w:tplc="FFFFFFFF">
      <w:start w:val="1"/>
      <w:numFmt w:val="decimal"/>
      <w:lvlText w:val="%1."/>
      <w:lvlJc w:val="left"/>
      <w:pPr>
        <w:ind w:left="76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0A50213"/>
    <w:multiLevelType w:val="hybridMultilevel"/>
    <w:tmpl w:val="87D440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19D165B"/>
    <w:multiLevelType w:val="hybridMultilevel"/>
    <w:tmpl w:val="98A0AD5A"/>
    <w:lvl w:ilvl="0" w:tplc="FFFFFFFF">
      <w:start w:val="1"/>
      <w:numFmt w:val="decimal"/>
      <w:lvlText w:val="%1."/>
      <w:lvlJc w:val="left"/>
      <w:pPr>
        <w:ind w:left="76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879062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8594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49064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1636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689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1NDMwMDU3MDYxNTNR0lEKTi0uzszPAykwrAUA0qWdEiwAAAA="/>
  </w:docVars>
  <w:rsids>
    <w:rsidRoot w:val="00057AA0"/>
    <w:rsid w:val="00057AA0"/>
    <w:rsid w:val="00075544"/>
    <w:rsid w:val="000C172C"/>
    <w:rsid w:val="00167270"/>
    <w:rsid w:val="00211D99"/>
    <w:rsid w:val="00290D1D"/>
    <w:rsid w:val="003230FC"/>
    <w:rsid w:val="00350633"/>
    <w:rsid w:val="00547977"/>
    <w:rsid w:val="00681BB2"/>
    <w:rsid w:val="007C5320"/>
    <w:rsid w:val="00820B95"/>
    <w:rsid w:val="00837D44"/>
    <w:rsid w:val="00863C8B"/>
    <w:rsid w:val="0087098D"/>
    <w:rsid w:val="009F304A"/>
    <w:rsid w:val="00A22CE5"/>
    <w:rsid w:val="00B76AFD"/>
    <w:rsid w:val="00C75DD8"/>
    <w:rsid w:val="00D073DC"/>
    <w:rsid w:val="00ED5964"/>
    <w:rsid w:val="00F24223"/>
    <w:rsid w:val="00F819DB"/>
    <w:rsid w:val="00FA2121"/>
    <w:rsid w:val="00FE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186A"/>
  <w15:chartTrackingRefBased/>
  <w15:docId w15:val="{97A2750A-38C4-4D09-9444-DE9CABD1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AA0"/>
    <w:pPr>
      <w:spacing w:after="0" w:line="240" w:lineRule="auto"/>
    </w:pPr>
    <w:rPr>
      <w:rFonts w:ascii="Calibri" w:hAnsi="Calibri" w:cs="Calibri"/>
      <w:kern w:val="0"/>
      <w:sz w:val="22"/>
      <w:szCs w:val="22"/>
    </w:rPr>
  </w:style>
  <w:style w:type="paragraph" w:styleId="Heading1">
    <w:name w:val="heading 1"/>
    <w:basedOn w:val="Normal"/>
    <w:next w:val="Normal"/>
    <w:link w:val="Heading1Char"/>
    <w:uiPriority w:val="9"/>
    <w:qFormat/>
    <w:rsid w:val="00057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A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A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A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A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AA0"/>
    <w:rPr>
      <w:rFonts w:eastAsiaTheme="majorEastAsia" w:cstheme="majorBidi"/>
      <w:color w:val="272727" w:themeColor="text1" w:themeTint="D8"/>
    </w:rPr>
  </w:style>
  <w:style w:type="paragraph" w:styleId="Title">
    <w:name w:val="Title"/>
    <w:basedOn w:val="Normal"/>
    <w:next w:val="Normal"/>
    <w:link w:val="TitleChar"/>
    <w:uiPriority w:val="10"/>
    <w:qFormat/>
    <w:rsid w:val="00057A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AA0"/>
    <w:pPr>
      <w:spacing w:before="160"/>
      <w:jc w:val="center"/>
    </w:pPr>
    <w:rPr>
      <w:i/>
      <w:iCs/>
      <w:color w:val="404040" w:themeColor="text1" w:themeTint="BF"/>
    </w:rPr>
  </w:style>
  <w:style w:type="character" w:customStyle="1" w:styleId="QuoteChar">
    <w:name w:val="Quote Char"/>
    <w:basedOn w:val="DefaultParagraphFont"/>
    <w:link w:val="Quote"/>
    <w:uiPriority w:val="29"/>
    <w:rsid w:val="00057AA0"/>
    <w:rPr>
      <w:i/>
      <w:iCs/>
      <w:color w:val="404040" w:themeColor="text1" w:themeTint="BF"/>
    </w:rPr>
  </w:style>
  <w:style w:type="paragraph" w:styleId="ListParagraph">
    <w:name w:val="List Paragraph"/>
    <w:basedOn w:val="Normal"/>
    <w:uiPriority w:val="34"/>
    <w:qFormat/>
    <w:rsid w:val="00057AA0"/>
    <w:pPr>
      <w:ind w:left="720"/>
      <w:contextualSpacing/>
    </w:pPr>
  </w:style>
  <w:style w:type="character" w:styleId="IntenseEmphasis">
    <w:name w:val="Intense Emphasis"/>
    <w:basedOn w:val="DefaultParagraphFont"/>
    <w:uiPriority w:val="21"/>
    <w:qFormat/>
    <w:rsid w:val="00057AA0"/>
    <w:rPr>
      <w:i/>
      <w:iCs/>
      <w:color w:val="0F4761" w:themeColor="accent1" w:themeShade="BF"/>
    </w:rPr>
  </w:style>
  <w:style w:type="paragraph" w:styleId="IntenseQuote">
    <w:name w:val="Intense Quote"/>
    <w:basedOn w:val="Normal"/>
    <w:next w:val="Normal"/>
    <w:link w:val="IntenseQuoteChar"/>
    <w:uiPriority w:val="30"/>
    <w:qFormat/>
    <w:rsid w:val="00057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AA0"/>
    <w:rPr>
      <w:i/>
      <w:iCs/>
      <w:color w:val="0F4761" w:themeColor="accent1" w:themeShade="BF"/>
    </w:rPr>
  </w:style>
  <w:style w:type="character" w:styleId="IntenseReference">
    <w:name w:val="Intense Reference"/>
    <w:basedOn w:val="DefaultParagraphFont"/>
    <w:uiPriority w:val="32"/>
    <w:qFormat/>
    <w:rsid w:val="00057AA0"/>
    <w:rPr>
      <w:b/>
      <w:bCs/>
      <w:smallCaps/>
      <w:color w:val="0F4761" w:themeColor="accent1" w:themeShade="BF"/>
      <w:spacing w:val="5"/>
    </w:rPr>
  </w:style>
  <w:style w:type="character" w:styleId="Hyperlink">
    <w:name w:val="Hyperlink"/>
    <w:basedOn w:val="DefaultParagraphFont"/>
    <w:uiPriority w:val="99"/>
    <w:semiHidden/>
    <w:unhideWhenUsed/>
    <w:rsid w:val="00057AA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64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aaqmd.gov/en/permits/permitting-manuals/bact-tbact-workboo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3</Pages>
  <Words>1251</Words>
  <Characters>6857</Characters>
  <Application>Microsoft Office Word</Application>
  <DocSecurity>0</DocSecurity>
  <Lines>207</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Widboom</dc:creator>
  <cp:keywords/>
  <dc:description/>
  <cp:lastModifiedBy>Tony Widboom</cp:lastModifiedBy>
  <cp:revision>2</cp:revision>
  <dcterms:created xsi:type="dcterms:W3CDTF">2025-10-09T20:40:00Z</dcterms:created>
  <dcterms:modified xsi:type="dcterms:W3CDTF">2025-10-10T04:39:00Z</dcterms:modified>
</cp:coreProperties>
</file>