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933CFB" w14:textId="77777777" w:rsidR="00DB7FEF" w:rsidRDefault="00DB7FEF" w:rsidP="00DB7FEF">
      <w:pPr>
        <w:keepNext/>
        <w:spacing w:before="300" w:line="300" w:lineRule="atLeast"/>
        <w:jc w:val="both"/>
        <w:rPr>
          <w:rFonts w:ascii="Arial" w:hAnsi="Arial" w:cs="Arial"/>
          <w:sz w:val="22"/>
          <w:szCs w:val="22"/>
          <w:u w:val="single"/>
        </w:rPr>
      </w:pPr>
      <w:r>
        <w:rPr>
          <w:rFonts w:ascii="Arial" w:hAnsi="Arial" w:cs="Arial"/>
          <w:sz w:val="22"/>
          <w:szCs w:val="22"/>
          <w:u w:val="single"/>
        </w:rPr>
        <w:t>Project Description</w:t>
      </w:r>
    </w:p>
    <w:p w14:paraId="28972640" w14:textId="790DBD28" w:rsidR="00DB7FEF" w:rsidRDefault="00DB7FEF" w:rsidP="78C24AC5">
      <w:pPr>
        <w:keepNext/>
        <w:spacing w:before="300" w:line="300" w:lineRule="atLeast"/>
        <w:jc w:val="both"/>
        <w:rPr>
          <w:rFonts w:ascii="Arial" w:hAnsi="Arial" w:cs="Arial"/>
          <w:sz w:val="22"/>
          <w:szCs w:val="22"/>
        </w:rPr>
      </w:pPr>
      <w:r w:rsidRPr="78C24AC5">
        <w:rPr>
          <w:rFonts w:ascii="Arial" w:hAnsi="Arial" w:cs="Arial"/>
          <w:sz w:val="22"/>
          <w:szCs w:val="22"/>
        </w:rPr>
        <w:t xml:space="preserve">Tesoro is seeking to </w:t>
      </w:r>
      <w:r w:rsidR="246E5093" w:rsidRPr="78C24AC5">
        <w:rPr>
          <w:rFonts w:ascii="Arial" w:hAnsi="Arial" w:cs="Arial"/>
          <w:sz w:val="22"/>
          <w:szCs w:val="22"/>
        </w:rPr>
        <w:t xml:space="preserve">approval from the </w:t>
      </w:r>
      <w:proofErr w:type="gramStart"/>
      <w:r w:rsidR="246E5093" w:rsidRPr="78C24AC5">
        <w:rPr>
          <w:rFonts w:ascii="Arial" w:hAnsi="Arial" w:cs="Arial"/>
          <w:sz w:val="22"/>
          <w:szCs w:val="22"/>
        </w:rPr>
        <w:t>District</w:t>
      </w:r>
      <w:proofErr w:type="gramEnd"/>
      <w:r w:rsidR="246E5093" w:rsidRPr="78C24AC5">
        <w:rPr>
          <w:rFonts w:ascii="Arial" w:hAnsi="Arial" w:cs="Arial"/>
          <w:sz w:val="22"/>
          <w:szCs w:val="22"/>
        </w:rPr>
        <w:t xml:space="preserve"> for </w:t>
      </w:r>
      <w:r w:rsidRPr="78C24AC5">
        <w:rPr>
          <w:rFonts w:ascii="Arial" w:hAnsi="Arial" w:cs="Arial"/>
          <w:sz w:val="22"/>
          <w:szCs w:val="22"/>
        </w:rPr>
        <w:t>alternative control scenario</w:t>
      </w:r>
      <w:r w:rsidR="72D06AA4" w:rsidRPr="78C24AC5">
        <w:rPr>
          <w:rFonts w:ascii="Arial" w:hAnsi="Arial" w:cs="Arial"/>
          <w:sz w:val="22"/>
          <w:szCs w:val="22"/>
        </w:rPr>
        <w:t>s</w:t>
      </w:r>
      <w:r w:rsidRPr="78C24AC5">
        <w:rPr>
          <w:rFonts w:ascii="Arial" w:hAnsi="Arial" w:cs="Arial"/>
          <w:sz w:val="22"/>
          <w:szCs w:val="22"/>
        </w:rPr>
        <w:t xml:space="preserve"> for the FWS S-1600 when the</w:t>
      </w:r>
      <w:r w:rsidR="007B0D3F" w:rsidRPr="78C24AC5">
        <w:rPr>
          <w:rFonts w:ascii="Arial" w:hAnsi="Arial" w:cs="Arial"/>
          <w:sz w:val="22"/>
          <w:szCs w:val="22"/>
        </w:rPr>
        <w:t xml:space="preserve"> </w:t>
      </w:r>
      <w:r w:rsidRPr="78C24AC5">
        <w:rPr>
          <w:rFonts w:ascii="Arial" w:hAnsi="Arial" w:cs="Arial"/>
          <w:sz w:val="22"/>
          <w:szCs w:val="22"/>
        </w:rPr>
        <w:t>A-2000 Thermal Oxidizer</w:t>
      </w:r>
      <w:r w:rsidR="4C15A9DF" w:rsidRPr="78C24AC5">
        <w:rPr>
          <w:rFonts w:ascii="Arial" w:hAnsi="Arial" w:cs="Arial"/>
          <w:sz w:val="22"/>
          <w:szCs w:val="22"/>
        </w:rPr>
        <w:t xml:space="preserve"> (TO)</w:t>
      </w:r>
      <w:r w:rsidRPr="78C24AC5">
        <w:rPr>
          <w:rFonts w:ascii="Arial" w:hAnsi="Arial" w:cs="Arial"/>
          <w:sz w:val="22"/>
          <w:szCs w:val="22"/>
        </w:rPr>
        <w:t xml:space="preserve"> is not </w:t>
      </w:r>
      <w:r w:rsidR="40F3E273" w:rsidRPr="78C24AC5">
        <w:rPr>
          <w:rFonts w:ascii="Arial" w:hAnsi="Arial" w:cs="Arial"/>
          <w:sz w:val="22"/>
          <w:szCs w:val="22"/>
        </w:rPr>
        <w:t>available</w:t>
      </w:r>
      <w:r w:rsidRPr="78C24AC5">
        <w:rPr>
          <w:rFonts w:ascii="Arial" w:hAnsi="Arial" w:cs="Arial"/>
          <w:sz w:val="22"/>
          <w:szCs w:val="22"/>
        </w:rPr>
        <w:t xml:space="preserve">. </w:t>
      </w:r>
      <w:r w:rsidR="3D7E2F7E" w:rsidRPr="78C24AC5">
        <w:rPr>
          <w:rFonts w:ascii="Arial" w:hAnsi="Arial" w:cs="Arial"/>
          <w:sz w:val="22"/>
          <w:szCs w:val="22"/>
        </w:rPr>
        <w:t xml:space="preserve">During </w:t>
      </w:r>
      <w:r w:rsidR="269429F6" w:rsidRPr="78C24AC5">
        <w:rPr>
          <w:rFonts w:ascii="Arial" w:hAnsi="Arial" w:cs="Arial"/>
          <w:sz w:val="22"/>
          <w:szCs w:val="22"/>
        </w:rPr>
        <w:t xml:space="preserve">times when the TO is not available, </w:t>
      </w:r>
      <w:r w:rsidRPr="78C24AC5">
        <w:rPr>
          <w:rFonts w:ascii="Arial" w:hAnsi="Arial" w:cs="Arial"/>
          <w:sz w:val="22"/>
          <w:szCs w:val="22"/>
        </w:rPr>
        <w:t xml:space="preserve">Tesoro plans to </w:t>
      </w:r>
      <w:r w:rsidR="167CA1AC" w:rsidRPr="78C24AC5">
        <w:rPr>
          <w:rFonts w:ascii="Arial" w:hAnsi="Arial" w:cs="Arial"/>
          <w:sz w:val="22"/>
          <w:szCs w:val="22"/>
        </w:rPr>
        <w:t xml:space="preserve">route gases </w:t>
      </w:r>
      <w:r w:rsidR="68C063B7" w:rsidRPr="78C24AC5">
        <w:rPr>
          <w:rFonts w:ascii="Arial" w:hAnsi="Arial" w:cs="Arial"/>
          <w:sz w:val="22"/>
          <w:szCs w:val="22"/>
        </w:rPr>
        <w:t xml:space="preserve">through </w:t>
      </w:r>
      <w:r w:rsidRPr="78C24AC5">
        <w:rPr>
          <w:rFonts w:ascii="Arial" w:hAnsi="Arial" w:cs="Arial"/>
          <w:sz w:val="22"/>
          <w:szCs w:val="22"/>
        </w:rPr>
        <w:t xml:space="preserve">the existing ductwork </w:t>
      </w:r>
      <w:r w:rsidR="330BA343" w:rsidRPr="78C24AC5">
        <w:rPr>
          <w:rFonts w:ascii="Arial" w:hAnsi="Arial" w:cs="Arial"/>
          <w:sz w:val="22"/>
          <w:szCs w:val="22"/>
        </w:rPr>
        <w:t xml:space="preserve">located </w:t>
      </w:r>
      <w:r w:rsidRPr="78C24AC5">
        <w:rPr>
          <w:rFonts w:ascii="Arial" w:hAnsi="Arial" w:cs="Arial"/>
          <w:sz w:val="22"/>
          <w:szCs w:val="22"/>
        </w:rPr>
        <w:t>after the A-2002 H2S Adsorption Vessels to the flare header system. From the flare header system, the exhaust gases may either be combusted in one of the flares connected to the flare gas header (</w:t>
      </w:r>
      <w:r w:rsidR="69B7CC3B" w:rsidRPr="78C24AC5">
        <w:rPr>
          <w:rFonts w:ascii="Arial" w:hAnsi="Arial" w:cs="Arial"/>
          <w:sz w:val="22"/>
          <w:szCs w:val="22"/>
        </w:rPr>
        <w:t xml:space="preserve">herein referred to as </w:t>
      </w:r>
      <w:r w:rsidR="399DD733" w:rsidRPr="78C24AC5">
        <w:rPr>
          <w:rFonts w:ascii="Arial" w:hAnsi="Arial" w:cs="Arial"/>
          <w:sz w:val="22"/>
          <w:szCs w:val="22"/>
        </w:rPr>
        <w:t>“</w:t>
      </w:r>
      <w:r w:rsidRPr="78C24AC5">
        <w:rPr>
          <w:rFonts w:ascii="Arial" w:hAnsi="Arial" w:cs="Arial"/>
          <w:sz w:val="22"/>
          <w:szCs w:val="22"/>
        </w:rPr>
        <w:t>Scenario 2a – Flare Combustion</w:t>
      </w:r>
      <w:r w:rsidR="6722498D" w:rsidRPr="78C24AC5">
        <w:rPr>
          <w:rFonts w:ascii="Arial" w:hAnsi="Arial" w:cs="Arial"/>
          <w:sz w:val="22"/>
          <w:szCs w:val="22"/>
        </w:rPr>
        <w:t>”</w:t>
      </w:r>
      <w:r w:rsidRPr="78C24AC5">
        <w:rPr>
          <w:rFonts w:ascii="Arial" w:hAnsi="Arial" w:cs="Arial"/>
          <w:sz w:val="22"/>
          <w:szCs w:val="22"/>
        </w:rPr>
        <w:t xml:space="preserve">) or captured in the flare gas recovery unit </w:t>
      </w:r>
      <w:r w:rsidR="48FA3AEB" w:rsidRPr="78C24AC5">
        <w:rPr>
          <w:rFonts w:ascii="Arial" w:hAnsi="Arial" w:cs="Arial"/>
          <w:sz w:val="22"/>
          <w:szCs w:val="22"/>
        </w:rPr>
        <w:t>for</w:t>
      </w:r>
      <w:r w:rsidRPr="78C24AC5">
        <w:rPr>
          <w:rFonts w:ascii="Arial" w:hAnsi="Arial" w:cs="Arial"/>
          <w:sz w:val="22"/>
          <w:szCs w:val="22"/>
        </w:rPr>
        <w:t xml:space="preserve"> combust</w:t>
      </w:r>
      <w:r w:rsidR="26832A2C" w:rsidRPr="78C24AC5">
        <w:rPr>
          <w:rFonts w:ascii="Arial" w:hAnsi="Arial" w:cs="Arial"/>
          <w:sz w:val="22"/>
          <w:szCs w:val="22"/>
        </w:rPr>
        <w:t>ion</w:t>
      </w:r>
      <w:r w:rsidRPr="78C24AC5">
        <w:rPr>
          <w:rFonts w:ascii="Arial" w:hAnsi="Arial" w:cs="Arial"/>
          <w:sz w:val="22"/>
          <w:szCs w:val="22"/>
        </w:rPr>
        <w:t xml:space="preserve"> in one of the downstream fuel gas combustion devices (herein referred to as </w:t>
      </w:r>
      <w:r w:rsidR="08F0BE7E" w:rsidRPr="78C24AC5">
        <w:rPr>
          <w:rFonts w:ascii="Arial" w:hAnsi="Arial" w:cs="Arial"/>
          <w:sz w:val="22"/>
          <w:szCs w:val="22"/>
        </w:rPr>
        <w:t>“</w:t>
      </w:r>
      <w:r w:rsidRPr="78C24AC5">
        <w:rPr>
          <w:rFonts w:ascii="Arial" w:hAnsi="Arial" w:cs="Arial"/>
          <w:sz w:val="22"/>
          <w:szCs w:val="22"/>
        </w:rPr>
        <w:t>Scenario 2b – Process Heater Combustion</w:t>
      </w:r>
      <w:r w:rsidR="54E15FB4" w:rsidRPr="78C24AC5">
        <w:rPr>
          <w:rFonts w:ascii="Arial" w:hAnsi="Arial" w:cs="Arial"/>
          <w:sz w:val="22"/>
          <w:szCs w:val="22"/>
        </w:rPr>
        <w:t>”</w:t>
      </w:r>
      <w:r w:rsidRPr="78C24AC5">
        <w:rPr>
          <w:rFonts w:ascii="Arial" w:hAnsi="Arial" w:cs="Arial"/>
          <w:sz w:val="22"/>
          <w:szCs w:val="22"/>
        </w:rPr>
        <w:t>).</w:t>
      </w:r>
      <w:r w:rsidR="00FB7FB4">
        <w:rPr>
          <w:rFonts w:ascii="Arial" w:hAnsi="Arial" w:cs="Arial"/>
          <w:sz w:val="22"/>
          <w:szCs w:val="22"/>
        </w:rPr>
        <w:t xml:space="preserve"> Scenario 2b </w:t>
      </w:r>
      <w:r w:rsidR="0035721D">
        <w:rPr>
          <w:rFonts w:ascii="Arial" w:hAnsi="Arial" w:cs="Arial"/>
          <w:sz w:val="22"/>
          <w:szCs w:val="22"/>
        </w:rPr>
        <w:t>– Process Heater Combustion is expected to be the primary scenario because the facility has sufficient fl</w:t>
      </w:r>
      <w:r w:rsidR="00A67016">
        <w:rPr>
          <w:rFonts w:ascii="Arial" w:hAnsi="Arial" w:cs="Arial"/>
          <w:sz w:val="22"/>
          <w:szCs w:val="22"/>
        </w:rPr>
        <w:t>a</w:t>
      </w:r>
      <w:r w:rsidR="0035721D">
        <w:rPr>
          <w:rFonts w:ascii="Arial" w:hAnsi="Arial" w:cs="Arial"/>
          <w:sz w:val="22"/>
          <w:szCs w:val="22"/>
        </w:rPr>
        <w:t>re gas recovery compressor capacity to recover the additional flow rate from the FWS during the alternative control scenarios. Scenario 2a – Flare Combustion is only expected during certain shutdown events or malfunctions.</w:t>
      </w:r>
      <w:r w:rsidRPr="78C24AC5">
        <w:rPr>
          <w:rFonts w:ascii="Arial" w:hAnsi="Arial" w:cs="Arial"/>
          <w:sz w:val="22"/>
          <w:szCs w:val="22"/>
        </w:rPr>
        <w:t xml:space="preserve"> Tesoro proposes </w:t>
      </w:r>
      <w:r w:rsidR="010F128E" w:rsidRPr="78C24AC5">
        <w:rPr>
          <w:rFonts w:ascii="Arial" w:hAnsi="Arial" w:cs="Arial"/>
          <w:sz w:val="22"/>
          <w:szCs w:val="22"/>
        </w:rPr>
        <w:t xml:space="preserve">to use these two alternative control scenarios not more than </w:t>
      </w:r>
      <w:r w:rsidRPr="78C24AC5">
        <w:rPr>
          <w:rFonts w:ascii="Arial" w:hAnsi="Arial" w:cs="Arial"/>
          <w:sz w:val="22"/>
          <w:szCs w:val="22"/>
        </w:rPr>
        <w:t>500 hour</w:t>
      </w:r>
      <w:r w:rsidR="6EDAE657" w:rsidRPr="78C24AC5">
        <w:rPr>
          <w:rFonts w:ascii="Arial" w:hAnsi="Arial" w:cs="Arial"/>
          <w:sz w:val="22"/>
          <w:szCs w:val="22"/>
        </w:rPr>
        <w:t>s</w:t>
      </w:r>
      <w:r w:rsidRPr="78C24AC5">
        <w:rPr>
          <w:rFonts w:ascii="Arial" w:hAnsi="Arial" w:cs="Arial"/>
          <w:sz w:val="22"/>
          <w:szCs w:val="22"/>
        </w:rPr>
        <w:t xml:space="preserve"> per year</w:t>
      </w:r>
      <w:r w:rsidR="00A32EC8">
        <w:rPr>
          <w:rFonts w:ascii="Arial" w:hAnsi="Arial" w:cs="Arial"/>
          <w:sz w:val="22"/>
          <w:szCs w:val="22"/>
        </w:rPr>
        <w:t xml:space="preserve"> total</w:t>
      </w:r>
      <w:r w:rsidR="00A67016">
        <w:rPr>
          <w:rFonts w:ascii="Arial" w:hAnsi="Arial" w:cs="Arial"/>
          <w:sz w:val="22"/>
          <w:szCs w:val="22"/>
        </w:rPr>
        <w:t xml:space="preserve"> for both scenarios</w:t>
      </w:r>
      <w:r w:rsidR="5C5A8E10" w:rsidRPr="78C24AC5">
        <w:rPr>
          <w:rFonts w:ascii="Arial" w:hAnsi="Arial" w:cs="Arial"/>
          <w:sz w:val="22"/>
          <w:szCs w:val="22"/>
        </w:rPr>
        <w:t xml:space="preserve">. </w:t>
      </w:r>
    </w:p>
    <w:p w14:paraId="7AC20A13" w14:textId="5DDBF5B4" w:rsidR="0035721D" w:rsidRDefault="0035721D" w:rsidP="78C24AC5">
      <w:pPr>
        <w:keepNext/>
        <w:spacing w:before="300" w:line="300" w:lineRule="atLeast"/>
        <w:jc w:val="both"/>
        <w:rPr>
          <w:rFonts w:ascii="Arial" w:hAnsi="Arial" w:cs="Arial"/>
          <w:sz w:val="22"/>
          <w:szCs w:val="22"/>
        </w:rPr>
      </w:pPr>
      <w:r>
        <w:rPr>
          <w:rFonts w:ascii="Arial" w:hAnsi="Arial" w:cs="Arial"/>
          <w:sz w:val="22"/>
          <w:szCs w:val="22"/>
        </w:rPr>
        <w:t xml:space="preserve">Tesoro </w:t>
      </w:r>
      <w:r w:rsidR="00A67016">
        <w:rPr>
          <w:rFonts w:ascii="Arial" w:hAnsi="Arial" w:cs="Arial"/>
          <w:sz w:val="22"/>
          <w:szCs w:val="22"/>
        </w:rPr>
        <w:t xml:space="preserve">proposes to update </w:t>
      </w:r>
      <w:r>
        <w:rPr>
          <w:rFonts w:ascii="Arial" w:hAnsi="Arial" w:cs="Arial"/>
          <w:sz w:val="22"/>
          <w:szCs w:val="22"/>
        </w:rPr>
        <w:t xml:space="preserve">the following representations: </w:t>
      </w:r>
    </w:p>
    <w:p w14:paraId="7C8E32D2" w14:textId="7E9B1409" w:rsidR="0035721D" w:rsidRPr="0035721D" w:rsidRDefault="0035721D" w:rsidP="0035721D">
      <w:pPr>
        <w:pStyle w:val="ListParagraph"/>
        <w:keepNext/>
        <w:numPr>
          <w:ilvl w:val="0"/>
          <w:numId w:val="6"/>
        </w:numPr>
        <w:spacing w:before="300" w:line="300" w:lineRule="atLeast"/>
        <w:jc w:val="both"/>
        <w:rPr>
          <w:rFonts w:ascii="Arial" w:eastAsia="Aptos" w:hAnsi="Arial" w:cs="Arial"/>
          <w:color w:val="000000" w:themeColor="text1"/>
          <w:sz w:val="22"/>
          <w:szCs w:val="22"/>
        </w:rPr>
      </w:pPr>
      <w:r w:rsidRPr="78C24AC5">
        <w:rPr>
          <w:rFonts w:ascii="Arial" w:hAnsi="Arial" w:cs="Arial"/>
          <w:sz w:val="22"/>
          <w:szCs w:val="22"/>
        </w:rPr>
        <w:t xml:space="preserve">Increased </w:t>
      </w:r>
      <w:r>
        <w:rPr>
          <w:rFonts w:ascii="Arial" w:hAnsi="Arial" w:cs="Arial"/>
          <w:sz w:val="22"/>
          <w:szCs w:val="22"/>
        </w:rPr>
        <w:t xml:space="preserve">A-2000 </w:t>
      </w:r>
      <w:r w:rsidRPr="78C24AC5">
        <w:rPr>
          <w:rFonts w:ascii="Arial" w:hAnsi="Arial" w:cs="Arial"/>
          <w:sz w:val="22"/>
          <w:szCs w:val="22"/>
        </w:rPr>
        <w:t>firing rate from 1.91 million British Thermal Units per hour (MMBtu/hr) to 2</w:t>
      </w:r>
      <w:r>
        <w:rPr>
          <w:rFonts w:ascii="Arial" w:hAnsi="Arial" w:cs="Arial"/>
          <w:sz w:val="22"/>
          <w:szCs w:val="22"/>
        </w:rPr>
        <w:t>.2</w:t>
      </w:r>
      <w:r w:rsidRPr="78C24AC5">
        <w:rPr>
          <w:rFonts w:ascii="Arial" w:hAnsi="Arial" w:cs="Arial"/>
          <w:sz w:val="22"/>
          <w:szCs w:val="22"/>
        </w:rPr>
        <w:t xml:space="preserve"> MMBtu/</w:t>
      </w:r>
      <w:proofErr w:type="gramStart"/>
      <w:r w:rsidRPr="78C24AC5">
        <w:rPr>
          <w:rFonts w:ascii="Arial" w:hAnsi="Arial" w:cs="Arial"/>
          <w:sz w:val="22"/>
          <w:szCs w:val="22"/>
        </w:rPr>
        <w:t>hr,</w:t>
      </w:r>
      <w:r>
        <w:rPr>
          <w:rFonts w:ascii="Arial" w:hAnsi="Arial" w:cs="Arial"/>
          <w:sz w:val="22"/>
          <w:szCs w:val="22"/>
        </w:rPr>
        <w:t xml:space="preserve"> and</w:t>
      </w:r>
      <w:proofErr w:type="gramEnd"/>
      <w:r>
        <w:rPr>
          <w:rFonts w:ascii="Arial" w:hAnsi="Arial" w:cs="Arial"/>
          <w:sz w:val="22"/>
          <w:szCs w:val="22"/>
        </w:rPr>
        <w:t xml:space="preserve"> </w:t>
      </w:r>
      <w:r w:rsidRPr="0035721D">
        <w:rPr>
          <w:rFonts w:ascii="Arial" w:eastAsia="Aptos" w:hAnsi="Arial" w:cs="Arial"/>
          <w:color w:val="000000" w:themeColor="text1"/>
          <w:sz w:val="22"/>
          <w:szCs w:val="22"/>
        </w:rPr>
        <w:t xml:space="preserve">update the associated </w:t>
      </w:r>
      <w:r>
        <w:rPr>
          <w:rFonts w:ascii="Arial" w:eastAsia="Aptos" w:hAnsi="Arial" w:cs="Arial"/>
          <w:color w:val="000000" w:themeColor="text1"/>
          <w:sz w:val="22"/>
          <w:szCs w:val="22"/>
        </w:rPr>
        <w:t>description</w:t>
      </w:r>
      <w:r w:rsidRPr="0035721D">
        <w:rPr>
          <w:rFonts w:ascii="Arial" w:eastAsia="Aptos" w:hAnsi="Arial" w:cs="Arial"/>
          <w:color w:val="000000" w:themeColor="text1"/>
          <w:sz w:val="22"/>
          <w:szCs w:val="22"/>
        </w:rPr>
        <w:t xml:space="preserve"> from “Sour Water Stripper” to “Foul Water Stripper” to be consistent with the site’s nomenclature</w:t>
      </w:r>
      <w:r>
        <w:rPr>
          <w:rFonts w:ascii="Arial" w:eastAsia="Aptos" w:hAnsi="Arial" w:cs="Arial"/>
          <w:color w:val="000000" w:themeColor="text1"/>
          <w:sz w:val="22"/>
          <w:szCs w:val="22"/>
        </w:rPr>
        <w:t>.</w:t>
      </w:r>
    </w:p>
    <w:p w14:paraId="053B8470" w14:textId="50762BFB" w:rsidR="00A67016" w:rsidRDefault="00DB7FEF" w:rsidP="00DB7FEF">
      <w:pPr>
        <w:spacing w:before="300" w:line="300" w:lineRule="atLeast"/>
        <w:jc w:val="both"/>
        <w:rPr>
          <w:rFonts w:ascii="Arial" w:hAnsi="Arial" w:cs="Arial"/>
          <w:sz w:val="22"/>
          <w:szCs w:val="22"/>
        </w:rPr>
      </w:pPr>
      <w:r w:rsidRPr="4E9F2C88">
        <w:rPr>
          <w:rFonts w:ascii="Arial" w:hAnsi="Arial" w:cs="Arial"/>
          <w:sz w:val="22"/>
          <w:szCs w:val="22"/>
        </w:rPr>
        <w:t xml:space="preserve">A process flow diagram focused on the </w:t>
      </w:r>
      <w:r w:rsidR="00A32EC8">
        <w:rPr>
          <w:rFonts w:ascii="Arial" w:hAnsi="Arial" w:cs="Arial"/>
          <w:sz w:val="22"/>
          <w:szCs w:val="22"/>
        </w:rPr>
        <w:t>foul</w:t>
      </w:r>
      <w:r w:rsidR="00A32EC8" w:rsidRPr="4E9F2C88">
        <w:rPr>
          <w:rFonts w:ascii="Arial" w:hAnsi="Arial" w:cs="Arial"/>
          <w:sz w:val="22"/>
          <w:szCs w:val="22"/>
        </w:rPr>
        <w:t xml:space="preserve"> </w:t>
      </w:r>
      <w:r w:rsidRPr="4E9F2C88">
        <w:rPr>
          <w:rFonts w:ascii="Arial" w:hAnsi="Arial" w:cs="Arial"/>
          <w:sz w:val="22"/>
          <w:szCs w:val="22"/>
        </w:rPr>
        <w:t>water system</w:t>
      </w:r>
      <w:r w:rsidR="40740D47" w:rsidRPr="4E9F2C88">
        <w:rPr>
          <w:rFonts w:ascii="Arial" w:hAnsi="Arial" w:cs="Arial"/>
          <w:sz w:val="22"/>
          <w:szCs w:val="22"/>
        </w:rPr>
        <w:t xml:space="preserve"> depicts </w:t>
      </w:r>
      <w:r w:rsidR="091A71E5" w:rsidRPr="4E9F2C88">
        <w:rPr>
          <w:rFonts w:ascii="Arial" w:hAnsi="Arial" w:cs="Arial"/>
          <w:sz w:val="22"/>
          <w:szCs w:val="22"/>
        </w:rPr>
        <w:t>S</w:t>
      </w:r>
      <w:r w:rsidRPr="4E9F2C88">
        <w:rPr>
          <w:rFonts w:ascii="Arial" w:hAnsi="Arial" w:cs="Arial"/>
          <w:sz w:val="22"/>
          <w:szCs w:val="22"/>
        </w:rPr>
        <w:t>cenarios</w:t>
      </w:r>
      <w:r w:rsidR="3E781D84" w:rsidRPr="4E9F2C88">
        <w:rPr>
          <w:rFonts w:ascii="Arial" w:hAnsi="Arial" w:cs="Arial"/>
          <w:sz w:val="22"/>
          <w:szCs w:val="22"/>
        </w:rPr>
        <w:t xml:space="preserve"> 2a and 2b and</w:t>
      </w:r>
      <w:r w:rsidRPr="4E9F2C88">
        <w:rPr>
          <w:rFonts w:ascii="Arial" w:hAnsi="Arial" w:cs="Arial"/>
          <w:sz w:val="22"/>
          <w:szCs w:val="22"/>
        </w:rPr>
        <w:t xml:space="preserve"> is included below. </w:t>
      </w:r>
    </w:p>
    <w:p w14:paraId="58FA0EB3" w14:textId="1E5C898B" w:rsidR="00A67016" w:rsidRDefault="00A32EC8" w:rsidP="00A67016">
      <w:pPr>
        <w:spacing w:before="300" w:line="300" w:lineRule="atLeast"/>
        <w:jc w:val="both"/>
        <w:rPr>
          <w:rFonts w:ascii="Arial" w:hAnsi="Arial" w:cs="Arial"/>
          <w:sz w:val="22"/>
          <w:szCs w:val="22"/>
          <w:u w:val="single"/>
        </w:rPr>
      </w:pPr>
      <w:r w:rsidRPr="00A67016">
        <w:rPr>
          <w:rFonts w:ascii="Arial" w:hAnsi="Arial" w:cs="Arial"/>
          <w:noProof/>
          <w:sz w:val="22"/>
          <w:szCs w:val="22"/>
        </w:rPr>
        <w:drawing>
          <wp:inline distT="0" distB="0" distL="0" distR="0" wp14:anchorId="1EFF982A" wp14:editId="1937FD17">
            <wp:extent cx="5450619" cy="1476209"/>
            <wp:effectExtent l="0" t="0" r="0" b="0"/>
            <wp:docPr id="45628580"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8580" name="Picture 1" descr="A diagram of a process&#10;&#10;Description automatically generated"/>
                    <pic:cNvPicPr/>
                  </pic:nvPicPr>
                  <pic:blipFill>
                    <a:blip r:embed="rId8"/>
                    <a:stretch>
                      <a:fillRect/>
                    </a:stretch>
                  </pic:blipFill>
                  <pic:spPr>
                    <a:xfrm>
                      <a:off x="0" y="0"/>
                      <a:ext cx="5477190" cy="1483405"/>
                    </a:xfrm>
                    <a:prstGeom prst="rect">
                      <a:avLst/>
                    </a:prstGeom>
                  </pic:spPr>
                </pic:pic>
              </a:graphicData>
            </a:graphic>
          </wp:inline>
        </w:drawing>
      </w:r>
    </w:p>
    <w:p w14:paraId="29B10BF7" w14:textId="77777777" w:rsidR="00A67016" w:rsidRDefault="00A67016">
      <w:pPr>
        <w:spacing w:after="160" w:line="278" w:lineRule="auto"/>
        <w:rPr>
          <w:rFonts w:ascii="Arial" w:hAnsi="Arial" w:cs="Arial"/>
          <w:sz w:val="22"/>
          <w:szCs w:val="22"/>
          <w:u w:val="single"/>
        </w:rPr>
      </w:pPr>
      <w:r>
        <w:rPr>
          <w:rFonts w:ascii="Arial" w:hAnsi="Arial" w:cs="Arial"/>
          <w:sz w:val="22"/>
          <w:szCs w:val="22"/>
          <w:u w:val="single"/>
        </w:rPr>
        <w:br w:type="page"/>
      </w:r>
    </w:p>
    <w:p w14:paraId="49A34083" w14:textId="58394FA3" w:rsidR="00DB7FEF" w:rsidRPr="003E55BB" w:rsidRDefault="00DB7FEF" w:rsidP="00D05D9B">
      <w:pPr>
        <w:spacing w:before="300" w:line="300" w:lineRule="atLeast"/>
        <w:jc w:val="both"/>
        <w:rPr>
          <w:rFonts w:ascii="Arial" w:hAnsi="Arial" w:cs="Arial"/>
          <w:sz w:val="22"/>
          <w:szCs w:val="22"/>
          <w:u w:val="single"/>
        </w:rPr>
      </w:pPr>
      <w:r w:rsidRPr="003E55BB">
        <w:rPr>
          <w:rFonts w:ascii="Arial" w:hAnsi="Arial" w:cs="Arial"/>
          <w:sz w:val="22"/>
          <w:szCs w:val="22"/>
          <w:u w:val="single"/>
        </w:rPr>
        <w:lastRenderedPageBreak/>
        <w:t xml:space="preserve">New Source Review </w:t>
      </w:r>
      <w:r>
        <w:rPr>
          <w:rFonts w:ascii="Arial" w:hAnsi="Arial" w:cs="Arial"/>
          <w:sz w:val="22"/>
          <w:szCs w:val="22"/>
          <w:u w:val="single"/>
        </w:rPr>
        <w:t xml:space="preserve">(NSR) </w:t>
      </w:r>
      <w:r w:rsidRPr="003E55BB">
        <w:rPr>
          <w:rFonts w:ascii="Arial" w:hAnsi="Arial" w:cs="Arial"/>
          <w:sz w:val="22"/>
          <w:szCs w:val="22"/>
          <w:u w:val="single"/>
        </w:rPr>
        <w:t>Applicability</w:t>
      </w:r>
      <w:r>
        <w:rPr>
          <w:rFonts w:ascii="Arial" w:hAnsi="Arial" w:cs="Arial"/>
          <w:sz w:val="22"/>
          <w:szCs w:val="22"/>
          <w:u w:val="single"/>
        </w:rPr>
        <w:t xml:space="preserve"> as a “Modification” (Rule 2-1-234)</w:t>
      </w:r>
    </w:p>
    <w:p w14:paraId="2E1AF146" w14:textId="5081879B" w:rsidR="00805E96" w:rsidRDefault="00805E96" w:rsidP="00DB7FEF">
      <w:pPr>
        <w:keepNext/>
        <w:spacing w:before="300" w:line="300" w:lineRule="atLeast"/>
        <w:jc w:val="both"/>
        <w:rPr>
          <w:rFonts w:ascii="Arial" w:hAnsi="Arial" w:cs="Arial"/>
          <w:sz w:val="22"/>
          <w:szCs w:val="22"/>
        </w:rPr>
      </w:pPr>
      <w:r w:rsidRPr="4E9F2C88">
        <w:rPr>
          <w:rFonts w:ascii="Arial" w:hAnsi="Arial" w:cs="Arial"/>
          <w:sz w:val="22"/>
          <w:szCs w:val="22"/>
        </w:rPr>
        <w:t xml:space="preserve">For purposes of this ATC application, Tesoro has </w:t>
      </w:r>
      <w:r w:rsidR="5EED064A" w:rsidRPr="4E9F2C88">
        <w:rPr>
          <w:rFonts w:ascii="Arial" w:hAnsi="Arial" w:cs="Arial"/>
          <w:sz w:val="22"/>
          <w:szCs w:val="22"/>
        </w:rPr>
        <w:t>evalu</w:t>
      </w:r>
      <w:r w:rsidR="0940A215" w:rsidRPr="4E9F2C88">
        <w:rPr>
          <w:rFonts w:ascii="Arial" w:hAnsi="Arial" w:cs="Arial"/>
          <w:sz w:val="22"/>
          <w:szCs w:val="22"/>
        </w:rPr>
        <w:t>a</w:t>
      </w:r>
      <w:r w:rsidR="5EED064A" w:rsidRPr="4E9F2C88">
        <w:rPr>
          <w:rFonts w:ascii="Arial" w:hAnsi="Arial" w:cs="Arial"/>
          <w:sz w:val="22"/>
          <w:szCs w:val="22"/>
        </w:rPr>
        <w:t xml:space="preserve">ted </w:t>
      </w:r>
      <w:r w:rsidRPr="4E9F2C88">
        <w:rPr>
          <w:rFonts w:ascii="Arial" w:hAnsi="Arial" w:cs="Arial"/>
          <w:sz w:val="22"/>
          <w:szCs w:val="22"/>
        </w:rPr>
        <w:t xml:space="preserve">whether the proposed changes result in an increase in potential to emit (PTE) as defined under </w:t>
      </w:r>
      <w:r w:rsidR="2589D672" w:rsidRPr="4E9F2C88">
        <w:rPr>
          <w:rFonts w:ascii="Arial" w:hAnsi="Arial" w:cs="Arial"/>
          <w:sz w:val="22"/>
          <w:szCs w:val="22"/>
        </w:rPr>
        <w:t>District’s Rule</w:t>
      </w:r>
      <w:r w:rsidRPr="4E9F2C88">
        <w:rPr>
          <w:rFonts w:ascii="Arial" w:hAnsi="Arial" w:cs="Arial"/>
          <w:sz w:val="22"/>
          <w:szCs w:val="22"/>
        </w:rPr>
        <w:t xml:space="preserve"> 2-1-234.1 and/or an increase over actual emissions baseline as defined under Section 2-1-234.2.</w:t>
      </w:r>
    </w:p>
    <w:p w14:paraId="11765455" w14:textId="459B3085" w:rsidR="00DB7FEF" w:rsidRPr="00726E04" w:rsidRDefault="00805E96" w:rsidP="00805E96">
      <w:pPr>
        <w:spacing w:before="300" w:line="300" w:lineRule="atLeast"/>
        <w:jc w:val="both"/>
        <w:rPr>
          <w:rFonts w:ascii="Arial" w:hAnsi="Arial" w:cs="Arial"/>
          <w:sz w:val="22"/>
          <w:szCs w:val="22"/>
        </w:rPr>
      </w:pPr>
      <w:r>
        <w:rPr>
          <w:rFonts w:ascii="Arial" w:hAnsi="Arial" w:cs="Arial"/>
          <w:sz w:val="22"/>
          <w:szCs w:val="22"/>
        </w:rPr>
        <w:t xml:space="preserve">PTE: </w:t>
      </w:r>
      <w:r w:rsidRPr="0075442B">
        <w:rPr>
          <w:rFonts w:ascii="Arial" w:hAnsi="Arial" w:cs="Arial"/>
          <w:sz w:val="22"/>
          <w:szCs w:val="22"/>
        </w:rPr>
        <w:t xml:space="preserve">Pre-project PTE </w:t>
      </w:r>
      <w:r>
        <w:rPr>
          <w:rFonts w:ascii="Arial" w:hAnsi="Arial" w:cs="Arial"/>
          <w:sz w:val="22"/>
          <w:szCs w:val="22"/>
        </w:rPr>
        <w:t xml:space="preserve">under Section 2-1-234.1 </w:t>
      </w:r>
      <w:r w:rsidRPr="0075442B">
        <w:rPr>
          <w:rFonts w:ascii="Arial" w:hAnsi="Arial" w:cs="Arial"/>
          <w:sz w:val="22"/>
          <w:szCs w:val="22"/>
        </w:rPr>
        <w:t xml:space="preserve">is determined by existing </w:t>
      </w:r>
      <w:r>
        <w:rPr>
          <w:rFonts w:ascii="Arial" w:hAnsi="Arial" w:cs="Arial"/>
          <w:sz w:val="22"/>
          <w:szCs w:val="22"/>
        </w:rPr>
        <w:t xml:space="preserve">permit </w:t>
      </w:r>
      <w:r w:rsidRPr="0075442B">
        <w:rPr>
          <w:rFonts w:ascii="Arial" w:hAnsi="Arial" w:cs="Arial"/>
          <w:sz w:val="22"/>
          <w:szCs w:val="22"/>
        </w:rPr>
        <w:t>limit</w:t>
      </w:r>
      <w:r>
        <w:rPr>
          <w:rFonts w:ascii="Arial" w:hAnsi="Arial" w:cs="Arial"/>
          <w:sz w:val="22"/>
          <w:szCs w:val="22"/>
        </w:rPr>
        <w:t>s, where available, and past permit application representations</w:t>
      </w:r>
      <w:r w:rsidRPr="0075442B">
        <w:rPr>
          <w:rFonts w:ascii="Arial" w:hAnsi="Arial" w:cs="Arial"/>
          <w:sz w:val="22"/>
          <w:szCs w:val="22"/>
        </w:rPr>
        <w:t>.</w:t>
      </w:r>
      <w:r>
        <w:rPr>
          <w:rFonts w:ascii="Arial" w:hAnsi="Arial" w:cs="Arial"/>
          <w:sz w:val="22"/>
          <w:szCs w:val="22"/>
        </w:rPr>
        <w:t xml:space="preserve"> </w:t>
      </w:r>
      <w:r w:rsidR="00DB7FEF" w:rsidRPr="00726E04">
        <w:rPr>
          <w:rFonts w:ascii="Arial" w:hAnsi="Arial" w:cs="Arial"/>
          <w:sz w:val="22"/>
          <w:szCs w:val="22"/>
        </w:rPr>
        <w:t xml:space="preserve">The updated S-1600/A-2000 PTE </w:t>
      </w:r>
      <w:r w:rsidR="002774C5">
        <w:rPr>
          <w:rFonts w:ascii="Arial" w:hAnsi="Arial" w:cs="Arial"/>
          <w:sz w:val="22"/>
          <w:szCs w:val="22"/>
        </w:rPr>
        <w:t xml:space="preserve">reflects </w:t>
      </w:r>
      <w:r w:rsidR="00DB7FEF" w:rsidRPr="00726E04">
        <w:rPr>
          <w:rFonts w:ascii="Arial" w:hAnsi="Arial" w:cs="Arial"/>
          <w:sz w:val="22"/>
          <w:szCs w:val="22"/>
        </w:rPr>
        <w:t xml:space="preserve">the following changes: </w:t>
      </w:r>
    </w:p>
    <w:p w14:paraId="038DF63B" w14:textId="3BE11B3D" w:rsidR="00DB7FEF" w:rsidRDefault="00DB7FEF" w:rsidP="78C24AC5">
      <w:pPr>
        <w:pStyle w:val="ListParagraph"/>
        <w:numPr>
          <w:ilvl w:val="0"/>
          <w:numId w:val="4"/>
        </w:numPr>
        <w:spacing w:before="300" w:line="300" w:lineRule="atLeast"/>
        <w:jc w:val="both"/>
        <w:rPr>
          <w:rFonts w:ascii="Arial" w:hAnsi="Arial" w:cs="Arial"/>
          <w:sz w:val="22"/>
          <w:szCs w:val="22"/>
        </w:rPr>
      </w:pPr>
      <w:r w:rsidRPr="78C24AC5">
        <w:rPr>
          <w:rFonts w:ascii="Arial" w:hAnsi="Arial" w:cs="Arial"/>
          <w:sz w:val="22"/>
          <w:szCs w:val="22"/>
        </w:rPr>
        <w:t>Increased maximum firing rate from 1.91 million British Thermal Units per hour (MMBtu/hr) to 2</w:t>
      </w:r>
      <w:r w:rsidR="00A32EC8">
        <w:rPr>
          <w:rFonts w:ascii="Arial" w:hAnsi="Arial" w:cs="Arial"/>
          <w:sz w:val="22"/>
          <w:szCs w:val="22"/>
        </w:rPr>
        <w:t>.2</w:t>
      </w:r>
      <w:r w:rsidRPr="78C24AC5">
        <w:rPr>
          <w:rFonts w:ascii="Arial" w:hAnsi="Arial" w:cs="Arial"/>
          <w:sz w:val="22"/>
          <w:szCs w:val="22"/>
        </w:rPr>
        <w:t xml:space="preserve"> MMBtu/hr,</w:t>
      </w:r>
    </w:p>
    <w:p w14:paraId="782BF57F" w14:textId="664E8AED" w:rsidR="00DB7FEF" w:rsidRDefault="00DB7FEF" w:rsidP="00EF6348">
      <w:pPr>
        <w:pStyle w:val="ListParagraph"/>
        <w:numPr>
          <w:ilvl w:val="0"/>
          <w:numId w:val="4"/>
        </w:numPr>
        <w:spacing w:before="300" w:line="300" w:lineRule="atLeast"/>
        <w:contextualSpacing w:val="0"/>
        <w:jc w:val="both"/>
        <w:rPr>
          <w:rFonts w:ascii="Arial" w:hAnsi="Arial" w:cs="Arial"/>
          <w:sz w:val="22"/>
          <w:szCs w:val="22"/>
        </w:rPr>
      </w:pPr>
      <w:r>
        <w:rPr>
          <w:rFonts w:ascii="Arial" w:hAnsi="Arial" w:cs="Arial"/>
          <w:sz w:val="22"/>
          <w:szCs w:val="22"/>
        </w:rPr>
        <w:t>Increased hourly CO emission rate from 0.006 pound per hour (lb/hr) to</w:t>
      </w:r>
      <w:r w:rsidR="00A32EC8">
        <w:rPr>
          <w:rFonts w:ascii="Arial" w:hAnsi="Arial" w:cs="Arial"/>
          <w:sz w:val="22"/>
          <w:szCs w:val="22"/>
        </w:rPr>
        <w:t xml:space="preserve"> 1.760 </w:t>
      </w:r>
      <w:proofErr w:type="spellStart"/>
      <w:r w:rsidR="00A32EC8">
        <w:rPr>
          <w:rFonts w:ascii="Arial" w:hAnsi="Arial" w:cs="Arial"/>
          <w:sz w:val="22"/>
          <w:szCs w:val="22"/>
        </w:rPr>
        <w:t>lb</w:t>
      </w:r>
      <w:proofErr w:type="spellEnd"/>
      <w:r w:rsidR="00A32EC8">
        <w:rPr>
          <w:rFonts w:ascii="Arial" w:hAnsi="Arial" w:cs="Arial"/>
          <w:sz w:val="22"/>
          <w:szCs w:val="22"/>
        </w:rPr>
        <w:t>/</w:t>
      </w:r>
      <w:proofErr w:type="spellStart"/>
      <w:r w:rsidR="00A32EC8">
        <w:rPr>
          <w:rFonts w:ascii="Arial" w:hAnsi="Arial" w:cs="Arial"/>
          <w:sz w:val="22"/>
          <w:szCs w:val="22"/>
        </w:rPr>
        <w:t>hr</w:t>
      </w:r>
      <w:proofErr w:type="spellEnd"/>
      <w:r>
        <w:rPr>
          <w:rFonts w:ascii="Arial" w:hAnsi="Arial" w:cs="Arial"/>
          <w:sz w:val="22"/>
          <w:szCs w:val="22"/>
        </w:rPr>
        <w:t xml:space="preserve"> based on </w:t>
      </w:r>
      <w:r w:rsidR="00A32EC8">
        <w:rPr>
          <w:rFonts w:ascii="Arial" w:hAnsi="Arial" w:cs="Arial"/>
          <w:sz w:val="22"/>
          <w:szCs w:val="22"/>
        </w:rPr>
        <w:t>BAAQMD</w:t>
      </w:r>
      <w:r w:rsidR="00A67016">
        <w:rPr>
          <w:rFonts w:ascii="Arial" w:hAnsi="Arial" w:cs="Arial"/>
          <w:sz w:val="22"/>
          <w:szCs w:val="22"/>
        </w:rPr>
        <w:t>’s</w:t>
      </w:r>
      <w:r w:rsidR="00A32EC8">
        <w:rPr>
          <w:rFonts w:ascii="Arial" w:hAnsi="Arial" w:cs="Arial"/>
          <w:sz w:val="22"/>
          <w:szCs w:val="22"/>
        </w:rPr>
        <w:t xml:space="preserve"> </w:t>
      </w:r>
      <w:r w:rsidR="00A32EC8" w:rsidRPr="78C24AC5">
        <w:rPr>
          <w:rFonts w:ascii="Arial" w:hAnsi="Arial" w:cs="Arial"/>
          <w:sz w:val="22"/>
          <w:szCs w:val="22"/>
        </w:rPr>
        <w:t>Reasonable Available Control Technology (RACT)</w:t>
      </w:r>
      <w:r w:rsidR="00A32EC8">
        <w:rPr>
          <w:rFonts w:ascii="Arial" w:hAnsi="Arial" w:cs="Arial"/>
          <w:sz w:val="22"/>
          <w:szCs w:val="22"/>
        </w:rPr>
        <w:t xml:space="preserve"> CO emission factor (</w:t>
      </w:r>
      <w:r>
        <w:rPr>
          <w:rFonts w:ascii="Arial" w:hAnsi="Arial" w:cs="Arial"/>
          <w:sz w:val="22"/>
          <w:szCs w:val="22"/>
        </w:rPr>
        <w:t>0.</w:t>
      </w:r>
      <w:r w:rsidR="00A32EC8">
        <w:rPr>
          <w:rFonts w:ascii="Arial" w:hAnsi="Arial" w:cs="Arial"/>
          <w:sz w:val="22"/>
          <w:szCs w:val="22"/>
        </w:rPr>
        <w:t xml:space="preserve">8 </w:t>
      </w:r>
      <w:r>
        <w:rPr>
          <w:rFonts w:ascii="Arial" w:hAnsi="Arial" w:cs="Arial"/>
          <w:sz w:val="22"/>
          <w:szCs w:val="22"/>
        </w:rPr>
        <w:t>lb/MMBtu</w:t>
      </w:r>
      <w:r w:rsidR="00A32EC8">
        <w:rPr>
          <w:rFonts w:ascii="Arial" w:hAnsi="Arial" w:cs="Arial"/>
          <w:sz w:val="22"/>
          <w:szCs w:val="22"/>
        </w:rPr>
        <w:t>) for thermal oxidizers with a</w:t>
      </w:r>
      <w:r w:rsidR="00A67016">
        <w:rPr>
          <w:rFonts w:ascii="Arial" w:hAnsi="Arial" w:cs="Arial"/>
          <w:sz w:val="22"/>
          <w:szCs w:val="22"/>
        </w:rPr>
        <w:t xml:space="preserve"> firing rate of </w:t>
      </w:r>
      <w:r w:rsidR="00A32EC8">
        <w:rPr>
          <w:rFonts w:ascii="Arial" w:hAnsi="Arial" w:cs="Arial"/>
          <w:sz w:val="22"/>
          <w:szCs w:val="22"/>
        </w:rPr>
        <w:t>7.5 MMBtu/hr</w:t>
      </w:r>
      <w:r w:rsidR="00A67016">
        <w:rPr>
          <w:rFonts w:ascii="Arial" w:hAnsi="Arial" w:cs="Arial"/>
          <w:sz w:val="22"/>
          <w:szCs w:val="22"/>
        </w:rPr>
        <w:t xml:space="preserve"> or less</w:t>
      </w:r>
      <w:r>
        <w:rPr>
          <w:rFonts w:ascii="Arial" w:hAnsi="Arial" w:cs="Arial"/>
          <w:sz w:val="22"/>
          <w:szCs w:val="22"/>
        </w:rPr>
        <w:t>,</w:t>
      </w:r>
      <w:bookmarkStart w:id="0" w:name="_Ref184910074"/>
      <w:r w:rsidR="00A32EC8">
        <w:rPr>
          <w:rStyle w:val="FootnoteReference"/>
          <w:rFonts w:ascii="Arial" w:hAnsi="Arial" w:cs="Arial"/>
          <w:sz w:val="22"/>
          <w:szCs w:val="22"/>
        </w:rPr>
        <w:footnoteReference w:id="1"/>
      </w:r>
      <w:bookmarkEnd w:id="0"/>
      <w:r>
        <w:rPr>
          <w:rFonts w:ascii="Arial" w:hAnsi="Arial" w:cs="Arial"/>
          <w:sz w:val="22"/>
          <w:szCs w:val="22"/>
        </w:rPr>
        <w:t xml:space="preserve"> </w:t>
      </w:r>
    </w:p>
    <w:p w14:paraId="4975EE97" w14:textId="77777777" w:rsidR="00DB7FEF" w:rsidRDefault="00DB7FEF" w:rsidP="00EF6348">
      <w:pPr>
        <w:pStyle w:val="ListParagraph"/>
        <w:numPr>
          <w:ilvl w:val="0"/>
          <w:numId w:val="4"/>
        </w:numPr>
        <w:spacing w:before="300" w:line="300" w:lineRule="atLeast"/>
        <w:contextualSpacing w:val="0"/>
        <w:jc w:val="both"/>
        <w:rPr>
          <w:rFonts w:ascii="Arial" w:hAnsi="Arial" w:cs="Arial"/>
          <w:sz w:val="22"/>
          <w:szCs w:val="22"/>
        </w:rPr>
      </w:pPr>
      <w:r>
        <w:rPr>
          <w:rFonts w:ascii="Arial" w:hAnsi="Arial" w:cs="Arial"/>
          <w:sz w:val="22"/>
          <w:szCs w:val="22"/>
        </w:rPr>
        <w:t>Newly represented hydrogen sulfide (H</w:t>
      </w:r>
      <w:r w:rsidRPr="00EF6348">
        <w:rPr>
          <w:rFonts w:ascii="Arial" w:hAnsi="Arial" w:cs="Arial"/>
          <w:sz w:val="22"/>
          <w:szCs w:val="22"/>
          <w:vertAlign w:val="subscript"/>
        </w:rPr>
        <w:t>2</w:t>
      </w:r>
      <w:r>
        <w:rPr>
          <w:rFonts w:ascii="Arial" w:hAnsi="Arial" w:cs="Arial"/>
          <w:sz w:val="22"/>
          <w:szCs w:val="22"/>
        </w:rPr>
        <w:t xml:space="preserve">S) emission factor based on 3 </w:t>
      </w:r>
      <w:proofErr w:type="spellStart"/>
      <w:r>
        <w:rPr>
          <w:rFonts w:ascii="Arial" w:hAnsi="Arial" w:cs="Arial"/>
          <w:sz w:val="22"/>
          <w:szCs w:val="22"/>
        </w:rPr>
        <w:t>ppmv</w:t>
      </w:r>
      <w:proofErr w:type="spellEnd"/>
      <w:r>
        <w:rPr>
          <w:rFonts w:ascii="Arial" w:hAnsi="Arial" w:cs="Arial"/>
          <w:sz w:val="22"/>
          <w:szCs w:val="22"/>
        </w:rPr>
        <w:t xml:space="preserve"> H</w:t>
      </w:r>
      <w:r w:rsidRPr="00EF6348">
        <w:rPr>
          <w:rFonts w:ascii="Arial" w:hAnsi="Arial" w:cs="Arial"/>
          <w:sz w:val="22"/>
          <w:szCs w:val="22"/>
          <w:vertAlign w:val="subscript"/>
        </w:rPr>
        <w:t>2</w:t>
      </w:r>
      <w:r>
        <w:rPr>
          <w:rFonts w:ascii="Arial" w:hAnsi="Arial" w:cs="Arial"/>
          <w:sz w:val="22"/>
          <w:szCs w:val="22"/>
        </w:rPr>
        <w:t>S at 15% (oxygen) O</w:t>
      </w:r>
      <w:r w:rsidRPr="00EF6348">
        <w:rPr>
          <w:rFonts w:ascii="Arial" w:hAnsi="Arial" w:cs="Arial"/>
          <w:sz w:val="22"/>
          <w:szCs w:val="22"/>
          <w:vertAlign w:val="subscript"/>
        </w:rPr>
        <w:t>2</w:t>
      </w:r>
      <w:r>
        <w:rPr>
          <w:rFonts w:ascii="Arial" w:hAnsi="Arial" w:cs="Arial"/>
          <w:sz w:val="22"/>
          <w:szCs w:val="22"/>
        </w:rPr>
        <w:t xml:space="preserve"> engineering estimate, and </w:t>
      </w:r>
    </w:p>
    <w:p w14:paraId="4C4EEE99" w14:textId="141CC8CB" w:rsidR="00DB7FEF" w:rsidRPr="006658E9" w:rsidRDefault="00DB7FEF" w:rsidP="00EF6348">
      <w:pPr>
        <w:pStyle w:val="ListParagraph"/>
        <w:numPr>
          <w:ilvl w:val="0"/>
          <w:numId w:val="4"/>
        </w:numPr>
        <w:spacing w:before="300" w:line="300" w:lineRule="atLeast"/>
        <w:contextualSpacing w:val="0"/>
        <w:jc w:val="both"/>
        <w:rPr>
          <w:rFonts w:ascii="Arial" w:hAnsi="Arial" w:cs="Arial"/>
          <w:sz w:val="22"/>
          <w:szCs w:val="22"/>
        </w:rPr>
      </w:pPr>
      <w:r>
        <w:rPr>
          <w:rFonts w:ascii="Arial" w:hAnsi="Arial" w:cs="Arial"/>
          <w:sz w:val="22"/>
          <w:szCs w:val="22"/>
        </w:rPr>
        <w:t>GWPs used by CARB in the current GHG inventories.</w:t>
      </w:r>
      <w:r w:rsidR="00EF6348">
        <w:rPr>
          <w:rStyle w:val="FootnoteReference"/>
          <w:rFonts w:ascii="Arial" w:hAnsi="Arial" w:cs="Arial"/>
          <w:sz w:val="22"/>
          <w:szCs w:val="22"/>
        </w:rPr>
        <w:footnoteReference w:id="2"/>
      </w:r>
      <w:r>
        <w:rPr>
          <w:rFonts w:ascii="Arial" w:hAnsi="Arial" w:cs="Arial"/>
          <w:sz w:val="22"/>
          <w:szCs w:val="22"/>
        </w:rPr>
        <w:t xml:space="preserve">  </w:t>
      </w:r>
    </w:p>
    <w:p w14:paraId="0B2431F6" w14:textId="77777777" w:rsidR="00DB7FEF" w:rsidRPr="00152C0B" w:rsidRDefault="00DB7FEF" w:rsidP="00DB7FEF">
      <w:pPr>
        <w:spacing w:before="300" w:line="300" w:lineRule="atLeast"/>
        <w:jc w:val="both"/>
        <w:rPr>
          <w:rFonts w:ascii="Arial" w:hAnsi="Arial" w:cs="Arial"/>
          <w:sz w:val="22"/>
          <w:szCs w:val="22"/>
        </w:rPr>
      </w:pPr>
      <w:r w:rsidRPr="00152C0B">
        <w:rPr>
          <w:rFonts w:ascii="Arial" w:hAnsi="Arial" w:cs="Arial"/>
          <w:sz w:val="22"/>
          <w:szCs w:val="22"/>
        </w:rPr>
        <w:t xml:space="preserve">These </w:t>
      </w:r>
      <w:r>
        <w:rPr>
          <w:rFonts w:ascii="Arial" w:hAnsi="Arial" w:cs="Arial"/>
          <w:sz w:val="22"/>
          <w:szCs w:val="22"/>
        </w:rPr>
        <w:t xml:space="preserve">updated </w:t>
      </w:r>
      <w:r w:rsidRPr="00152C0B">
        <w:rPr>
          <w:rFonts w:ascii="Arial" w:hAnsi="Arial" w:cs="Arial"/>
          <w:sz w:val="22"/>
          <w:szCs w:val="22"/>
        </w:rPr>
        <w:t xml:space="preserve">calculations show </w:t>
      </w:r>
      <w:r>
        <w:rPr>
          <w:rFonts w:ascii="Arial" w:hAnsi="Arial" w:cs="Arial"/>
          <w:sz w:val="22"/>
          <w:szCs w:val="22"/>
        </w:rPr>
        <w:t xml:space="preserve">an </w:t>
      </w:r>
      <w:r w:rsidRPr="00152C0B">
        <w:rPr>
          <w:rFonts w:ascii="Arial" w:hAnsi="Arial" w:cs="Arial"/>
          <w:sz w:val="22"/>
          <w:szCs w:val="22"/>
        </w:rPr>
        <w:t xml:space="preserve">increase in </w:t>
      </w:r>
      <w:r>
        <w:rPr>
          <w:rFonts w:ascii="Arial" w:hAnsi="Arial" w:cs="Arial"/>
          <w:sz w:val="22"/>
          <w:szCs w:val="22"/>
        </w:rPr>
        <w:t>daily and annual emission levels for all regulated pollutants except NOx and SO</w:t>
      </w:r>
      <w:r w:rsidRPr="00EF6348">
        <w:rPr>
          <w:rFonts w:ascii="Arial" w:hAnsi="Arial" w:cs="Arial"/>
          <w:sz w:val="22"/>
          <w:szCs w:val="22"/>
          <w:vertAlign w:val="subscript"/>
        </w:rPr>
        <w:t>2</w:t>
      </w:r>
      <w:r>
        <w:rPr>
          <w:rFonts w:ascii="Arial" w:hAnsi="Arial" w:cs="Arial"/>
          <w:sz w:val="22"/>
          <w:szCs w:val="22"/>
        </w:rPr>
        <w:t xml:space="preserve">, and, therefore, a “modification” will occur </w:t>
      </w:r>
      <w:proofErr w:type="gramStart"/>
      <w:r>
        <w:rPr>
          <w:rFonts w:ascii="Arial" w:hAnsi="Arial" w:cs="Arial"/>
          <w:sz w:val="22"/>
          <w:szCs w:val="22"/>
        </w:rPr>
        <w:t>as a result of</w:t>
      </w:r>
      <w:proofErr w:type="gramEnd"/>
      <w:r>
        <w:rPr>
          <w:rFonts w:ascii="Arial" w:hAnsi="Arial" w:cs="Arial"/>
          <w:sz w:val="22"/>
          <w:szCs w:val="22"/>
        </w:rPr>
        <w:t xml:space="preserve"> the project. </w:t>
      </w:r>
    </w:p>
    <w:p w14:paraId="069D5DB2" w14:textId="24E591C7" w:rsidR="00DB7FEF" w:rsidRPr="00152C0B" w:rsidRDefault="00805E96" w:rsidP="00DB7FEF">
      <w:pPr>
        <w:spacing w:before="300" w:line="300" w:lineRule="atLeast"/>
        <w:jc w:val="both"/>
        <w:rPr>
          <w:rFonts w:ascii="Arial" w:hAnsi="Arial" w:cs="Arial"/>
          <w:sz w:val="22"/>
          <w:szCs w:val="22"/>
        </w:rPr>
      </w:pPr>
      <w:r>
        <w:rPr>
          <w:rFonts w:ascii="Arial" w:hAnsi="Arial" w:cs="Arial"/>
          <w:sz w:val="22"/>
          <w:szCs w:val="22"/>
        </w:rPr>
        <w:t xml:space="preserve">Actual Emissions: </w:t>
      </w:r>
      <w:r w:rsidRPr="00152C0B">
        <w:rPr>
          <w:rFonts w:ascii="Arial" w:hAnsi="Arial" w:cs="Arial"/>
          <w:sz w:val="22"/>
          <w:szCs w:val="22"/>
        </w:rPr>
        <w:t>T</w:t>
      </w:r>
      <w:r>
        <w:rPr>
          <w:rFonts w:ascii="Arial" w:hAnsi="Arial" w:cs="Arial"/>
          <w:sz w:val="22"/>
          <w:szCs w:val="22"/>
        </w:rPr>
        <w:t>o determine an increase in emissions under</w:t>
      </w:r>
      <w:r w:rsidRPr="00152C0B">
        <w:rPr>
          <w:rFonts w:ascii="Arial" w:hAnsi="Arial" w:cs="Arial"/>
          <w:sz w:val="22"/>
          <w:szCs w:val="22"/>
        </w:rPr>
        <w:t xml:space="preserve"> </w:t>
      </w:r>
      <w:r>
        <w:rPr>
          <w:rFonts w:ascii="Arial" w:hAnsi="Arial" w:cs="Arial"/>
          <w:sz w:val="22"/>
          <w:szCs w:val="22"/>
        </w:rPr>
        <w:t>Section</w:t>
      </w:r>
      <w:r w:rsidRPr="00152C0B">
        <w:rPr>
          <w:rFonts w:ascii="Arial" w:hAnsi="Arial" w:cs="Arial"/>
          <w:sz w:val="22"/>
          <w:szCs w:val="22"/>
        </w:rPr>
        <w:t xml:space="preserve"> </w:t>
      </w:r>
      <w:r>
        <w:rPr>
          <w:rFonts w:ascii="Arial" w:hAnsi="Arial" w:cs="Arial"/>
          <w:sz w:val="22"/>
          <w:szCs w:val="22"/>
        </w:rPr>
        <w:t>2-1-</w:t>
      </w:r>
      <w:r w:rsidRPr="00152C0B">
        <w:rPr>
          <w:rFonts w:ascii="Arial" w:hAnsi="Arial" w:cs="Arial"/>
          <w:sz w:val="22"/>
          <w:szCs w:val="22"/>
        </w:rPr>
        <w:t xml:space="preserve">234.2, </w:t>
      </w:r>
      <w:r>
        <w:rPr>
          <w:rFonts w:ascii="Arial" w:hAnsi="Arial" w:cs="Arial"/>
          <w:sz w:val="22"/>
          <w:szCs w:val="22"/>
        </w:rPr>
        <w:t xml:space="preserve">the District Rule </w:t>
      </w:r>
      <w:r w:rsidRPr="00152C0B">
        <w:rPr>
          <w:rFonts w:ascii="Arial" w:hAnsi="Arial" w:cs="Arial"/>
          <w:sz w:val="22"/>
          <w:szCs w:val="22"/>
        </w:rPr>
        <w:t xml:space="preserve">incorporates </w:t>
      </w:r>
      <w:r>
        <w:rPr>
          <w:rFonts w:ascii="Arial" w:hAnsi="Arial" w:cs="Arial"/>
          <w:sz w:val="22"/>
          <w:szCs w:val="22"/>
        </w:rPr>
        <w:t xml:space="preserve">U.S. </w:t>
      </w:r>
      <w:r w:rsidRPr="00152C0B">
        <w:rPr>
          <w:rFonts w:ascii="Arial" w:hAnsi="Arial" w:cs="Arial"/>
          <w:sz w:val="22"/>
          <w:szCs w:val="22"/>
        </w:rPr>
        <w:t>EPA’s federal</w:t>
      </w:r>
      <w:r w:rsidR="00DB7FEF" w:rsidRPr="00152C0B">
        <w:rPr>
          <w:rFonts w:ascii="Arial" w:hAnsi="Arial" w:cs="Arial"/>
          <w:sz w:val="22"/>
          <w:szCs w:val="22"/>
        </w:rPr>
        <w:t xml:space="preserve"> “major modification” definition, which applies to changes at a source that will cause projected future emissions to be higher than historical emission levels (known as an “actual-to-projected-actual” test). Even when conservatively considering baseline actual emissions as zero, and assuming post-project PTE as representative of projected actual emissions, th</w:t>
      </w:r>
      <w:r w:rsidR="00DB7FEF">
        <w:rPr>
          <w:rFonts w:ascii="Arial" w:hAnsi="Arial" w:cs="Arial"/>
          <w:sz w:val="22"/>
          <w:szCs w:val="22"/>
        </w:rPr>
        <w:t xml:space="preserve">e </w:t>
      </w:r>
      <w:r w:rsidR="00DB7FEF" w:rsidRPr="00152C0B">
        <w:rPr>
          <w:rFonts w:ascii="Arial" w:hAnsi="Arial" w:cs="Arial"/>
          <w:sz w:val="22"/>
          <w:szCs w:val="22"/>
        </w:rPr>
        <w:t xml:space="preserve">emission increases </w:t>
      </w:r>
      <w:r w:rsidR="00DB7FEF">
        <w:rPr>
          <w:rFonts w:ascii="Arial" w:hAnsi="Arial" w:cs="Arial"/>
          <w:sz w:val="22"/>
          <w:szCs w:val="22"/>
        </w:rPr>
        <w:t>are</w:t>
      </w:r>
      <w:r w:rsidR="00DB7FEF" w:rsidRPr="00152C0B">
        <w:rPr>
          <w:rFonts w:ascii="Arial" w:hAnsi="Arial" w:cs="Arial"/>
          <w:sz w:val="22"/>
          <w:szCs w:val="22"/>
        </w:rPr>
        <w:t xml:space="preserve"> less than the significance threshold</w:t>
      </w:r>
      <w:r w:rsidR="00DB7FEF">
        <w:rPr>
          <w:rFonts w:ascii="Arial" w:hAnsi="Arial" w:cs="Arial"/>
          <w:sz w:val="22"/>
          <w:szCs w:val="22"/>
        </w:rPr>
        <w:t xml:space="preserve"> for all regulated pollutants</w:t>
      </w:r>
      <w:r w:rsidR="00DB7FEF" w:rsidRPr="00152C0B">
        <w:rPr>
          <w:rFonts w:ascii="Arial" w:hAnsi="Arial" w:cs="Arial"/>
          <w:sz w:val="22"/>
          <w:szCs w:val="22"/>
        </w:rPr>
        <w:t xml:space="preserve">. </w:t>
      </w:r>
    </w:p>
    <w:p w14:paraId="5E203966" w14:textId="77777777" w:rsidR="00DB7FEF" w:rsidRDefault="00DB7FEF" w:rsidP="00DB7FEF">
      <w:pPr>
        <w:spacing w:before="300" w:line="300" w:lineRule="atLeast"/>
        <w:jc w:val="both"/>
        <w:rPr>
          <w:rFonts w:ascii="Arial" w:hAnsi="Arial" w:cs="Arial"/>
          <w:sz w:val="22"/>
          <w:szCs w:val="22"/>
        </w:rPr>
      </w:pPr>
      <w:r>
        <w:rPr>
          <w:rFonts w:ascii="Arial" w:hAnsi="Arial" w:cs="Arial"/>
          <w:sz w:val="22"/>
          <w:szCs w:val="22"/>
        </w:rPr>
        <w:t>A</w:t>
      </w:r>
      <w:r w:rsidRPr="00152C0B">
        <w:rPr>
          <w:rFonts w:ascii="Arial" w:hAnsi="Arial" w:cs="Arial"/>
          <w:sz w:val="22"/>
          <w:szCs w:val="22"/>
        </w:rPr>
        <w:t xml:space="preserve"> “modification” </w:t>
      </w:r>
      <w:r>
        <w:rPr>
          <w:rFonts w:ascii="Arial" w:hAnsi="Arial" w:cs="Arial"/>
          <w:sz w:val="22"/>
          <w:szCs w:val="22"/>
        </w:rPr>
        <w:t>will</w:t>
      </w:r>
      <w:r w:rsidRPr="00152C0B">
        <w:rPr>
          <w:rFonts w:ascii="Arial" w:hAnsi="Arial" w:cs="Arial"/>
          <w:sz w:val="22"/>
          <w:szCs w:val="22"/>
        </w:rPr>
        <w:t xml:space="preserve"> occur</w:t>
      </w:r>
      <w:r>
        <w:rPr>
          <w:rFonts w:ascii="Arial" w:hAnsi="Arial" w:cs="Arial"/>
          <w:sz w:val="22"/>
          <w:szCs w:val="22"/>
        </w:rPr>
        <w:t xml:space="preserve"> for S-1600/A-2000 because the project results in an operation change that increases the daily and annual emission levels for all regulated pollutants except NOx and SO</w:t>
      </w:r>
      <w:r w:rsidRPr="00EF6348">
        <w:rPr>
          <w:rFonts w:ascii="Arial" w:hAnsi="Arial" w:cs="Arial"/>
          <w:sz w:val="22"/>
          <w:szCs w:val="22"/>
          <w:vertAlign w:val="subscript"/>
        </w:rPr>
        <w:t>2</w:t>
      </w:r>
      <w:r w:rsidRPr="00152C0B">
        <w:rPr>
          <w:rFonts w:ascii="Arial" w:hAnsi="Arial" w:cs="Arial"/>
          <w:sz w:val="22"/>
          <w:szCs w:val="22"/>
        </w:rPr>
        <w:t>.</w:t>
      </w:r>
      <w:r>
        <w:rPr>
          <w:rFonts w:ascii="Arial" w:hAnsi="Arial" w:cs="Arial"/>
          <w:sz w:val="22"/>
          <w:szCs w:val="22"/>
        </w:rPr>
        <w:t xml:space="preserve"> As such, the project will require an Authority to Construct. </w:t>
      </w:r>
    </w:p>
    <w:p w14:paraId="405F847D" w14:textId="77777777" w:rsidR="00A67016" w:rsidRDefault="00A67016">
      <w:pPr>
        <w:spacing w:after="160" w:line="278" w:lineRule="auto"/>
        <w:rPr>
          <w:rFonts w:ascii="Arial" w:hAnsi="Arial" w:cs="Arial"/>
          <w:sz w:val="22"/>
          <w:szCs w:val="22"/>
          <w:u w:val="single"/>
        </w:rPr>
      </w:pPr>
      <w:r>
        <w:rPr>
          <w:rFonts w:ascii="Arial" w:hAnsi="Arial" w:cs="Arial"/>
          <w:sz w:val="22"/>
          <w:szCs w:val="22"/>
          <w:u w:val="single"/>
        </w:rPr>
        <w:br w:type="page"/>
      </w:r>
    </w:p>
    <w:p w14:paraId="1546DFB0" w14:textId="72E117EB" w:rsidR="00DB7FEF" w:rsidRPr="00A730E2" w:rsidRDefault="00DB7FEF" w:rsidP="00DB7FEF">
      <w:pPr>
        <w:spacing w:before="300" w:line="300" w:lineRule="atLeast"/>
        <w:jc w:val="both"/>
        <w:rPr>
          <w:rFonts w:ascii="Arial" w:hAnsi="Arial" w:cs="Arial"/>
          <w:sz w:val="22"/>
          <w:szCs w:val="22"/>
          <w:u w:val="single"/>
        </w:rPr>
      </w:pPr>
      <w:r w:rsidRPr="00A730E2">
        <w:rPr>
          <w:rFonts w:ascii="Arial" w:hAnsi="Arial" w:cs="Arial"/>
          <w:sz w:val="22"/>
          <w:szCs w:val="22"/>
          <w:u w:val="single"/>
        </w:rPr>
        <w:lastRenderedPageBreak/>
        <w:t>New Source Review Requirement</w:t>
      </w:r>
      <w:r>
        <w:rPr>
          <w:rFonts w:ascii="Arial" w:hAnsi="Arial" w:cs="Arial"/>
          <w:sz w:val="22"/>
          <w:szCs w:val="22"/>
          <w:u w:val="single"/>
        </w:rPr>
        <w:t xml:space="preserve"> </w:t>
      </w:r>
      <w:r w:rsidRPr="00A730E2">
        <w:rPr>
          <w:rFonts w:ascii="Arial" w:hAnsi="Arial" w:cs="Arial"/>
          <w:sz w:val="22"/>
          <w:szCs w:val="22"/>
          <w:u w:val="single"/>
        </w:rPr>
        <w:t>(</w:t>
      </w:r>
      <w:r>
        <w:rPr>
          <w:rFonts w:ascii="Arial" w:hAnsi="Arial" w:cs="Arial"/>
          <w:sz w:val="22"/>
          <w:szCs w:val="22"/>
          <w:u w:val="single"/>
        </w:rPr>
        <w:t>Section</w:t>
      </w:r>
      <w:r w:rsidRPr="00A730E2">
        <w:rPr>
          <w:rFonts w:ascii="Arial" w:hAnsi="Arial" w:cs="Arial"/>
          <w:sz w:val="22"/>
          <w:szCs w:val="22"/>
          <w:u w:val="single"/>
        </w:rPr>
        <w:t xml:space="preserve"> 2-1-301) </w:t>
      </w:r>
    </w:p>
    <w:p w14:paraId="5B003069" w14:textId="6FE3AB44" w:rsidR="00DB7FEF" w:rsidRDefault="00DB7FEF" w:rsidP="00DB7FEF">
      <w:pPr>
        <w:spacing w:before="300" w:line="300" w:lineRule="atLeast"/>
        <w:jc w:val="both"/>
        <w:rPr>
          <w:rFonts w:ascii="Arial" w:hAnsi="Arial" w:cs="Arial"/>
          <w:sz w:val="22"/>
          <w:szCs w:val="22"/>
        </w:rPr>
      </w:pPr>
      <w:r w:rsidRPr="4E9F2C88">
        <w:rPr>
          <w:rFonts w:ascii="Arial" w:hAnsi="Arial" w:cs="Arial"/>
          <w:sz w:val="22"/>
          <w:szCs w:val="22"/>
        </w:rPr>
        <w:t xml:space="preserve">This rule applies to modified sources subject to the requirements of Section 2-1-301 or 2-1-302. The purpose of this rule is to implement the NSR provisions of the federal and California Clean Air Acts. This section describes how the project complies with the substantive requirements of Best Available Control Technology (BACT), Offsets, Prevention of Significant Deterioration (PSD), and other </w:t>
      </w:r>
      <w:r w:rsidR="1FB99CB8" w:rsidRPr="4E9F2C88">
        <w:rPr>
          <w:rFonts w:ascii="Arial" w:hAnsi="Arial" w:cs="Arial"/>
          <w:sz w:val="22"/>
          <w:szCs w:val="22"/>
        </w:rPr>
        <w:t xml:space="preserve">applicable </w:t>
      </w:r>
      <w:r w:rsidRPr="4E9F2C88">
        <w:rPr>
          <w:rFonts w:ascii="Arial" w:hAnsi="Arial" w:cs="Arial"/>
          <w:sz w:val="22"/>
          <w:szCs w:val="22"/>
        </w:rPr>
        <w:t>air quality impact analyses. Each of the elements of NSR is discussed below.</w:t>
      </w:r>
    </w:p>
    <w:p w14:paraId="314E254E" w14:textId="77777777" w:rsidR="00DB7FEF" w:rsidRPr="0035721D" w:rsidRDefault="00DB7FEF" w:rsidP="4E9F2C88">
      <w:pPr>
        <w:spacing w:before="300" w:line="300" w:lineRule="atLeast"/>
        <w:jc w:val="both"/>
        <w:rPr>
          <w:rFonts w:ascii="Arial" w:hAnsi="Arial" w:cs="Arial"/>
          <w:i/>
          <w:iCs/>
          <w:sz w:val="22"/>
          <w:szCs w:val="22"/>
        </w:rPr>
      </w:pPr>
      <w:r w:rsidRPr="0035721D">
        <w:rPr>
          <w:rFonts w:ascii="Arial" w:hAnsi="Arial" w:cs="Arial"/>
          <w:i/>
          <w:iCs/>
          <w:sz w:val="22"/>
          <w:szCs w:val="22"/>
        </w:rPr>
        <w:t xml:space="preserve">BACT </w:t>
      </w:r>
    </w:p>
    <w:p w14:paraId="5CA774E7" w14:textId="77777777" w:rsidR="002774C5" w:rsidRDefault="00DB7FEF" w:rsidP="00DB7FEF">
      <w:pPr>
        <w:spacing w:before="300" w:line="300" w:lineRule="atLeast"/>
        <w:jc w:val="both"/>
        <w:rPr>
          <w:rFonts w:ascii="Arial" w:hAnsi="Arial" w:cs="Arial"/>
          <w:sz w:val="22"/>
          <w:szCs w:val="22"/>
        </w:rPr>
      </w:pPr>
      <w:r w:rsidRPr="002E3F06">
        <w:rPr>
          <w:rFonts w:ascii="Arial" w:hAnsi="Arial" w:cs="Arial"/>
          <w:sz w:val="22"/>
          <w:szCs w:val="22"/>
        </w:rPr>
        <w:t>BACT is required for modified sources meeting the conditions specified in Section</w:t>
      </w:r>
      <w:r>
        <w:rPr>
          <w:rFonts w:ascii="Arial" w:hAnsi="Arial" w:cs="Arial"/>
          <w:sz w:val="22"/>
          <w:szCs w:val="22"/>
        </w:rPr>
        <w:t xml:space="preserve"> </w:t>
      </w:r>
      <w:r w:rsidRPr="00A730E2">
        <w:rPr>
          <w:rFonts w:ascii="Arial" w:hAnsi="Arial" w:cs="Arial"/>
          <w:sz w:val="22"/>
          <w:szCs w:val="22"/>
        </w:rPr>
        <w:t xml:space="preserve">2-2-301.2. </w:t>
      </w:r>
      <w:r w:rsidR="002774C5">
        <w:rPr>
          <w:rFonts w:ascii="Arial" w:hAnsi="Arial" w:cs="Arial"/>
          <w:sz w:val="22"/>
          <w:szCs w:val="22"/>
        </w:rPr>
        <w:t>BACT requirements are considered for each of the operating scenarios as follows:</w:t>
      </w:r>
    </w:p>
    <w:p w14:paraId="2E5EA907" w14:textId="55017F05" w:rsidR="002774C5" w:rsidRDefault="00DB7FEF" w:rsidP="002774C5">
      <w:pPr>
        <w:pStyle w:val="ListParagraph"/>
        <w:numPr>
          <w:ilvl w:val="0"/>
          <w:numId w:val="5"/>
        </w:numPr>
        <w:spacing w:before="300" w:line="300" w:lineRule="atLeast"/>
        <w:jc w:val="both"/>
        <w:rPr>
          <w:rFonts w:ascii="Arial" w:hAnsi="Arial" w:cs="Arial"/>
          <w:sz w:val="22"/>
          <w:szCs w:val="22"/>
        </w:rPr>
      </w:pPr>
      <w:r w:rsidRPr="4E9F2C88">
        <w:rPr>
          <w:rFonts w:ascii="Arial" w:hAnsi="Arial" w:cs="Arial"/>
          <w:sz w:val="22"/>
          <w:szCs w:val="22"/>
        </w:rPr>
        <w:t>The S-1600/A-2000 post-project PTE for all regulated pollutants</w:t>
      </w:r>
      <w:r w:rsidR="00CE6C53">
        <w:rPr>
          <w:rFonts w:ascii="Arial" w:hAnsi="Arial" w:cs="Arial"/>
          <w:sz w:val="22"/>
          <w:szCs w:val="22"/>
        </w:rPr>
        <w:t>,</w:t>
      </w:r>
      <w:r w:rsidR="0035721D">
        <w:rPr>
          <w:rFonts w:ascii="Arial" w:hAnsi="Arial" w:cs="Arial"/>
          <w:sz w:val="22"/>
          <w:szCs w:val="22"/>
        </w:rPr>
        <w:t xml:space="preserve"> except CO,</w:t>
      </w:r>
      <w:r w:rsidRPr="4E9F2C88">
        <w:rPr>
          <w:rFonts w:ascii="Arial" w:hAnsi="Arial" w:cs="Arial"/>
          <w:sz w:val="22"/>
          <w:szCs w:val="22"/>
        </w:rPr>
        <w:t xml:space="preserve"> are less than 10 lb/day and do not trigger BACT, as presented in Attachment </w:t>
      </w:r>
      <w:r w:rsidR="00FA0491" w:rsidRPr="4E9F2C88">
        <w:rPr>
          <w:rFonts w:ascii="Arial" w:hAnsi="Arial" w:cs="Arial"/>
          <w:sz w:val="22"/>
          <w:szCs w:val="22"/>
        </w:rPr>
        <w:t>C</w:t>
      </w:r>
      <w:r w:rsidR="002555E1">
        <w:rPr>
          <w:rFonts w:ascii="Arial" w:hAnsi="Arial" w:cs="Arial"/>
          <w:sz w:val="22"/>
          <w:szCs w:val="22"/>
        </w:rPr>
        <w:t xml:space="preserve"> (Emission Calculations)</w:t>
      </w:r>
      <w:r w:rsidRPr="4E9F2C88">
        <w:rPr>
          <w:rFonts w:ascii="Arial" w:hAnsi="Arial" w:cs="Arial"/>
          <w:sz w:val="22"/>
          <w:szCs w:val="22"/>
        </w:rPr>
        <w:t xml:space="preserve">. </w:t>
      </w:r>
      <w:r w:rsidR="0035721D">
        <w:rPr>
          <w:rFonts w:ascii="Arial" w:hAnsi="Arial" w:cs="Arial"/>
          <w:sz w:val="22"/>
          <w:szCs w:val="22"/>
        </w:rPr>
        <w:t xml:space="preserve">The </w:t>
      </w:r>
      <w:r w:rsidR="00CE6C53">
        <w:rPr>
          <w:rFonts w:ascii="Arial" w:hAnsi="Arial" w:cs="Arial"/>
          <w:sz w:val="22"/>
          <w:szCs w:val="22"/>
        </w:rPr>
        <w:t xml:space="preserve">updated </w:t>
      </w:r>
      <w:r w:rsidR="0035721D">
        <w:rPr>
          <w:rFonts w:ascii="Arial" w:hAnsi="Arial" w:cs="Arial"/>
          <w:sz w:val="22"/>
          <w:szCs w:val="22"/>
        </w:rPr>
        <w:t>S-1600/A-2000 post-project CO PTE</w:t>
      </w:r>
      <w:r w:rsidR="00CE6C53">
        <w:rPr>
          <w:rFonts w:ascii="Arial" w:hAnsi="Arial" w:cs="Arial"/>
          <w:sz w:val="22"/>
          <w:szCs w:val="22"/>
        </w:rPr>
        <w:t xml:space="preserve"> (refer to the discussion above for more information) exceeds </w:t>
      </w:r>
      <w:r w:rsidR="0035721D">
        <w:rPr>
          <w:rFonts w:ascii="Arial" w:hAnsi="Arial" w:cs="Arial"/>
          <w:sz w:val="22"/>
          <w:szCs w:val="22"/>
        </w:rPr>
        <w:t>10 lb/day</w:t>
      </w:r>
      <w:r w:rsidR="00CE6C53">
        <w:rPr>
          <w:rFonts w:ascii="Arial" w:hAnsi="Arial" w:cs="Arial"/>
          <w:sz w:val="22"/>
          <w:szCs w:val="22"/>
        </w:rPr>
        <w:t xml:space="preserve">. </w:t>
      </w:r>
      <w:r w:rsidR="00CE6C53" w:rsidRPr="78C24AC5">
        <w:rPr>
          <w:rFonts w:ascii="Arial" w:hAnsi="Arial" w:cs="Arial"/>
          <w:sz w:val="22"/>
          <w:szCs w:val="22"/>
        </w:rPr>
        <w:t xml:space="preserve">Since the CO emissions are secondary pollutants that are a direct result of the use of an abatement device for the control of another pollutant, Reasonable Available Control Technology (RACT) is required pursuant to Section 2-2-102. </w:t>
      </w:r>
      <w:r w:rsidR="00CE6C53">
        <w:rPr>
          <w:rFonts w:ascii="Arial" w:hAnsi="Arial" w:cs="Arial"/>
          <w:sz w:val="22"/>
          <w:szCs w:val="22"/>
        </w:rPr>
        <w:t xml:space="preserve">BAAQMD defined CO RACT for thermal oxidizers with a firing rate of 7.5 MMBtu/hr or less as 0.8 </w:t>
      </w:r>
      <w:proofErr w:type="spellStart"/>
      <w:r w:rsidR="00CE6C53">
        <w:rPr>
          <w:rFonts w:ascii="Arial" w:hAnsi="Arial" w:cs="Arial"/>
          <w:sz w:val="22"/>
          <w:szCs w:val="22"/>
        </w:rPr>
        <w:t>lb</w:t>
      </w:r>
      <w:proofErr w:type="spellEnd"/>
      <w:r w:rsidR="00CE6C53">
        <w:rPr>
          <w:rFonts w:ascii="Arial" w:hAnsi="Arial" w:cs="Arial"/>
          <w:sz w:val="22"/>
          <w:szCs w:val="22"/>
        </w:rPr>
        <w:t>/MMBtu.</w:t>
      </w:r>
      <w:r w:rsidR="00CE6C53" w:rsidRPr="00CE6C53">
        <w:rPr>
          <w:rFonts w:ascii="Arial" w:hAnsi="Arial" w:cs="Arial"/>
          <w:sz w:val="22"/>
          <w:szCs w:val="22"/>
          <w:vertAlign w:val="superscript"/>
        </w:rPr>
        <w:fldChar w:fldCharType="begin"/>
      </w:r>
      <w:r w:rsidR="00CE6C53" w:rsidRPr="00CE6C53">
        <w:rPr>
          <w:rFonts w:ascii="Arial" w:hAnsi="Arial" w:cs="Arial"/>
          <w:sz w:val="22"/>
          <w:szCs w:val="22"/>
          <w:vertAlign w:val="superscript"/>
        </w:rPr>
        <w:instrText xml:space="preserve"> NOTEREF _Ref184910074 \h </w:instrText>
      </w:r>
      <w:r w:rsidR="00CE6C53">
        <w:rPr>
          <w:rFonts w:ascii="Arial" w:hAnsi="Arial" w:cs="Arial"/>
          <w:sz w:val="22"/>
          <w:szCs w:val="22"/>
          <w:vertAlign w:val="superscript"/>
        </w:rPr>
        <w:instrText xml:space="preserve"> \* MERGEFORMAT </w:instrText>
      </w:r>
      <w:r w:rsidR="00CE6C53" w:rsidRPr="00CE6C53">
        <w:rPr>
          <w:rFonts w:ascii="Arial" w:hAnsi="Arial" w:cs="Arial"/>
          <w:sz w:val="22"/>
          <w:szCs w:val="22"/>
          <w:vertAlign w:val="superscript"/>
        </w:rPr>
      </w:r>
      <w:r w:rsidR="00CE6C53" w:rsidRPr="00CE6C53">
        <w:rPr>
          <w:rFonts w:ascii="Arial" w:hAnsi="Arial" w:cs="Arial"/>
          <w:sz w:val="22"/>
          <w:szCs w:val="22"/>
          <w:vertAlign w:val="superscript"/>
        </w:rPr>
        <w:fldChar w:fldCharType="separate"/>
      </w:r>
      <w:r w:rsidR="00E71DD6">
        <w:rPr>
          <w:rFonts w:ascii="Arial" w:hAnsi="Arial" w:cs="Arial"/>
          <w:sz w:val="22"/>
          <w:szCs w:val="22"/>
          <w:vertAlign w:val="superscript"/>
        </w:rPr>
        <w:t>1</w:t>
      </w:r>
      <w:r w:rsidR="00CE6C53" w:rsidRPr="00CE6C53">
        <w:rPr>
          <w:rFonts w:ascii="Arial" w:hAnsi="Arial" w:cs="Arial"/>
          <w:sz w:val="22"/>
          <w:szCs w:val="22"/>
          <w:vertAlign w:val="superscript"/>
        </w:rPr>
        <w:fldChar w:fldCharType="end"/>
      </w:r>
      <w:r w:rsidR="00CE6C53">
        <w:rPr>
          <w:rFonts w:ascii="Arial" w:hAnsi="Arial" w:cs="Arial"/>
          <w:sz w:val="22"/>
          <w:szCs w:val="22"/>
        </w:rPr>
        <w:t xml:space="preserve"> A-2000 meets the CO RACT</w:t>
      </w:r>
      <w:r w:rsidR="00D05D9B">
        <w:rPr>
          <w:rFonts w:ascii="Arial" w:hAnsi="Arial" w:cs="Arial"/>
          <w:sz w:val="22"/>
          <w:szCs w:val="22"/>
        </w:rPr>
        <w:t xml:space="preserve"> based on the initial performance test</w:t>
      </w:r>
      <w:r w:rsidR="00CE6C53">
        <w:rPr>
          <w:rFonts w:ascii="Arial" w:hAnsi="Arial" w:cs="Arial"/>
          <w:sz w:val="22"/>
          <w:szCs w:val="22"/>
        </w:rPr>
        <w:t xml:space="preserve">. </w:t>
      </w:r>
    </w:p>
    <w:p w14:paraId="0BA8831F" w14:textId="5D8A61F6" w:rsidR="002774C5" w:rsidRDefault="00DB7FEF" w:rsidP="002774C5">
      <w:pPr>
        <w:pStyle w:val="ListParagraph"/>
        <w:numPr>
          <w:ilvl w:val="0"/>
          <w:numId w:val="5"/>
        </w:numPr>
        <w:spacing w:before="300" w:line="300" w:lineRule="atLeast"/>
        <w:jc w:val="both"/>
        <w:rPr>
          <w:rFonts w:ascii="Arial" w:hAnsi="Arial" w:cs="Arial"/>
          <w:sz w:val="22"/>
          <w:szCs w:val="22"/>
        </w:rPr>
      </w:pPr>
      <w:r w:rsidRPr="78C24AC5">
        <w:rPr>
          <w:rFonts w:ascii="Arial" w:hAnsi="Arial" w:cs="Arial"/>
          <w:sz w:val="22"/>
          <w:szCs w:val="22"/>
        </w:rPr>
        <w:t xml:space="preserve">Alternative </w:t>
      </w:r>
      <w:r w:rsidR="265EE763" w:rsidRPr="78C24AC5">
        <w:rPr>
          <w:rFonts w:ascii="Arial" w:hAnsi="Arial" w:cs="Arial"/>
          <w:sz w:val="22"/>
          <w:szCs w:val="22"/>
        </w:rPr>
        <w:t>c</w:t>
      </w:r>
      <w:r w:rsidRPr="78C24AC5">
        <w:rPr>
          <w:rFonts w:ascii="Arial" w:hAnsi="Arial" w:cs="Arial"/>
          <w:sz w:val="22"/>
          <w:szCs w:val="22"/>
        </w:rPr>
        <w:t>ontrol Scenario 2a (flaring) exceeds 10 lb/day for NOx and CO</w:t>
      </w:r>
      <w:r w:rsidR="002774C5" w:rsidRPr="78C24AC5">
        <w:rPr>
          <w:rFonts w:ascii="Arial" w:hAnsi="Arial" w:cs="Arial"/>
          <w:sz w:val="22"/>
          <w:szCs w:val="22"/>
        </w:rPr>
        <w:t>.</w:t>
      </w:r>
      <w:r w:rsidRPr="78C24AC5">
        <w:rPr>
          <w:rFonts w:ascii="Arial" w:hAnsi="Arial" w:cs="Arial"/>
          <w:sz w:val="22"/>
          <w:szCs w:val="22"/>
        </w:rPr>
        <w:t xml:space="preserve"> </w:t>
      </w:r>
      <w:r w:rsidR="00CE6C53">
        <w:rPr>
          <w:rFonts w:ascii="Arial" w:hAnsi="Arial" w:cs="Arial"/>
          <w:sz w:val="22"/>
          <w:szCs w:val="22"/>
        </w:rPr>
        <w:t xml:space="preserve">RACT </w:t>
      </w:r>
      <w:r w:rsidRPr="78C24AC5">
        <w:rPr>
          <w:rFonts w:ascii="Arial" w:hAnsi="Arial" w:cs="Arial"/>
          <w:sz w:val="22"/>
          <w:szCs w:val="22"/>
        </w:rPr>
        <w:t>is required pursuant to Section 2-2-102</w:t>
      </w:r>
      <w:r w:rsidR="00CE6C53">
        <w:rPr>
          <w:rFonts w:ascii="Arial" w:hAnsi="Arial" w:cs="Arial"/>
          <w:sz w:val="22"/>
          <w:szCs w:val="22"/>
        </w:rPr>
        <w:t xml:space="preserve"> because </w:t>
      </w:r>
      <w:r w:rsidR="00CE6C53" w:rsidRPr="00CE6C53">
        <w:rPr>
          <w:rFonts w:ascii="Arial" w:hAnsi="Arial" w:cs="Arial"/>
          <w:sz w:val="22"/>
          <w:szCs w:val="22"/>
        </w:rPr>
        <w:t>NOx and CO emissions are secondary pollutants that are is a direct result of the use of an abatement device for the control of another pollutant</w:t>
      </w:r>
      <w:r w:rsidRPr="78C24AC5">
        <w:rPr>
          <w:rFonts w:ascii="Arial" w:hAnsi="Arial" w:cs="Arial"/>
          <w:sz w:val="22"/>
          <w:szCs w:val="22"/>
        </w:rPr>
        <w:t xml:space="preserve">. The flares are </w:t>
      </w:r>
      <w:r w:rsidR="002555E1">
        <w:rPr>
          <w:rFonts w:ascii="Arial" w:hAnsi="Arial" w:cs="Arial"/>
          <w:sz w:val="22"/>
          <w:szCs w:val="22"/>
        </w:rPr>
        <w:t xml:space="preserve">already </w:t>
      </w:r>
      <w:r w:rsidRPr="78C24AC5">
        <w:rPr>
          <w:rFonts w:ascii="Arial" w:hAnsi="Arial" w:cs="Arial"/>
          <w:sz w:val="22"/>
          <w:szCs w:val="22"/>
        </w:rPr>
        <w:t xml:space="preserve">subject to 40 CFR 63 Subpart FFFF, National Emission Standards for Hazardous Pollutants (NESHAP) for Miscellaneous Organic Chemical Manufacturing (commonly referred to as “MON”), and Tesoro has elected to comply with the 40 CFR 63 Subpart CC, NESHAP from Petroleum Refineries (commonly referenced to as “Maximum Achievable Control Technology (MACT) CC”) flaring requirements, pursuant to §63.2450(e)(5). </w:t>
      </w:r>
      <w:r w:rsidR="002774C5" w:rsidRPr="78C24AC5">
        <w:rPr>
          <w:rFonts w:ascii="Arial" w:hAnsi="Arial" w:cs="Arial"/>
          <w:sz w:val="22"/>
          <w:szCs w:val="22"/>
        </w:rPr>
        <w:t>Compliance with the applicable requirements for flaring satisfies RACT for NOx and CO</w:t>
      </w:r>
      <w:r w:rsidRPr="78C24AC5">
        <w:rPr>
          <w:rFonts w:ascii="Arial" w:hAnsi="Arial" w:cs="Arial"/>
          <w:sz w:val="22"/>
          <w:szCs w:val="22"/>
        </w:rPr>
        <w:t>.</w:t>
      </w:r>
    </w:p>
    <w:p w14:paraId="187F3208" w14:textId="4BE93C03" w:rsidR="00DB7FEF" w:rsidRPr="002774C5" w:rsidRDefault="002774C5" w:rsidP="00EF6348">
      <w:pPr>
        <w:pStyle w:val="ListParagraph"/>
        <w:numPr>
          <w:ilvl w:val="0"/>
          <w:numId w:val="5"/>
        </w:numPr>
        <w:spacing w:before="300" w:line="300" w:lineRule="atLeast"/>
        <w:jc w:val="both"/>
        <w:rPr>
          <w:rFonts w:ascii="Arial" w:hAnsi="Arial" w:cs="Arial"/>
          <w:sz w:val="22"/>
          <w:szCs w:val="22"/>
        </w:rPr>
      </w:pPr>
      <w:r w:rsidRPr="4E9F2C88">
        <w:rPr>
          <w:rFonts w:ascii="Arial" w:hAnsi="Arial" w:cs="Arial"/>
          <w:sz w:val="22"/>
          <w:szCs w:val="22"/>
        </w:rPr>
        <w:t xml:space="preserve">Alternative </w:t>
      </w:r>
      <w:r w:rsidR="782EB739" w:rsidRPr="4E9F2C88">
        <w:rPr>
          <w:rFonts w:ascii="Arial" w:hAnsi="Arial" w:cs="Arial"/>
          <w:sz w:val="22"/>
          <w:szCs w:val="22"/>
        </w:rPr>
        <w:t>c</w:t>
      </w:r>
      <w:r w:rsidRPr="4E9F2C88">
        <w:rPr>
          <w:rFonts w:ascii="Arial" w:hAnsi="Arial" w:cs="Arial"/>
          <w:sz w:val="22"/>
          <w:szCs w:val="22"/>
        </w:rPr>
        <w:t xml:space="preserve">ontrol Scenario 2b (process heater combustion) </w:t>
      </w:r>
      <w:r w:rsidR="00106D27" w:rsidRPr="4E9F2C88">
        <w:rPr>
          <w:rFonts w:ascii="Arial" w:hAnsi="Arial" w:cs="Arial"/>
          <w:sz w:val="22"/>
          <w:szCs w:val="22"/>
        </w:rPr>
        <w:t xml:space="preserve">is </w:t>
      </w:r>
      <w:r w:rsidR="000027EB" w:rsidRPr="4E9F2C88">
        <w:rPr>
          <w:rFonts w:ascii="Arial" w:hAnsi="Arial" w:cs="Arial"/>
          <w:sz w:val="22"/>
          <w:szCs w:val="22"/>
        </w:rPr>
        <w:t xml:space="preserve">also </w:t>
      </w:r>
      <w:r w:rsidR="00106D27" w:rsidRPr="4E9F2C88">
        <w:rPr>
          <w:rFonts w:ascii="Arial" w:hAnsi="Arial" w:cs="Arial"/>
          <w:sz w:val="22"/>
          <w:szCs w:val="22"/>
        </w:rPr>
        <w:t xml:space="preserve">conservatively assumed to </w:t>
      </w:r>
      <w:r w:rsidR="000027EB" w:rsidRPr="4E9F2C88">
        <w:rPr>
          <w:rFonts w:ascii="Arial" w:hAnsi="Arial" w:cs="Arial"/>
          <w:sz w:val="22"/>
          <w:szCs w:val="22"/>
        </w:rPr>
        <w:t xml:space="preserve">trigger RACT requirements. The process heaters </w:t>
      </w:r>
      <w:r w:rsidR="68AC29D0" w:rsidRPr="4E9F2C88">
        <w:rPr>
          <w:rFonts w:ascii="Arial" w:hAnsi="Arial" w:cs="Arial"/>
          <w:sz w:val="22"/>
          <w:szCs w:val="22"/>
        </w:rPr>
        <w:t xml:space="preserve">already </w:t>
      </w:r>
      <w:r w:rsidR="00106D27" w:rsidRPr="4E9F2C88">
        <w:rPr>
          <w:rFonts w:ascii="Arial" w:hAnsi="Arial" w:cs="Arial"/>
          <w:sz w:val="22"/>
          <w:szCs w:val="22"/>
        </w:rPr>
        <w:t xml:space="preserve">comply with Regulation 9, Rule 10, which meets RACT. </w:t>
      </w:r>
      <w:r w:rsidR="000027EB" w:rsidRPr="4E9F2C88">
        <w:rPr>
          <w:rFonts w:ascii="Arial" w:hAnsi="Arial" w:cs="Arial"/>
          <w:sz w:val="22"/>
          <w:szCs w:val="22"/>
        </w:rPr>
        <w:t xml:space="preserve"> </w:t>
      </w:r>
      <w:r w:rsidR="00DB7FEF" w:rsidRPr="4E9F2C88">
        <w:rPr>
          <w:rFonts w:ascii="Arial" w:hAnsi="Arial" w:cs="Arial"/>
          <w:sz w:val="22"/>
          <w:szCs w:val="22"/>
        </w:rPr>
        <w:t xml:space="preserve"> </w:t>
      </w:r>
    </w:p>
    <w:p w14:paraId="62AF2E47" w14:textId="77777777" w:rsidR="00DB7FEF" w:rsidRPr="00CE6C53" w:rsidRDefault="00DB7FEF" w:rsidP="4E9F2C88">
      <w:pPr>
        <w:spacing w:before="300" w:line="300" w:lineRule="atLeast"/>
        <w:jc w:val="both"/>
        <w:rPr>
          <w:rFonts w:ascii="Arial" w:hAnsi="Arial" w:cs="Arial"/>
          <w:i/>
          <w:iCs/>
          <w:sz w:val="22"/>
          <w:szCs w:val="22"/>
        </w:rPr>
      </w:pPr>
      <w:r w:rsidRPr="00CE6C53">
        <w:rPr>
          <w:rFonts w:ascii="Arial" w:hAnsi="Arial" w:cs="Arial"/>
          <w:i/>
          <w:iCs/>
          <w:sz w:val="22"/>
          <w:szCs w:val="22"/>
        </w:rPr>
        <w:t>Offsets</w:t>
      </w:r>
    </w:p>
    <w:p w14:paraId="32017CAD" w14:textId="67B8B716" w:rsidR="00DB7FEF" w:rsidRDefault="00DB7FEF" w:rsidP="00EF6348">
      <w:pPr>
        <w:spacing w:before="300" w:line="300" w:lineRule="atLeast"/>
        <w:jc w:val="both"/>
        <w:rPr>
          <w:rFonts w:ascii="Arial" w:hAnsi="Arial" w:cs="Arial"/>
          <w:sz w:val="22"/>
          <w:szCs w:val="22"/>
        </w:rPr>
      </w:pPr>
      <w:r w:rsidRPr="78C24AC5">
        <w:rPr>
          <w:rFonts w:ascii="Arial" w:hAnsi="Arial" w:cs="Arial"/>
          <w:sz w:val="22"/>
          <w:szCs w:val="22"/>
        </w:rPr>
        <w:t>Sections 2-2-302 and 2-2-303 provide the emission offset requirements for POC, NOx, particulate matter less than 2.5 microns (PM</w:t>
      </w:r>
      <w:r w:rsidRPr="002C089D">
        <w:rPr>
          <w:rFonts w:ascii="Arial" w:hAnsi="Arial" w:cs="Arial"/>
          <w:sz w:val="22"/>
          <w:szCs w:val="22"/>
          <w:vertAlign w:val="subscript"/>
        </w:rPr>
        <w:t>2.5</w:t>
      </w:r>
      <w:r w:rsidRPr="78C24AC5">
        <w:rPr>
          <w:rFonts w:ascii="Arial" w:hAnsi="Arial" w:cs="Arial"/>
          <w:sz w:val="22"/>
          <w:szCs w:val="22"/>
        </w:rPr>
        <w:t>), particulate matter less than 10 microns (PM</w:t>
      </w:r>
      <w:r w:rsidRPr="002C089D">
        <w:rPr>
          <w:rFonts w:ascii="Arial" w:hAnsi="Arial" w:cs="Arial"/>
          <w:sz w:val="22"/>
          <w:szCs w:val="22"/>
          <w:vertAlign w:val="subscript"/>
        </w:rPr>
        <w:t>10</w:t>
      </w:r>
      <w:r w:rsidRPr="78C24AC5">
        <w:rPr>
          <w:rFonts w:ascii="Arial" w:hAnsi="Arial" w:cs="Arial"/>
          <w:sz w:val="22"/>
          <w:szCs w:val="22"/>
        </w:rPr>
        <w:t>), and SO</w:t>
      </w:r>
      <w:r w:rsidRPr="002C089D">
        <w:rPr>
          <w:rFonts w:ascii="Arial" w:hAnsi="Arial" w:cs="Arial"/>
          <w:sz w:val="22"/>
          <w:szCs w:val="22"/>
          <w:vertAlign w:val="subscript"/>
        </w:rPr>
        <w:t>2</w:t>
      </w:r>
      <w:r w:rsidRPr="78C24AC5">
        <w:rPr>
          <w:rFonts w:ascii="Arial" w:hAnsi="Arial" w:cs="Arial"/>
          <w:sz w:val="22"/>
          <w:szCs w:val="22"/>
        </w:rPr>
        <w:t>. Offsets are triggered based on the Cumulative Increase Calculations Procedures described in Section</w:t>
      </w:r>
      <w:r w:rsidR="6A337FAC" w:rsidRPr="78C24AC5">
        <w:rPr>
          <w:rFonts w:ascii="Arial" w:hAnsi="Arial" w:cs="Arial"/>
          <w:sz w:val="22"/>
          <w:szCs w:val="22"/>
        </w:rPr>
        <w:t>s</w:t>
      </w:r>
      <w:r w:rsidRPr="78C24AC5">
        <w:rPr>
          <w:rFonts w:ascii="Arial" w:hAnsi="Arial" w:cs="Arial"/>
          <w:sz w:val="22"/>
          <w:szCs w:val="22"/>
        </w:rPr>
        <w:t xml:space="preserve"> 2-2-607 and 2-2-608. As demonstrated in the analysis provided in Attachment </w:t>
      </w:r>
      <w:r w:rsidR="00FA0491" w:rsidRPr="78C24AC5">
        <w:rPr>
          <w:rFonts w:ascii="Arial" w:hAnsi="Arial" w:cs="Arial"/>
          <w:sz w:val="22"/>
          <w:szCs w:val="22"/>
        </w:rPr>
        <w:t>C</w:t>
      </w:r>
      <w:r w:rsidR="00CE6C53">
        <w:rPr>
          <w:rFonts w:ascii="Arial" w:hAnsi="Arial" w:cs="Arial"/>
          <w:sz w:val="22"/>
          <w:szCs w:val="22"/>
        </w:rPr>
        <w:t xml:space="preserve"> </w:t>
      </w:r>
      <w:r w:rsidR="00CE6C53">
        <w:rPr>
          <w:rFonts w:ascii="Arial" w:hAnsi="Arial" w:cs="Arial"/>
          <w:sz w:val="22"/>
          <w:szCs w:val="22"/>
        </w:rPr>
        <w:lastRenderedPageBreak/>
        <w:t>(Emission Calculations)</w:t>
      </w:r>
      <w:r w:rsidRPr="78C24AC5">
        <w:rPr>
          <w:rFonts w:ascii="Arial" w:hAnsi="Arial" w:cs="Arial"/>
          <w:sz w:val="22"/>
          <w:szCs w:val="22"/>
        </w:rPr>
        <w:t>, the project requires the following emission reduction credits (ERCs)</w:t>
      </w:r>
      <w:r w:rsidR="7BAEA440" w:rsidRPr="78C24AC5">
        <w:rPr>
          <w:rFonts w:ascii="Arial" w:hAnsi="Arial" w:cs="Arial"/>
          <w:sz w:val="22"/>
          <w:szCs w:val="22"/>
        </w:rPr>
        <w:t xml:space="preserve"> as provided in Table 1 below</w:t>
      </w:r>
      <w:r w:rsidRPr="78C24AC5">
        <w:rPr>
          <w:rFonts w:ascii="Arial" w:hAnsi="Arial" w:cs="Arial"/>
          <w:sz w:val="22"/>
          <w:szCs w:val="22"/>
        </w:rPr>
        <w:t xml:space="preserve">. </w:t>
      </w:r>
      <w:r w:rsidR="3FDBE844" w:rsidRPr="78C24AC5">
        <w:rPr>
          <w:rFonts w:ascii="Arial" w:hAnsi="Arial" w:cs="Arial"/>
          <w:sz w:val="22"/>
          <w:szCs w:val="22"/>
        </w:rPr>
        <w:t>Certificates 1144 and 1838 can be used for offsets.</w:t>
      </w:r>
    </w:p>
    <w:p w14:paraId="133DCE32" w14:textId="0F66AD56" w:rsidR="00DB7FEF" w:rsidRPr="00CE6C53" w:rsidRDefault="00DB7FEF" w:rsidP="00CE6C53">
      <w:pPr>
        <w:pStyle w:val="Caption"/>
        <w:keepNext/>
        <w:jc w:val="center"/>
        <w:rPr>
          <w:rFonts w:ascii="Arial" w:hAnsi="Arial" w:cs="Arial"/>
          <w:b/>
          <w:bCs/>
          <w:i w:val="0"/>
          <w:iCs w:val="0"/>
          <w:sz w:val="22"/>
          <w:szCs w:val="22"/>
          <w:u w:val="none"/>
        </w:rPr>
      </w:pPr>
      <w:r w:rsidRPr="00CE6C53">
        <w:rPr>
          <w:rFonts w:ascii="Arial" w:hAnsi="Arial" w:cs="Arial"/>
          <w:b/>
          <w:bCs/>
          <w:i w:val="0"/>
          <w:iCs w:val="0"/>
          <w:sz w:val="22"/>
          <w:szCs w:val="22"/>
          <w:u w:val="none"/>
        </w:rPr>
        <w:t xml:space="preserve">Table </w:t>
      </w:r>
      <w:r w:rsidRPr="002C089D">
        <w:rPr>
          <w:rFonts w:ascii="Arial" w:hAnsi="Arial" w:cs="Arial"/>
          <w:b/>
          <w:bCs/>
          <w:i w:val="0"/>
          <w:iCs w:val="0"/>
          <w:sz w:val="22"/>
          <w:szCs w:val="22"/>
          <w:u w:val="none"/>
        </w:rPr>
        <w:fldChar w:fldCharType="begin"/>
      </w:r>
      <w:r w:rsidRPr="002C089D">
        <w:rPr>
          <w:rFonts w:ascii="Arial" w:hAnsi="Arial" w:cs="Arial"/>
          <w:b/>
          <w:bCs/>
          <w:i w:val="0"/>
          <w:iCs w:val="0"/>
          <w:sz w:val="22"/>
          <w:szCs w:val="22"/>
          <w:u w:val="none"/>
        </w:rPr>
        <w:instrText xml:space="preserve"> SEQ Table \* ARABIC </w:instrText>
      </w:r>
      <w:r w:rsidRPr="002C089D">
        <w:rPr>
          <w:rFonts w:ascii="Arial" w:hAnsi="Arial" w:cs="Arial"/>
          <w:b/>
          <w:bCs/>
          <w:i w:val="0"/>
          <w:iCs w:val="0"/>
          <w:sz w:val="22"/>
          <w:szCs w:val="22"/>
          <w:u w:val="none"/>
        </w:rPr>
        <w:fldChar w:fldCharType="separate"/>
      </w:r>
      <w:r w:rsidR="00E71DD6" w:rsidRPr="002C089D">
        <w:rPr>
          <w:rFonts w:ascii="Arial" w:hAnsi="Arial" w:cs="Arial"/>
          <w:b/>
          <w:bCs/>
          <w:i w:val="0"/>
          <w:iCs w:val="0"/>
          <w:sz w:val="22"/>
          <w:szCs w:val="22"/>
          <w:u w:val="none"/>
        </w:rPr>
        <w:t>1</w:t>
      </w:r>
      <w:r w:rsidRPr="002C089D">
        <w:rPr>
          <w:rFonts w:ascii="Arial" w:hAnsi="Arial" w:cs="Arial"/>
          <w:b/>
          <w:bCs/>
          <w:i w:val="0"/>
          <w:iCs w:val="0"/>
          <w:sz w:val="22"/>
          <w:szCs w:val="22"/>
          <w:u w:val="none"/>
        </w:rPr>
        <w:fldChar w:fldCharType="end"/>
      </w:r>
      <w:r w:rsidRPr="00CE6C53">
        <w:rPr>
          <w:rFonts w:ascii="Arial" w:hAnsi="Arial" w:cs="Arial"/>
          <w:b/>
          <w:bCs/>
          <w:i w:val="0"/>
          <w:iCs w:val="0"/>
          <w:sz w:val="22"/>
          <w:szCs w:val="22"/>
          <w:u w:val="none"/>
        </w:rPr>
        <w:t xml:space="preserve"> - ERC Summary</w:t>
      </w:r>
    </w:p>
    <w:p w14:paraId="451C1E6B" w14:textId="77777777" w:rsidR="00DB7FEF" w:rsidRPr="00745A49" w:rsidRDefault="00DB7FEF" w:rsidP="00DB7FEF"/>
    <w:tbl>
      <w:tblPr>
        <w:tblStyle w:val="TableGrid"/>
        <w:tblW w:w="9498" w:type="dxa"/>
        <w:tblLook w:val="04A0" w:firstRow="1" w:lastRow="0" w:firstColumn="1" w:lastColumn="0" w:noHBand="0" w:noVBand="1"/>
      </w:tblPr>
      <w:tblGrid>
        <w:gridCol w:w="2374"/>
        <w:gridCol w:w="2374"/>
        <w:gridCol w:w="2375"/>
        <w:gridCol w:w="2375"/>
      </w:tblGrid>
      <w:tr w:rsidR="00DB7FEF" w14:paraId="527C2C5F" w14:textId="77777777">
        <w:trPr>
          <w:trHeight w:val="608"/>
        </w:trPr>
        <w:tc>
          <w:tcPr>
            <w:tcW w:w="2374" w:type="dxa"/>
            <w:shd w:val="clear" w:color="auto" w:fill="D9D9D9" w:themeFill="background1" w:themeFillShade="D9"/>
            <w:vAlign w:val="bottom"/>
          </w:tcPr>
          <w:p w14:paraId="62C7C8EF" w14:textId="77777777" w:rsidR="00DB7FEF" w:rsidRPr="007C032F" w:rsidRDefault="00DB7FEF">
            <w:pPr>
              <w:rPr>
                <w:rFonts w:ascii="Arial" w:hAnsi="Arial" w:cs="Arial"/>
                <w:b/>
                <w:bCs/>
                <w:sz w:val="22"/>
                <w:szCs w:val="22"/>
              </w:rPr>
            </w:pPr>
            <w:r w:rsidRPr="007C032F">
              <w:rPr>
                <w:rFonts w:ascii="Arial" w:hAnsi="Arial" w:cs="Arial"/>
                <w:b/>
                <w:bCs/>
                <w:sz w:val="22"/>
                <w:szCs w:val="22"/>
              </w:rPr>
              <w:t>Pollutant</w:t>
            </w:r>
          </w:p>
        </w:tc>
        <w:tc>
          <w:tcPr>
            <w:tcW w:w="2374" w:type="dxa"/>
            <w:shd w:val="clear" w:color="auto" w:fill="D9D9D9" w:themeFill="background1" w:themeFillShade="D9"/>
            <w:vAlign w:val="bottom"/>
          </w:tcPr>
          <w:p w14:paraId="25745F67" w14:textId="77777777" w:rsidR="00DB7FEF" w:rsidRDefault="00DB7FEF">
            <w:pPr>
              <w:jc w:val="center"/>
              <w:rPr>
                <w:rFonts w:ascii="Arial" w:hAnsi="Arial" w:cs="Arial"/>
                <w:b/>
                <w:bCs/>
                <w:sz w:val="22"/>
                <w:szCs w:val="22"/>
              </w:rPr>
            </w:pPr>
            <w:r w:rsidRPr="007C032F">
              <w:rPr>
                <w:rFonts w:ascii="Arial" w:hAnsi="Arial" w:cs="Arial"/>
                <w:b/>
                <w:bCs/>
                <w:sz w:val="22"/>
                <w:szCs w:val="22"/>
              </w:rPr>
              <w:t>Cumulative Increase</w:t>
            </w:r>
          </w:p>
          <w:p w14:paraId="7C7CBF71" w14:textId="77777777" w:rsidR="00DB7FEF" w:rsidRPr="007C032F" w:rsidRDefault="00DB7FEF">
            <w:pPr>
              <w:jc w:val="center"/>
              <w:rPr>
                <w:rFonts w:ascii="Arial" w:hAnsi="Arial" w:cs="Arial"/>
                <w:b/>
                <w:bCs/>
                <w:sz w:val="22"/>
                <w:szCs w:val="22"/>
              </w:rPr>
            </w:pPr>
            <w:r>
              <w:rPr>
                <w:rFonts w:ascii="Arial" w:hAnsi="Arial" w:cs="Arial"/>
                <w:b/>
                <w:bCs/>
                <w:sz w:val="22"/>
                <w:szCs w:val="22"/>
              </w:rPr>
              <w:t>(tpy)</w:t>
            </w:r>
          </w:p>
        </w:tc>
        <w:tc>
          <w:tcPr>
            <w:tcW w:w="2375" w:type="dxa"/>
            <w:shd w:val="clear" w:color="auto" w:fill="D9D9D9" w:themeFill="background1" w:themeFillShade="D9"/>
            <w:vAlign w:val="bottom"/>
          </w:tcPr>
          <w:p w14:paraId="58C947C3" w14:textId="77777777" w:rsidR="00DB7FEF" w:rsidRPr="007C032F" w:rsidRDefault="00DB7FEF">
            <w:pPr>
              <w:jc w:val="center"/>
              <w:rPr>
                <w:rFonts w:ascii="Arial" w:hAnsi="Arial" w:cs="Arial"/>
                <w:b/>
                <w:bCs/>
                <w:sz w:val="22"/>
                <w:szCs w:val="22"/>
              </w:rPr>
            </w:pPr>
            <w:r w:rsidRPr="007C032F">
              <w:rPr>
                <w:rFonts w:ascii="Arial" w:hAnsi="Arial" w:cs="Arial"/>
                <w:b/>
                <w:bCs/>
                <w:sz w:val="22"/>
                <w:szCs w:val="22"/>
              </w:rPr>
              <w:t>Offset Ratio</w:t>
            </w:r>
          </w:p>
        </w:tc>
        <w:tc>
          <w:tcPr>
            <w:tcW w:w="2375" w:type="dxa"/>
            <w:shd w:val="clear" w:color="auto" w:fill="D9D9D9" w:themeFill="background1" w:themeFillShade="D9"/>
            <w:vAlign w:val="bottom"/>
          </w:tcPr>
          <w:p w14:paraId="3CD2EB77" w14:textId="77777777" w:rsidR="00DB7FEF" w:rsidRPr="007C032F" w:rsidRDefault="00DB7FEF">
            <w:pPr>
              <w:jc w:val="center"/>
              <w:rPr>
                <w:rFonts w:ascii="Arial" w:hAnsi="Arial" w:cs="Arial"/>
                <w:b/>
                <w:bCs/>
                <w:sz w:val="22"/>
                <w:szCs w:val="22"/>
              </w:rPr>
            </w:pPr>
            <w:r w:rsidRPr="007C032F">
              <w:rPr>
                <w:rFonts w:ascii="Arial" w:hAnsi="Arial" w:cs="Arial"/>
                <w:b/>
                <w:bCs/>
                <w:sz w:val="22"/>
                <w:szCs w:val="22"/>
              </w:rPr>
              <w:t>Offsets Required</w:t>
            </w:r>
          </w:p>
          <w:p w14:paraId="02A01617" w14:textId="77777777" w:rsidR="00DB7FEF" w:rsidRPr="007C032F" w:rsidRDefault="00DB7FEF">
            <w:pPr>
              <w:jc w:val="center"/>
              <w:rPr>
                <w:rFonts w:ascii="Arial" w:hAnsi="Arial" w:cs="Arial"/>
                <w:b/>
                <w:bCs/>
                <w:sz w:val="22"/>
                <w:szCs w:val="22"/>
              </w:rPr>
            </w:pPr>
            <w:r w:rsidRPr="007C032F">
              <w:rPr>
                <w:rFonts w:ascii="Arial" w:hAnsi="Arial" w:cs="Arial"/>
                <w:b/>
                <w:bCs/>
                <w:sz w:val="22"/>
                <w:szCs w:val="22"/>
              </w:rPr>
              <w:t>(tpy)</w:t>
            </w:r>
          </w:p>
        </w:tc>
      </w:tr>
      <w:tr w:rsidR="00DB7FEF" w14:paraId="08255312" w14:textId="77777777">
        <w:trPr>
          <w:trHeight w:val="486"/>
        </w:trPr>
        <w:tc>
          <w:tcPr>
            <w:tcW w:w="2374" w:type="dxa"/>
            <w:vAlign w:val="bottom"/>
          </w:tcPr>
          <w:p w14:paraId="00BF2550" w14:textId="77777777" w:rsidR="00DB7FEF" w:rsidRDefault="00DB7FEF">
            <w:pPr>
              <w:spacing w:line="300" w:lineRule="atLeast"/>
              <w:rPr>
                <w:rFonts w:ascii="Arial" w:hAnsi="Arial" w:cs="Arial"/>
                <w:sz w:val="22"/>
                <w:szCs w:val="22"/>
              </w:rPr>
            </w:pPr>
            <w:r>
              <w:rPr>
                <w:rFonts w:ascii="Arial" w:hAnsi="Arial" w:cs="Arial"/>
                <w:sz w:val="22"/>
                <w:szCs w:val="22"/>
              </w:rPr>
              <w:t>POC</w:t>
            </w:r>
          </w:p>
        </w:tc>
        <w:tc>
          <w:tcPr>
            <w:tcW w:w="2374" w:type="dxa"/>
            <w:vAlign w:val="bottom"/>
          </w:tcPr>
          <w:p w14:paraId="40072EA7" w14:textId="7E72DE8D" w:rsidR="00570426" w:rsidRDefault="00570426" w:rsidP="00570426">
            <w:pPr>
              <w:spacing w:line="300" w:lineRule="atLeast"/>
              <w:jc w:val="center"/>
              <w:rPr>
                <w:rFonts w:ascii="Arial" w:hAnsi="Arial" w:cs="Arial"/>
                <w:sz w:val="22"/>
                <w:szCs w:val="22"/>
              </w:rPr>
            </w:pPr>
            <w:r>
              <w:rPr>
                <w:rFonts w:ascii="Arial" w:hAnsi="Arial" w:cs="Arial"/>
                <w:sz w:val="22"/>
                <w:szCs w:val="22"/>
              </w:rPr>
              <w:t>0.063</w:t>
            </w:r>
          </w:p>
        </w:tc>
        <w:tc>
          <w:tcPr>
            <w:tcW w:w="2375" w:type="dxa"/>
            <w:vAlign w:val="bottom"/>
          </w:tcPr>
          <w:p w14:paraId="6E95862C" w14:textId="77777777" w:rsidR="00DB7FEF" w:rsidRDefault="00DB7FEF">
            <w:pPr>
              <w:spacing w:line="300" w:lineRule="atLeast"/>
              <w:jc w:val="center"/>
              <w:rPr>
                <w:rFonts w:ascii="Arial" w:hAnsi="Arial" w:cs="Arial"/>
                <w:sz w:val="22"/>
                <w:szCs w:val="22"/>
              </w:rPr>
            </w:pPr>
            <w:r>
              <w:rPr>
                <w:rFonts w:ascii="Arial" w:hAnsi="Arial" w:cs="Arial"/>
                <w:sz w:val="22"/>
                <w:szCs w:val="22"/>
              </w:rPr>
              <w:t>1.15</w:t>
            </w:r>
          </w:p>
        </w:tc>
        <w:tc>
          <w:tcPr>
            <w:tcW w:w="2375" w:type="dxa"/>
            <w:vAlign w:val="bottom"/>
          </w:tcPr>
          <w:p w14:paraId="7949328D" w14:textId="13B0F5BB" w:rsidR="00DB7FEF" w:rsidRDefault="00570426">
            <w:pPr>
              <w:spacing w:line="300" w:lineRule="atLeast"/>
              <w:jc w:val="center"/>
              <w:rPr>
                <w:rFonts w:ascii="Arial" w:hAnsi="Arial" w:cs="Arial"/>
                <w:sz w:val="22"/>
                <w:szCs w:val="22"/>
              </w:rPr>
            </w:pPr>
            <w:r>
              <w:rPr>
                <w:rFonts w:ascii="Arial" w:hAnsi="Arial" w:cs="Arial"/>
                <w:sz w:val="22"/>
                <w:szCs w:val="22"/>
              </w:rPr>
              <w:t>0.073</w:t>
            </w:r>
          </w:p>
        </w:tc>
      </w:tr>
      <w:tr w:rsidR="00DB7FEF" w14:paraId="1BBC54BE" w14:textId="77777777">
        <w:trPr>
          <w:trHeight w:val="486"/>
        </w:trPr>
        <w:tc>
          <w:tcPr>
            <w:tcW w:w="2374" w:type="dxa"/>
            <w:vAlign w:val="bottom"/>
          </w:tcPr>
          <w:p w14:paraId="1AF09928" w14:textId="77777777" w:rsidR="00DB7FEF" w:rsidRDefault="00DB7FEF">
            <w:pPr>
              <w:spacing w:line="300" w:lineRule="atLeast"/>
              <w:rPr>
                <w:rFonts w:ascii="Arial" w:hAnsi="Arial" w:cs="Arial"/>
                <w:sz w:val="22"/>
                <w:szCs w:val="22"/>
              </w:rPr>
            </w:pPr>
            <w:r>
              <w:rPr>
                <w:rFonts w:ascii="Arial" w:hAnsi="Arial" w:cs="Arial"/>
                <w:sz w:val="22"/>
                <w:szCs w:val="22"/>
              </w:rPr>
              <w:t>NOx</w:t>
            </w:r>
          </w:p>
        </w:tc>
        <w:tc>
          <w:tcPr>
            <w:tcW w:w="2374" w:type="dxa"/>
            <w:vAlign w:val="bottom"/>
          </w:tcPr>
          <w:p w14:paraId="1B304F2D" w14:textId="5D6B7BBB" w:rsidR="00DB7FEF" w:rsidRDefault="00570426">
            <w:pPr>
              <w:spacing w:line="300" w:lineRule="atLeast"/>
              <w:jc w:val="center"/>
              <w:rPr>
                <w:rFonts w:ascii="Arial" w:hAnsi="Arial" w:cs="Arial"/>
                <w:sz w:val="22"/>
                <w:szCs w:val="22"/>
              </w:rPr>
            </w:pPr>
            <w:r>
              <w:rPr>
                <w:rFonts w:ascii="Arial" w:hAnsi="Arial" w:cs="Arial"/>
                <w:sz w:val="22"/>
                <w:szCs w:val="22"/>
              </w:rPr>
              <w:t>0.040</w:t>
            </w:r>
          </w:p>
        </w:tc>
        <w:tc>
          <w:tcPr>
            <w:tcW w:w="2375" w:type="dxa"/>
            <w:vAlign w:val="bottom"/>
          </w:tcPr>
          <w:p w14:paraId="275A3B4E" w14:textId="77777777" w:rsidR="00DB7FEF" w:rsidRDefault="00DB7FEF">
            <w:pPr>
              <w:spacing w:line="300" w:lineRule="atLeast"/>
              <w:jc w:val="center"/>
              <w:rPr>
                <w:rFonts w:ascii="Arial" w:hAnsi="Arial" w:cs="Arial"/>
                <w:sz w:val="22"/>
                <w:szCs w:val="22"/>
              </w:rPr>
            </w:pPr>
            <w:r>
              <w:rPr>
                <w:rFonts w:ascii="Arial" w:hAnsi="Arial" w:cs="Arial"/>
                <w:sz w:val="22"/>
                <w:szCs w:val="22"/>
              </w:rPr>
              <w:t>1.15</w:t>
            </w:r>
          </w:p>
        </w:tc>
        <w:tc>
          <w:tcPr>
            <w:tcW w:w="2375" w:type="dxa"/>
            <w:vAlign w:val="bottom"/>
          </w:tcPr>
          <w:p w14:paraId="4BA1DD87" w14:textId="6C64D458" w:rsidR="00DB7FEF" w:rsidRDefault="00570426">
            <w:pPr>
              <w:spacing w:line="300" w:lineRule="atLeast"/>
              <w:jc w:val="center"/>
              <w:rPr>
                <w:rFonts w:ascii="Arial" w:hAnsi="Arial" w:cs="Arial"/>
                <w:sz w:val="22"/>
                <w:szCs w:val="22"/>
              </w:rPr>
            </w:pPr>
            <w:r>
              <w:rPr>
                <w:rFonts w:ascii="Arial" w:hAnsi="Arial" w:cs="Arial"/>
                <w:sz w:val="22"/>
                <w:szCs w:val="22"/>
              </w:rPr>
              <w:t>0.046</w:t>
            </w:r>
          </w:p>
        </w:tc>
      </w:tr>
      <w:tr w:rsidR="00DB7FEF" w14:paraId="1090F4B9" w14:textId="77777777">
        <w:trPr>
          <w:trHeight w:val="486"/>
        </w:trPr>
        <w:tc>
          <w:tcPr>
            <w:tcW w:w="2374" w:type="dxa"/>
            <w:vAlign w:val="bottom"/>
          </w:tcPr>
          <w:p w14:paraId="230BC88E" w14:textId="77777777" w:rsidR="00DB7FEF" w:rsidRDefault="00DB7FEF">
            <w:pPr>
              <w:spacing w:line="300" w:lineRule="atLeast"/>
              <w:rPr>
                <w:rFonts w:ascii="Arial" w:hAnsi="Arial" w:cs="Arial"/>
                <w:sz w:val="22"/>
                <w:szCs w:val="22"/>
              </w:rPr>
            </w:pPr>
            <w:r>
              <w:rPr>
                <w:rFonts w:ascii="Arial" w:hAnsi="Arial" w:cs="Arial"/>
                <w:sz w:val="22"/>
                <w:szCs w:val="22"/>
              </w:rPr>
              <w:t>PM</w:t>
            </w:r>
            <w:r w:rsidRPr="002C089D">
              <w:rPr>
                <w:rFonts w:ascii="Arial" w:hAnsi="Arial" w:cs="Arial"/>
                <w:sz w:val="22"/>
                <w:szCs w:val="22"/>
                <w:vertAlign w:val="subscript"/>
              </w:rPr>
              <w:t>2.5</w:t>
            </w:r>
          </w:p>
        </w:tc>
        <w:tc>
          <w:tcPr>
            <w:tcW w:w="2374" w:type="dxa"/>
            <w:vAlign w:val="bottom"/>
          </w:tcPr>
          <w:p w14:paraId="1619A6A9" w14:textId="4F35C1BB" w:rsidR="00DB7FEF" w:rsidRDefault="00570426">
            <w:pPr>
              <w:spacing w:line="300" w:lineRule="atLeast"/>
              <w:jc w:val="center"/>
              <w:rPr>
                <w:rFonts w:ascii="Arial" w:hAnsi="Arial" w:cs="Arial"/>
                <w:sz w:val="22"/>
                <w:szCs w:val="22"/>
              </w:rPr>
            </w:pPr>
            <w:r>
              <w:rPr>
                <w:rFonts w:ascii="Arial" w:hAnsi="Arial" w:cs="Arial"/>
                <w:sz w:val="22"/>
                <w:szCs w:val="22"/>
              </w:rPr>
              <w:t>0.003</w:t>
            </w:r>
          </w:p>
        </w:tc>
        <w:tc>
          <w:tcPr>
            <w:tcW w:w="2375" w:type="dxa"/>
            <w:vAlign w:val="bottom"/>
          </w:tcPr>
          <w:p w14:paraId="711B6846" w14:textId="77777777" w:rsidR="00DB7FEF" w:rsidRDefault="00DB7FEF">
            <w:pPr>
              <w:spacing w:line="300" w:lineRule="atLeast"/>
              <w:jc w:val="center"/>
              <w:rPr>
                <w:rFonts w:ascii="Arial" w:hAnsi="Arial" w:cs="Arial"/>
                <w:sz w:val="22"/>
                <w:szCs w:val="22"/>
              </w:rPr>
            </w:pPr>
            <w:r>
              <w:rPr>
                <w:rFonts w:ascii="Arial" w:hAnsi="Arial" w:cs="Arial"/>
                <w:sz w:val="22"/>
                <w:szCs w:val="22"/>
              </w:rPr>
              <w:t>1.00</w:t>
            </w:r>
          </w:p>
        </w:tc>
        <w:tc>
          <w:tcPr>
            <w:tcW w:w="2375" w:type="dxa"/>
            <w:vAlign w:val="bottom"/>
          </w:tcPr>
          <w:p w14:paraId="437C3F30" w14:textId="7D9FCF1A" w:rsidR="00DB7FEF" w:rsidRDefault="00570426">
            <w:pPr>
              <w:spacing w:line="300" w:lineRule="atLeast"/>
              <w:jc w:val="center"/>
              <w:rPr>
                <w:rFonts w:ascii="Arial" w:hAnsi="Arial" w:cs="Arial"/>
                <w:sz w:val="22"/>
                <w:szCs w:val="22"/>
              </w:rPr>
            </w:pPr>
            <w:r>
              <w:rPr>
                <w:rFonts w:ascii="Arial" w:hAnsi="Arial" w:cs="Arial"/>
                <w:sz w:val="22"/>
                <w:szCs w:val="22"/>
              </w:rPr>
              <w:t>0.003</w:t>
            </w:r>
          </w:p>
        </w:tc>
      </w:tr>
      <w:tr w:rsidR="00DB7FEF" w14:paraId="70212AB0" w14:textId="77777777">
        <w:trPr>
          <w:trHeight w:val="477"/>
        </w:trPr>
        <w:tc>
          <w:tcPr>
            <w:tcW w:w="2374" w:type="dxa"/>
            <w:vAlign w:val="bottom"/>
          </w:tcPr>
          <w:p w14:paraId="24092058" w14:textId="77777777" w:rsidR="00DB7FEF" w:rsidRDefault="00DB7FEF">
            <w:pPr>
              <w:spacing w:line="300" w:lineRule="atLeast"/>
              <w:rPr>
                <w:rFonts w:ascii="Arial" w:hAnsi="Arial" w:cs="Arial"/>
                <w:sz w:val="22"/>
                <w:szCs w:val="22"/>
              </w:rPr>
            </w:pPr>
            <w:r>
              <w:rPr>
                <w:rFonts w:ascii="Arial" w:hAnsi="Arial" w:cs="Arial"/>
                <w:sz w:val="22"/>
                <w:szCs w:val="22"/>
              </w:rPr>
              <w:t>PM</w:t>
            </w:r>
            <w:r w:rsidRPr="002C089D">
              <w:rPr>
                <w:rFonts w:ascii="Arial" w:hAnsi="Arial" w:cs="Arial"/>
                <w:sz w:val="22"/>
                <w:szCs w:val="22"/>
                <w:vertAlign w:val="subscript"/>
              </w:rPr>
              <w:t>10</w:t>
            </w:r>
          </w:p>
        </w:tc>
        <w:tc>
          <w:tcPr>
            <w:tcW w:w="2374" w:type="dxa"/>
            <w:vAlign w:val="bottom"/>
          </w:tcPr>
          <w:p w14:paraId="0D2AA038" w14:textId="25009336" w:rsidR="00570426" w:rsidRDefault="00570426" w:rsidP="00570426">
            <w:pPr>
              <w:spacing w:line="300" w:lineRule="atLeast"/>
              <w:jc w:val="center"/>
              <w:rPr>
                <w:rFonts w:ascii="Arial" w:hAnsi="Arial" w:cs="Arial"/>
                <w:sz w:val="22"/>
                <w:szCs w:val="22"/>
              </w:rPr>
            </w:pPr>
            <w:r>
              <w:rPr>
                <w:rFonts w:ascii="Arial" w:hAnsi="Arial" w:cs="Arial"/>
                <w:sz w:val="22"/>
                <w:szCs w:val="22"/>
              </w:rPr>
              <w:t>0.003</w:t>
            </w:r>
          </w:p>
        </w:tc>
        <w:tc>
          <w:tcPr>
            <w:tcW w:w="2375" w:type="dxa"/>
            <w:vAlign w:val="bottom"/>
          </w:tcPr>
          <w:p w14:paraId="37514C6D" w14:textId="77777777" w:rsidR="00DB7FEF" w:rsidRDefault="00DB7FEF">
            <w:pPr>
              <w:spacing w:line="300" w:lineRule="atLeast"/>
              <w:jc w:val="center"/>
              <w:rPr>
                <w:rFonts w:ascii="Arial" w:hAnsi="Arial" w:cs="Arial"/>
                <w:sz w:val="22"/>
                <w:szCs w:val="22"/>
              </w:rPr>
            </w:pPr>
            <w:r>
              <w:rPr>
                <w:rFonts w:ascii="Arial" w:hAnsi="Arial" w:cs="Arial"/>
                <w:sz w:val="22"/>
                <w:szCs w:val="22"/>
              </w:rPr>
              <w:t>1.00</w:t>
            </w:r>
          </w:p>
        </w:tc>
        <w:tc>
          <w:tcPr>
            <w:tcW w:w="2375" w:type="dxa"/>
            <w:vAlign w:val="bottom"/>
          </w:tcPr>
          <w:p w14:paraId="44EDC165" w14:textId="7E730B92" w:rsidR="00DB7FEF" w:rsidRDefault="00570426">
            <w:pPr>
              <w:spacing w:line="300" w:lineRule="atLeast"/>
              <w:jc w:val="center"/>
              <w:rPr>
                <w:rFonts w:ascii="Arial" w:hAnsi="Arial" w:cs="Arial"/>
                <w:sz w:val="22"/>
                <w:szCs w:val="22"/>
              </w:rPr>
            </w:pPr>
            <w:r>
              <w:rPr>
                <w:rFonts w:ascii="Arial" w:hAnsi="Arial" w:cs="Arial"/>
                <w:sz w:val="22"/>
                <w:szCs w:val="22"/>
              </w:rPr>
              <w:t>0.003</w:t>
            </w:r>
          </w:p>
        </w:tc>
      </w:tr>
      <w:tr w:rsidR="00DB7FEF" w14:paraId="23F6A1B1" w14:textId="77777777">
        <w:trPr>
          <w:trHeight w:val="486"/>
        </w:trPr>
        <w:tc>
          <w:tcPr>
            <w:tcW w:w="2374" w:type="dxa"/>
            <w:vAlign w:val="bottom"/>
          </w:tcPr>
          <w:p w14:paraId="436F8A76" w14:textId="77777777" w:rsidR="00DB7FEF" w:rsidRDefault="00DB7FEF">
            <w:pPr>
              <w:spacing w:line="300" w:lineRule="atLeast"/>
              <w:rPr>
                <w:rFonts w:ascii="Arial" w:hAnsi="Arial" w:cs="Arial"/>
                <w:sz w:val="22"/>
                <w:szCs w:val="22"/>
              </w:rPr>
            </w:pPr>
            <w:r>
              <w:rPr>
                <w:rFonts w:ascii="Arial" w:hAnsi="Arial" w:cs="Arial"/>
                <w:sz w:val="22"/>
                <w:szCs w:val="22"/>
              </w:rPr>
              <w:t>SO</w:t>
            </w:r>
            <w:r w:rsidRPr="002C089D">
              <w:rPr>
                <w:rFonts w:ascii="Arial" w:hAnsi="Arial" w:cs="Arial"/>
                <w:sz w:val="22"/>
                <w:szCs w:val="22"/>
                <w:vertAlign w:val="subscript"/>
              </w:rPr>
              <w:t>2</w:t>
            </w:r>
          </w:p>
        </w:tc>
        <w:tc>
          <w:tcPr>
            <w:tcW w:w="2374" w:type="dxa"/>
            <w:vAlign w:val="bottom"/>
          </w:tcPr>
          <w:p w14:paraId="291FB9B2" w14:textId="77777777" w:rsidR="00DB7FEF" w:rsidRDefault="00DB7FEF">
            <w:pPr>
              <w:spacing w:line="300" w:lineRule="atLeast"/>
              <w:jc w:val="center"/>
              <w:rPr>
                <w:rFonts w:ascii="Arial" w:hAnsi="Arial" w:cs="Arial"/>
                <w:sz w:val="22"/>
                <w:szCs w:val="22"/>
              </w:rPr>
            </w:pPr>
            <w:r>
              <w:rPr>
                <w:rFonts w:ascii="Arial" w:hAnsi="Arial" w:cs="Arial"/>
                <w:sz w:val="22"/>
                <w:szCs w:val="22"/>
              </w:rPr>
              <w:t>0</w:t>
            </w:r>
          </w:p>
        </w:tc>
        <w:tc>
          <w:tcPr>
            <w:tcW w:w="2375" w:type="dxa"/>
            <w:vAlign w:val="bottom"/>
          </w:tcPr>
          <w:p w14:paraId="41239990" w14:textId="77777777" w:rsidR="00DB7FEF" w:rsidRDefault="00DB7FEF">
            <w:pPr>
              <w:spacing w:line="300" w:lineRule="atLeast"/>
              <w:jc w:val="center"/>
              <w:rPr>
                <w:rFonts w:ascii="Arial" w:hAnsi="Arial" w:cs="Arial"/>
                <w:sz w:val="22"/>
                <w:szCs w:val="22"/>
              </w:rPr>
            </w:pPr>
            <w:r>
              <w:rPr>
                <w:rFonts w:ascii="Arial" w:hAnsi="Arial" w:cs="Arial"/>
                <w:sz w:val="22"/>
                <w:szCs w:val="22"/>
              </w:rPr>
              <w:t>1.00</w:t>
            </w:r>
          </w:p>
        </w:tc>
        <w:tc>
          <w:tcPr>
            <w:tcW w:w="2375" w:type="dxa"/>
            <w:vAlign w:val="bottom"/>
          </w:tcPr>
          <w:p w14:paraId="0DC6F020" w14:textId="77777777" w:rsidR="00DB7FEF" w:rsidRDefault="00DB7FEF">
            <w:pPr>
              <w:spacing w:line="300" w:lineRule="atLeast"/>
              <w:jc w:val="center"/>
              <w:rPr>
                <w:rFonts w:ascii="Arial" w:hAnsi="Arial" w:cs="Arial"/>
                <w:sz w:val="22"/>
                <w:szCs w:val="22"/>
              </w:rPr>
            </w:pPr>
            <w:r>
              <w:rPr>
                <w:rFonts w:ascii="Arial" w:hAnsi="Arial" w:cs="Arial"/>
                <w:sz w:val="22"/>
                <w:szCs w:val="22"/>
              </w:rPr>
              <w:t>0</w:t>
            </w:r>
          </w:p>
        </w:tc>
      </w:tr>
    </w:tbl>
    <w:p w14:paraId="47A5C144" w14:textId="5E8D93A0" w:rsidR="00DB7FEF" w:rsidRDefault="00DB7FEF" w:rsidP="00DB7FEF">
      <w:pPr>
        <w:rPr>
          <w:rFonts w:ascii="Arial" w:hAnsi="Arial" w:cs="Arial"/>
          <w:i/>
          <w:iCs/>
          <w:sz w:val="22"/>
          <w:szCs w:val="22"/>
          <w:u w:val="single"/>
        </w:rPr>
      </w:pPr>
    </w:p>
    <w:p w14:paraId="3CF42FDC" w14:textId="77777777" w:rsidR="00DB7FEF" w:rsidRPr="00CE6C53" w:rsidRDefault="00DB7FEF" w:rsidP="4E9F2C88">
      <w:pPr>
        <w:spacing w:before="300" w:line="300" w:lineRule="atLeast"/>
        <w:jc w:val="both"/>
        <w:rPr>
          <w:rFonts w:ascii="Arial" w:hAnsi="Arial" w:cs="Arial"/>
          <w:i/>
          <w:iCs/>
          <w:sz w:val="22"/>
          <w:szCs w:val="22"/>
        </w:rPr>
      </w:pPr>
      <w:r w:rsidRPr="00CE6C53">
        <w:rPr>
          <w:rFonts w:ascii="Arial" w:hAnsi="Arial" w:cs="Arial"/>
          <w:i/>
          <w:iCs/>
          <w:sz w:val="22"/>
          <w:szCs w:val="22"/>
        </w:rPr>
        <w:t xml:space="preserve">PSD </w:t>
      </w:r>
    </w:p>
    <w:p w14:paraId="7EDCE2CF" w14:textId="4779B6E9" w:rsidR="00DB7FEF" w:rsidRDefault="00DB7FEF" w:rsidP="00DB7FEF">
      <w:pPr>
        <w:spacing w:before="300" w:line="300" w:lineRule="atLeast"/>
        <w:jc w:val="both"/>
        <w:rPr>
          <w:rFonts w:ascii="Arial" w:hAnsi="Arial" w:cs="Arial"/>
          <w:sz w:val="22"/>
          <w:szCs w:val="22"/>
        </w:rPr>
      </w:pPr>
      <w:r w:rsidRPr="4E9F2C88">
        <w:rPr>
          <w:rFonts w:ascii="Arial" w:hAnsi="Arial" w:cs="Arial"/>
          <w:sz w:val="22"/>
          <w:szCs w:val="22"/>
        </w:rPr>
        <w:t xml:space="preserve">Major facility review is triggered if the emissions </w:t>
      </w:r>
      <w:proofErr w:type="gramStart"/>
      <w:r w:rsidRPr="4E9F2C88">
        <w:rPr>
          <w:rFonts w:ascii="Arial" w:hAnsi="Arial" w:cs="Arial"/>
          <w:sz w:val="22"/>
          <w:szCs w:val="22"/>
        </w:rPr>
        <w:t>increase</w:t>
      </w:r>
      <w:proofErr w:type="gramEnd"/>
      <w:r w:rsidRPr="4E9F2C88">
        <w:rPr>
          <w:rFonts w:ascii="Arial" w:hAnsi="Arial" w:cs="Arial"/>
          <w:sz w:val="22"/>
          <w:szCs w:val="22"/>
        </w:rPr>
        <w:t xml:space="preserve"> or net emissions increase is above the significance thresholds of PSD for attainment pollutants. The permitting analysis included in Attachment </w:t>
      </w:r>
      <w:r w:rsidR="00FA0491" w:rsidRPr="4E9F2C88">
        <w:rPr>
          <w:rFonts w:ascii="Arial" w:hAnsi="Arial" w:cs="Arial"/>
          <w:sz w:val="22"/>
          <w:szCs w:val="22"/>
        </w:rPr>
        <w:t>C</w:t>
      </w:r>
      <w:r w:rsidR="00CE6C53">
        <w:rPr>
          <w:rFonts w:ascii="Arial" w:hAnsi="Arial" w:cs="Arial"/>
          <w:sz w:val="22"/>
          <w:szCs w:val="22"/>
        </w:rPr>
        <w:t xml:space="preserve"> (Emission Calculations) </w:t>
      </w:r>
      <w:r w:rsidRPr="4E9F2C88">
        <w:rPr>
          <w:rFonts w:ascii="Arial" w:hAnsi="Arial" w:cs="Arial"/>
          <w:sz w:val="22"/>
          <w:szCs w:val="22"/>
        </w:rPr>
        <w:t xml:space="preserve">confirms that the proposed project is not a PSD project and is therefore exempt from the PSD BACT requirements of Section 2-2-304 </w:t>
      </w:r>
      <w:r w:rsidR="3A1898C7" w:rsidRPr="4E9F2C88">
        <w:rPr>
          <w:rFonts w:ascii="Arial" w:hAnsi="Arial" w:cs="Arial"/>
          <w:sz w:val="22"/>
          <w:szCs w:val="22"/>
        </w:rPr>
        <w:t xml:space="preserve">and exempt from </w:t>
      </w:r>
      <w:r w:rsidRPr="4E9F2C88">
        <w:rPr>
          <w:rFonts w:ascii="Arial" w:hAnsi="Arial" w:cs="Arial"/>
          <w:sz w:val="22"/>
          <w:szCs w:val="22"/>
        </w:rPr>
        <w:t>the PSD source impact analysis requirements of Sections 2-2-305 and 2-2-306.</w:t>
      </w:r>
    </w:p>
    <w:p w14:paraId="3E2EE636" w14:textId="77777777" w:rsidR="00DB7FEF" w:rsidRPr="007C6721" w:rsidRDefault="00DB7FEF" w:rsidP="00EF6348">
      <w:pPr>
        <w:keepNext/>
        <w:spacing w:before="300" w:line="300" w:lineRule="atLeast"/>
        <w:jc w:val="both"/>
        <w:rPr>
          <w:rFonts w:ascii="Arial" w:hAnsi="Arial" w:cs="Arial"/>
          <w:iCs/>
          <w:sz w:val="22"/>
          <w:szCs w:val="22"/>
          <w:u w:val="single"/>
        </w:rPr>
      </w:pPr>
      <w:r w:rsidRPr="007C6721">
        <w:rPr>
          <w:rFonts w:ascii="Arial" w:hAnsi="Arial" w:cs="Arial"/>
          <w:iCs/>
          <w:sz w:val="22"/>
          <w:szCs w:val="22"/>
          <w:u w:val="single"/>
        </w:rPr>
        <w:t>New or Modified Sources of Toxic Air Contaminants or Hazardous Air Pollutants (2-1-316)</w:t>
      </w:r>
    </w:p>
    <w:p w14:paraId="2842872D" w14:textId="3C1B7500" w:rsidR="00DB7FEF" w:rsidRDefault="00DB7FEF" w:rsidP="00494016">
      <w:pPr>
        <w:keepNext/>
        <w:spacing w:before="300" w:line="300" w:lineRule="atLeast"/>
        <w:jc w:val="both"/>
        <w:rPr>
          <w:rFonts w:ascii="Arial" w:hAnsi="Arial" w:cs="Arial"/>
          <w:sz w:val="22"/>
          <w:szCs w:val="22"/>
        </w:rPr>
      </w:pPr>
      <w:r w:rsidRPr="4E9F2C88">
        <w:rPr>
          <w:rFonts w:ascii="Arial" w:hAnsi="Arial" w:cs="Arial"/>
          <w:sz w:val="22"/>
          <w:szCs w:val="22"/>
        </w:rPr>
        <w:t>This section applies to new or modified sources that emit one or more toxic air contaminants (TACs) in quantities that exceed the trigger levels listed in Table 2-5-1 of Regulation 2-5. Emission calculations are provided</w:t>
      </w:r>
      <w:r w:rsidR="00FB7FB4">
        <w:rPr>
          <w:rFonts w:ascii="Arial" w:hAnsi="Arial" w:cs="Arial"/>
          <w:sz w:val="22"/>
          <w:szCs w:val="22"/>
        </w:rPr>
        <w:t xml:space="preserve"> in Attachment C (Emission Calculations)</w:t>
      </w:r>
      <w:r w:rsidRPr="4E9F2C88">
        <w:rPr>
          <w:rFonts w:ascii="Arial" w:hAnsi="Arial" w:cs="Arial"/>
          <w:sz w:val="22"/>
          <w:szCs w:val="22"/>
        </w:rPr>
        <w:t xml:space="preserve"> which show that emissions do not exceed trigger </w:t>
      </w:r>
      <w:r w:rsidR="0115AF90" w:rsidRPr="4E9F2C88">
        <w:rPr>
          <w:rFonts w:ascii="Arial" w:hAnsi="Arial" w:cs="Arial"/>
          <w:sz w:val="22"/>
          <w:szCs w:val="22"/>
        </w:rPr>
        <w:t xml:space="preserve">any </w:t>
      </w:r>
      <w:r w:rsidRPr="4E9F2C88">
        <w:rPr>
          <w:rFonts w:ascii="Arial" w:hAnsi="Arial" w:cs="Arial"/>
          <w:sz w:val="22"/>
          <w:szCs w:val="22"/>
        </w:rPr>
        <w:t xml:space="preserve">levels. </w:t>
      </w:r>
    </w:p>
    <w:p w14:paraId="1B488FDC" w14:textId="77777777" w:rsidR="00DB7FEF" w:rsidRDefault="00DB7FEF" w:rsidP="00DB7FEF">
      <w:pPr>
        <w:keepNext/>
        <w:spacing w:before="300" w:line="300" w:lineRule="atLeast"/>
        <w:jc w:val="both"/>
        <w:rPr>
          <w:rFonts w:ascii="Arial" w:hAnsi="Arial" w:cs="Arial"/>
          <w:sz w:val="22"/>
          <w:szCs w:val="22"/>
          <w:u w:val="single"/>
        </w:rPr>
      </w:pPr>
      <w:r w:rsidRPr="007C6721">
        <w:rPr>
          <w:rFonts w:ascii="Arial" w:hAnsi="Arial" w:cs="Arial"/>
          <w:sz w:val="22"/>
          <w:szCs w:val="22"/>
          <w:u w:val="single"/>
        </w:rPr>
        <w:t>New Source Review of Toxic Air Contaminants (Rule 2-5)</w:t>
      </w:r>
    </w:p>
    <w:p w14:paraId="34E142C3" w14:textId="57E6396C" w:rsidR="00494016" w:rsidRDefault="00494016" w:rsidP="00494016">
      <w:pPr>
        <w:keepNext/>
        <w:spacing w:before="300" w:line="300" w:lineRule="atLeast"/>
        <w:jc w:val="both"/>
        <w:rPr>
          <w:rFonts w:ascii="Arial" w:hAnsi="Arial" w:cs="Arial"/>
          <w:sz w:val="22"/>
          <w:szCs w:val="22"/>
        </w:rPr>
      </w:pPr>
      <w:r>
        <w:rPr>
          <w:rFonts w:ascii="Arial" w:hAnsi="Arial" w:cs="Arial"/>
          <w:sz w:val="22"/>
          <w:szCs w:val="22"/>
        </w:rPr>
        <w:t xml:space="preserve">Tesoro has evaluated changes to levels of TAC </w:t>
      </w:r>
      <w:proofErr w:type="gramStart"/>
      <w:r>
        <w:rPr>
          <w:rFonts w:ascii="Arial" w:hAnsi="Arial" w:cs="Arial"/>
          <w:sz w:val="22"/>
          <w:szCs w:val="22"/>
        </w:rPr>
        <w:t>as a result of</w:t>
      </w:r>
      <w:proofErr w:type="gramEnd"/>
      <w:r>
        <w:rPr>
          <w:rFonts w:ascii="Arial" w:hAnsi="Arial" w:cs="Arial"/>
          <w:sz w:val="22"/>
          <w:szCs w:val="22"/>
        </w:rPr>
        <w:t xml:space="preserve"> the proposed project under </w:t>
      </w:r>
      <w:r w:rsidRPr="003E5642">
        <w:rPr>
          <w:rFonts w:ascii="Arial" w:hAnsi="Arial" w:cs="Arial"/>
          <w:sz w:val="22"/>
          <w:szCs w:val="22"/>
        </w:rPr>
        <w:t>Section</w:t>
      </w:r>
      <w:r>
        <w:rPr>
          <w:rFonts w:ascii="Arial" w:hAnsi="Arial" w:cs="Arial"/>
          <w:sz w:val="22"/>
          <w:szCs w:val="22"/>
        </w:rPr>
        <w:t> </w:t>
      </w:r>
      <w:r w:rsidRPr="003E5642">
        <w:rPr>
          <w:rFonts w:ascii="Arial" w:hAnsi="Arial" w:cs="Arial"/>
          <w:sz w:val="22"/>
          <w:szCs w:val="22"/>
        </w:rPr>
        <w:t>2-</w:t>
      </w:r>
      <w:r>
        <w:rPr>
          <w:rFonts w:ascii="Arial" w:hAnsi="Arial" w:cs="Arial"/>
          <w:sz w:val="22"/>
          <w:szCs w:val="22"/>
        </w:rPr>
        <w:t>5</w:t>
      </w:r>
      <w:r w:rsidRPr="003E5642">
        <w:rPr>
          <w:rFonts w:ascii="Arial" w:hAnsi="Arial" w:cs="Arial"/>
          <w:sz w:val="22"/>
          <w:szCs w:val="22"/>
        </w:rPr>
        <w:t>-2</w:t>
      </w:r>
      <w:r>
        <w:rPr>
          <w:rFonts w:ascii="Arial" w:hAnsi="Arial" w:cs="Arial"/>
          <w:sz w:val="22"/>
          <w:szCs w:val="22"/>
        </w:rPr>
        <w:t>1</w:t>
      </w:r>
      <w:r w:rsidRPr="003E5642">
        <w:rPr>
          <w:rFonts w:ascii="Arial" w:hAnsi="Arial" w:cs="Arial"/>
          <w:sz w:val="22"/>
          <w:szCs w:val="22"/>
        </w:rPr>
        <w:t>4</w:t>
      </w:r>
      <w:r>
        <w:rPr>
          <w:rFonts w:ascii="Arial" w:hAnsi="Arial" w:cs="Arial"/>
          <w:sz w:val="22"/>
          <w:szCs w:val="22"/>
        </w:rPr>
        <w:t xml:space="preserve"> and concluded there will be increases in daily and annual emissions of TACs. Therefore, S-1600/A-2000 is considered “modified” under Rule 2-5. </w:t>
      </w:r>
    </w:p>
    <w:p w14:paraId="40CB12E6" w14:textId="77777777" w:rsidR="00494016" w:rsidRPr="007915B3" w:rsidRDefault="00494016" w:rsidP="00494016">
      <w:pPr>
        <w:keepNext/>
        <w:spacing w:before="300" w:line="300" w:lineRule="atLeast"/>
        <w:jc w:val="both"/>
        <w:rPr>
          <w:rFonts w:ascii="Arial" w:hAnsi="Arial" w:cs="Arial"/>
          <w:sz w:val="22"/>
          <w:szCs w:val="22"/>
          <w:u w:val="single"/>
        </w:rPr>
      </w:pPr>
      <w:r w:rsidRPr="007915B3">
        <w:rPr>
          <w:rFonts w:ascii="Arial" w:hAnsi="Arial" w:cs="Arial"/>
          <w:sz w:val="22"/>
          <w:szCs w:val="22"/>
          <w:u w:val="single"/>
        </w:rPr>
        <w:t>Health Risk Assessment (HRA) Requirements (District Rule 2-5-401)</w:t>
      </w:r>
    </w:p>
    <w:p w14:paraId="7030CBD5" w14:textId="21CBB1A2" w:rsidR="00DB7FEF" w:rsidRDefault="00805E96" w:rsidP="00805E96">
      <w:pPr>
        <w:keepNext/>
        <w:spacing w:before="300" w:line="300" w:lineRule="atLeast"/>
        <w:jc w:val="both"/>
        <w:rPr>
          <w:rFonts w:ascii="Arial" w:hAnsi="Arial" w:cs="Arial"/>
          <w:sz w:val="22"/>
          <w:szCs w:val="22"/>
        </w:rPr>
      </w:pPr>
      <w:r w:rsidRPr="4E9F2C88">
        <w:rPr>
          <w:rFonts w:ascii="Arial" w:hAnsi="Arial" w:cs="Arial"/>
          <w:sz w:val="22"/>
          <w:szCs w:val="22"/>
        </w:rPr>
        <w:t xml:space="preserve">BAAQMD has requested an updated HRA reflecting the revised emission rates at A-2000 in the HRA completed for the Martinez Renewable Fuels project. Revised emission rates are included </w:t>
      </w:r>
      <w:r w:rsidRPr="4E9F2C88">
        <w:rPr>
          <w:rFonts w:ascii="Arial" w:hAnsi="Arial" w:cs="Arial"/>
          <w:sz w:val="22"/>
          <w:szCs w:val="22"/>
        </w:rPr>
        <w:lastRenderedPageBreak/>
        <w:t xml:space="preserve">in </w:t>
      </w:r>
      <w:r w:rsidR="00FB7FB4">
        <w:rPr>
          <w:rFonts w:ascii="Arial" w:hAnsi="Arial" w:cs="Arial"/>
          <w:sz w:val="22"/>
          <w:szCs w:val="22"/>
        </w:rPr>
        <w:t>Attachment C (Emission Calculations)</w:t>
      </w:r>
      <w:r w:rsidRPr="4E9F2C88">
        <w:rPr>
          <w:rFonts w:ascii="Arial" w:hAnsi="Arial" w:cs="Arial"/>
          <w:sz w:val="22"/>
          <w:szCs w:val="22"/>
        </w:rPr>
        <w:t>.</w:t>
      </w:r>
      <w:r w:rsidRPr="009168F4">
        <w:rPr>
          <w:rFonts w:ascii="Arial" w:hAnsi="Arial" w:cs="Arial"/>
          <w:sz w:val="22"/>
          <w:szCs w:val="22"/>
        </w:rPr>
        <w:t xml:space="preserve"> </w:t>
      </w:r>
      <w:r w:rsidR="00DB7FEF" w:rsidRPr="4E9F2C88">
        <w:rPr>
          <w:rFonts w:ascii="Arial" w:hAnsi="Arial" w:cs="Arial"/>
          <w:sz w:val="22"/>
          <w:szCs w:val="22"/>
        </w:rPr>
        <w:t>Tesoro will submit an updated Health Risk Assessment (HRA) under a separate cover letter</w:t>
      </w:r>
      <w:r w:rsidR="00A67016">
        <w:rPr>
          <w:rFonts w:ascii="Arial" w:hAnsi="Arial" w:cs="Arial"/>
          <w:sz w:val="22"/>
          <w:szCs w:val="22"/>
        </w:rPr>
        <w:t xml:space="preserve"> after alignment with BAAQMD staff</w:t>
      </w:r>
      <w:r w:rsidR="00DB7FEF" w:rsidRPr="4E9F2C88">
        <w:rPr>
          <w:rFonts w:ascii="Arial" w:hAnsi="Arial" w:cs="Arial"/>
          <w:sz w:val="22"/>
          <w:szCs w:val="22"/>
        </w:rPr>
        <w:t xml:space="preserve">.  </w:t>
      </w:r>
    </w:p>
    <w:p w14:paraId="1B089A53" w14:textId="77777777" w:rsidR="00DB7FEF" w:rsidRPr="003E55BB" w:rsidRDefault="00DB7FEF" w:rsidP="00DB7FEF">
      <w:pPr>
        <w:keepNext/>
        <w:spacing w:before="300" w:line="300" w:lineRule="atLeast"/>
        <w:jc w:val="both"/>
        <w:rPr>
          <w:rFonts w:ascii="Arial" w:hAnsi="Arial" w:cs="Arial"/>
          <w:sz w:val="22"/>
          <w:szCs w:val="22"/>
          <w:u w:val="single"/>
        </w:rPr>
      </w:pPr>
      <w:r w:rsidRPr="003E55BB">
        <w:rPr>
          <w:rFonts w:ascii="Arial" w:hAnsi="Arial" w:cs="Arial"/>
          <w:sz w:val="22"/>
          <w:szCs w:val="22"/>
          <w:u w:val="single"/>
        </w:rPr>
        <w:t>California Environmental Quality Act</w:t>
      </w:r>
      <w:r>
        <w:rPr>
          <w:rFonts w:ascii="Arial" w:hAnsi="Arial" w:cs="Arial"/>
          <w:sz w:val="22"/>
          <w:szCs w:val="22"/>
          <w:u w:val="single"/>
        </w:rPr>
        <w:t xml:space="preserve"> Applicability</w:t>
      </w:r>
    </w:p>
    <w:p w14:paraId="0F4D9527" w14:textId="57D71737" w:rsidR="00805E96" w:rsidRDefault="00805E96" w:rsidP="00EF6348">
      <w:pPr>
        <w:spacing w:before="300" w:line="300" w:lineRule="atLeast"/>
        <w:jc w:val="both"/>
        <w:rPr>
          <w:rFonts w:ascii="Arial" w:hAnsi="Arial" w:cs="Arial"/>
          <w:sz w:val="22"/>
          <w:szCs w:val="22"/>
          <w:u w:val="single"/>
        </w:rPr>
      </w:pPr>
      <w:r>
        <w:rPr>
          <w:rFonts w:ascii="Arial" w:hAnsi="Arial" w:cs="Arial"/>
          <w:sz w:val="22"/>
          <w:szCs w:val="22"/>
        </w:rPr>
        <w:t>Tesoro believes this permitting action is exempt from CEQA review because the project has no potential for causing a significant adverse environmental impact.</w:t>
      </w:r>
    </w:p>
    <w:p w14:paraId="2A137A55" w14:textId="775191A6" w:rsidR="00DB7FEF" w:rsidRPr="003E55BB" w:rsidRDefault="00DB7FEF" w:rsidP="00DB7FEF">
      <w:pPr>
        <w:keepNext/>
        <w:spacing w:before="300" w:line="300" w:lineRule="atLeast"/>
        <w:jc w:val="both"/>
        <w:rPr>
          <w:rFonts w:ascii="Arial" w:hAnsi="Arial" w:cs="Arial"/>
          <w:sz w:val="22"/>
          <w:szCs w:val="22"/>
          <w:u w:val="single"/>
        </w:rPr>
      </w:pPr>
      <w:r w:rsidRPr="003E55BB">
        <w:rPr>
          <w:rFonts w:ascii="Arial" w:hAnsi="Arial" w:cs="Arial"/>
          <w:sz w:val="22"/>
          <w:szCs w:val="22"/>
          <w:u w:val="single"/>
        </w:rPr>
        <w:t xml:space="preserve">New Source Performance Standards </w:t>
      </w:r>
      <w:r>
        <w:rPr>
          <w:rFonts w:ascii="Arial" w:hAnsi="Arial" w:cs="Arial"/>
          <w:sz w:val="22"/>
          <w:szCs w:val="22"/>
          <w:u w:val="single"/>
        </w:rPr>
        <w:t xml:space="preserve">(NSPS) </w:t>
      </w:r>
      <w:r w:rsidRPr="003E55BB">
        <w:rPr>
          <w:rFonts w:ascii="Arial" w:hAnsi="Arial" w:cs="Arial"/>
          <w:sz w:val="22"/>
          <w:szCs w:val="22"/>
          <w:u w:val="single"/>
        </w:rPr>
        <w:t>Applicability</w:t>
      </w:r>
    </w:p>
    <w:p w14:paraId="4848D04B" w14:textId="77777777" w:rsidR="00DB7FEF" w:rsidRPr="00CE7594" w:rsidRDefault="00DB7FEF" w:rsidP="00DB7FEF">
      <w:pPr>
        <w:keepNext/>
        <w:spacing w:before="300" w:line="300" w:lineRule="atLeast"/>
        <w:jc w:val="both"/>
        <w:rPr>
          <w:rFonts w:ascii="Arial" w:hAnsi="Arial" w:cs="Arial"/>
          <w:sz w:val="22"/>
          <w:szCs w:val="22"/>
        </w:rPr>
      </w:pPr>
      <w:r>
        <w:rPr>
          <w:rFonts w:ascii="Arial" w:hAnsi="Arial" w:cs="Arial"/>
          <w:sz w:val="22"/>
          <w:szCs w:val="22"/>
        </w:rPr>
        <w:t>The project does not change NSPS applicability for the A-2000 Thermal Oxidizer, flares, or downstream fuel gas combustion devices.</w:t>
      </w:r>
    </w:p>
    <w:p w14:paraId="2C6B96AD" w14:textId="77777777" w:rsidR="00DB7FEF" w:rsidRPr="00CE7594" w:rsidRDefault="00DB7FEF" w:rsidP="00DB7FEF">
      <w:pPr>
        <w:spacing w:before="300" w:line="300" w:lineRule="atLeast"/>
        <w:jc w:val="both"/>
        <w:rPr>
          <w:rFonts w:ascii="Arial" w:hAnsi="Arial" w:cs="Arial"/>
          <w:sz w:val="22"/>
          <w:szCs w:val="22"/>
          <w:u w:val="single"/>
        </w:rPr>
      </w:pPr>
      <w:r w:rsidRPr="00CE7594">
        <w:rPr>
          <w:rFonts w:ascii="Arial" w:hAnsi="Arial" w:cs="Arial"/>
          <w:sz w:val="22"/>
          <w:szCs w:val="22"/>
          <w:u w:val="single"/>
        </w:rPr>
        <w:t>National Emission Standards for Hazardous Air Pollutants</w:t>
      </w:r>
      <w:r>
        <w:rPr>
          <w:rFonts w:ascii="Arial" w:hAnsi="Arial" w:cs="Arial"/>
          <w:sz w:val="22"/>
          <w:szCs w:val="22"/>
          <w:u w:val="single"/>
        </w:rPr>
        <w:t xml:space="preserve"> (NESHAP)</w:t>
      </w:r>
      <w:r w:rsidRPr="00CE7594">
        <w:rPr>
          <w:rFonts w:ascii="Arial" w:hAnsi="Arial" w:cs="Arial"/>
          <w:sz w:val="22"/>
          <w:szCs w:val="22"/>
          <w:u w:val="single"/>
        </w:rPr>
        <w:t xml:space="preserve"> Applicability</w:t>
      </w:r>
    </w:p>
    <w:p w14:paraId="368044FD" w14:textId="77777777" w:rsidR="00DB7FEF" w:rsidRDefault="00DB7FEF" w:rsidP="00DB7FEF">
      <w:pPr>
        <w:keepNext/>
        <w:spacing w:before="300" w:line="300" w:lineRule="atLeast"/>
        <w:jc w:val="both"/>
        <w:rPr>
          <w:rFonts w:ascii="Arial" w:hAnsi="Arial" w:cs="Arial"/>
          <w:sz w:val="22"/>
          <w:szCs w:val="22"/>
        </w:rPr>
      </w:pPr>
      <w:r>
        <w:rPr>
          <w:rFonts w:ascii="Arial" w:hAnsi="Arial" w:cs="Arial"/>
          <w:sz w:val="22"/>
          <w:szCs w:val="22"/>
        </w:rPr>
        <w:t>The project does not change 40 CFR Part 61 or Part 63 NESHAP applicability for the A-2000 Thermal Oxidizer, flares, or downstream fuel gas combustion devices.</w:t>
      </w:r>
    </w:p>
    <w:p w14:paraId="6327A92C" w14:textId="77777777" w:rsidR="00A75639" w:rsidRPr="00DB7FEF" w:rsidRDefault="00A75639" w:rsidP="00DB7FEF"/>
    <w:sectPr w:rsidR="00A75639" w:rsidRPr="00DB7FEF">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7EB8E7" w14:textId="77777777" w:rsidR="008B775C" w:rsidRDefault="008B775C" w:rsidP="00A75639">
      <w:r>
        <w:separator/>
      </w:r>
    </w:p>
  </w:endnote>
  <w:endnote w:type="continuationSeparator" w:id="0">
    <w:p w14:paraId="15A21491" w14:textId="77777777" w:rsidR="008B775C" w:rsidRDefault="008B775C" w:rsidP="00A75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4395254"/>
      <w:docPartObj>
        <w:docPartGallery w:val="Page Numbers (Bottom of Page)"/>
        <w:docPartUnique/>
      </w:docPartObj>
    </w:sdtPr>
    <w:sdtEndPr>
      <w:rPr>
        <w:noProof/>
      </w:rPr>
    </w:sdtEndPr>
    <w:sdtContent>
      <w:p w14:paraId="30845C02" w14:textId="13A580CE" w:rsidR="008B063E" w:rsidRDefault="008B06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9DCFDA" w14:textId="77777777" w:rsidR="008B063E" w:rsidRDefault="008B06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3C9BF6" w14:textId="77777777" w:rsidR="008B775C" w:rsidRDefault="008B775C" w:rsidP="00A75639">
      <w:r>
        <w:separator/>
      </w:r>
    </w:p>
  </w:footnote>
  <w:footnote w:type="continuationSeparator" w:id="0">
    <w:p w14:paraId="65C8F722" w14:textId="77777777" w:rsidR="008B775C" w:rsidRDefault="008B775C" w:rsidP="00A75639">
      <w:r>
        <w:continuationSeparator/>
      </w:r>
    </w:p>
  </w:footnote>
  <w:footnote w:id="1">
    <w:p w14:paraId="716F7BDA" w14:textId="238A3BDC" w:rsidR="00A32EC8" w:rsidRDefault="00A32EC8">
      <w:pPr>
        <w:pStyle w:val="FootnoteText"/>
      </w:pPr>
      <w:r>
        <w:rPr>
          <w:rStyle w:val="FootnoteReference"/>
        </w:rPr>
        <w:footnoteRef/>
      </w:r>
      <w:r>
        <w:t> </w:t>
      </w:r>
      <w:r w:rsidRPr="00A32EC8">
        <w:t>https://www.baaqmd.gov/~/media/files/engineering/policy_and_procedures/bart_ract/noxandcoractforthermaloxidizers.pdf</w:t>
      </w:r>
    </w:p>
  </w:footnote>
  <w:footnote w:id="2">
    <w:p w14:paraId="4BAAEA3E" w14:textId="6DDAEA7E" w:rsidR="00EF6348" w:rsidRDefault="00EF6348">
      <w:pPr>
        <w:pStyle w:val="FootnoteText"/>
      </w:pPr>
      <w:r>
        <w:rPr>
          <w:rStyle w:val="FootnoteReference"/>
        </w:rPr>
        <w:footnoteRef/>
      </w:r>
      <w:r>
        <w:t xml:space="preserve"> </w:t>
      </w:r>
      <w:hyperlink r:id="rId1" w:history="1">
        <w:r w:rsidR="000C5B25" w:rsidRPr="00D610BE">
          <w:rPr>
            <w:rStyle w:val="Hyperlink"/>
          </w:rPr>
          <w:t>https://ww2.arb.ca.gov/ghg-gwps</w:t>
        </w:r>
      </w:hyperlink>
      <w:r w:rsidR="000C5B25">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1CB770" w14:textId="38B3FB6C" w:rsidR="00A75639" w:rsidRDefault="00E849EA" w:rsidP="008B063E">
    <w:pPr>
      <w:pStyle w:val="Header"/>
      <w:ind w:left="540" w:hanging="540"/>
    </w:pPr>
    <w:r>
      <w:rPr>
        <w:b/>
        <w:bCs/>
      </w:rPr>
      <w:t>Attachment A</w:t>
    </w:r>
    <w:r w:rsidR="00A75639" w:rsidRPr="00A75639">
      <w:rPr>
        <w:b/>
        <w:bCs/>
      </w:rPr>
      <w:t xml:space="preserve">: </w:t>
    </w:r>
    <w:r w:rsidR="00A75639">
      <w:rPr>
        <w:b/>
        <w:bCs/>
      </w:rPr>
      <w:tab/>
      <w:t xml:space="preserve">NSR, NSPS, NESHAP Applicability Review for </w:t>
    </w:r>
    <w:r w:rsidRPr="00E849EA">
      <w:rPr>
        <w:b/>
        <w:bCs/>
      </w:rPr>
      <w:t xml:space="preserve">Foul Water Strippers (FWS) </w:t>
    </w:r>
    <w:r w:rsidR="00E71DD6">
      <w:rPr>
        <w:b/>
        <w:bCs/>
      </w:rPr>
      <w:t>Permit Modifications</w:t>
    </w:r>
    <w:r>
      <w:rPr>
        <w:b/>
        <w:bCs/>
      </w:rPr>
      <w:t xml:space="preserve"> </w:t>
    </w:r>
    <w:r w:rsidR="00A75639" w:rsidRPr="00A75639">
      <w:rPr>
        <w:b/>
        <w:bCs/>
      </w:rPr>
      <w:t>at Martinez Renewable Fuels Facility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F1290"/>
    <w:multiLevelType w:val="hybridMultilevel"/>
    <w:tmpl w:val="AF9A2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C67B2"/>
    <w:multiLevelType w:val="hybridMultilevel"/>
    <w:tmpl w:val="ACFCE4F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40DE3647"/>
    <w:multiLevelType w:val="hybridMultilevel"/>
    <w:tmpl w:val="24DC8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C25A7"/>
    <w:multiLevelType w:val="hybridMultilevel"/>
    <w:tmpl w:val="E894033C"/>
    <w:lvl w:ilvl="0" w:tplc="DCF2DD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20353E"/>
    <w:multiLevelType w:val="hybridMultilevel"/>
    <w:tmpl w:val="A24E3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525D75"/>
    <w:multiLevelType w:val="hybridMultilevel"/>
    <w:tmpl w:val="13D09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3836440">
    <w:abstractNumId w:val="2"/>
  </w:num>
  <w:num w:numId="2" w16cid:durableId="1083843176">
    <w:abstractNumId w:val="3"/>
  </w:num>
  <w:num w:numId="3" w16cid:durableId="2087072107">
    <w:abstractNumId w:val="1"/>
  </w:num>
  <w:num w:numId="4" w16cid:durableId="1953240358">
    <w:abstractNumId w:val="5"/>
  </w:num>
  <w:num w:numId="5" w16cid:durableId="1580752757">
    <w:abstractNumId w:val="4"/>
  </w:num>
  <w:num w:numId="6" w16cid:durableId="1278634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ewNDe2MDQxNTC3MDVV0lEKTi0uzszPAykwqgUAj7EvECwAAAA="/>
  </w:docVars>
  <w:rsids>
    <w:rsidRoot w:val="00A75639"/>
    <w:rsid w:val="000027EB"/>
    <w:rsid w:val="00046043"/>
    <w:rsid w:val="00061F0C"/>
    <w:rsid w:val="000C5B25"/>
    <w:rsid w:val="000F6F28"/>
    <w:rsid w:val="000F75FC"/>
    <w:rsid w:val="00106D27"/>
    <w:rsid w:val="00114570"/>
    <w:rsid w:val="00126AC7"/>
    <w:rsid w:val="001D46AA"/>
    <w:rsid w:val="001D6749"/>
    <w:rsid w:val="00223AA0"/>
    <w:rsid w:val="00243E50"/>
    <w:rsid w:val="002555E1"/>
    <w:rsid w:val="002565E8"/>
    <w:rsid w:val="002774C5"/>
    <w:rsid w:val="00290AF0"/>
    <w:rsid w:val="00292DEC"/>
    <w:rsid w:val="0029773E"/>
    <w:rsid w:val="002C089D"/>
    <w:rsid w:val="003449D3"/>
    <w:rsid w:val="0035167F"/>
    <w:rsid w:val="0035707F"/>
    <w:rsid w:val="0035721D"/>
    <w:rsid w:val="0035B7FD"/>
    <w:rsid w:val="00362B4B"/>
    <w:rsid w:val="00395722"/>
    <w:rsid w:val="003B6E99"/>
    <w:rsid w:val="00404C84"/>
    <w:rsid w:val="0041441C"/>
    <w:rsid w:val="00415553"/>
    <w:rsid w:val="00415586"/>
    <w:rsid w:val="00465D3F"/>
    <w:rsid w:val="00467452"/>
    <w:rsid w:val="004904E8"/>
    <w:rsid w:val="00494016"/>
    <w:rsid w:val="004C0642"/>
    <w:rsid w:val="004E7B56"/>
    <w:rsid w:val="005239F6"/>
    <w:rsid w:val="00533480"/>
    <w:rsid w:val="00544081"/>
    <w:rsid w:val="00544DF2"/>
    <w:rsid w:val="00570426"/>
    <w:rsid w:val="005B3E2E"/>
    <w:rsid w:val="005E1F39"/>
    <w:rsid w:val="005E4DE0"/>
    <w:rsid w:val="005F3C65"/>
    <w:rsid w:val="005F5995"/>
    <w:rsid w:val="00664ACE"/>
    <w:rsid w:val="006868F8"/>
    <w:rsid w:val="006A4F6D"/>
    <w:rsid w:val="006B0E47"/>
    <w:rsid w:val="006D0656"/>
    <w:rsid w:val="007335AE"/>
    <w:rsid w:val="00757397"/>
    <w:rsid w:val="007915B3"/>
    <w:rsid w:val="007A64A2"/>
    <w:rsid w:val="007B0D3F"/>
    <w:rsid w:val="00805E96"/>
    <w:rsid w:val="008448BF"/>
    <w:rsid w:val="0087126A"/>
    <w:rsid w:val="00874270"/>
    <w:rsid w:val="00876641"/>
    <w:rsid w:val="00881C43"/>
    <w:rsid w:val="008A13EB"/>
    <w:rsid w:val="008A2E75"/>
    <w:rsid w:val="008B063E"/>
    <w:rsid w:val="008B4336"/>
    <w:rsid w:val="008B775C"/>
    <w:rsid w:val="008D365C"/>
    <w:rsid w:val="0090308E"/>
    <w:rsid w:val="0091294E"/>
    <w:rsid w:val="009168F4"/>
    <w:rsid w:val="009674DA"/>
    <w:rsid w:val="00967A44"/>
    <w:rsid w:val="00985403"/>
    <w:rsid w:val="009E5E19"/>
    <w:rsid w:val="009F1896"/>
    <w:rsid w:val="00A04AA3"/>
    <w:rsid w:val="00A32EC8"/>
    <w:rsid w:val="00A45D25"/>
    <w:rsid w:val="00A67016"/>
    <w:rsid w:val="00A75639"/>
    <w:rsid w:val="00A77F9F"/>
    <w:rsid w:val="00B046D2"/>
    <w:rsid w:val="00B056F7"/>
    <w:rsid w:val="00B13985"/>
    <w:rsid w:val="00B30C7B"/>
    <w:rsid w:val="00B37BB4"/>
    <w:rsid w:val="00B848C7"/>
    <w:rsid w:val="00B86782"/>
    <w:rsid w:val="00BC5B0E"/>
    <w:rsid w:val="00C340E4"/>
    <w:rsid w:val="00C518F2"/>
    <w:rsid w:val="00C56756"/>
    <w:rsid w:val="00C80CC3"/>
    <w:rsid w:val="00C837F8"/>
    <w:rsid w:val="00CA069D"/>
    <w:rsid w:val="00CB41B3"/>
    <w:rsid w:val="00CC2B46"/>
    <w:rsid w:val="00CE6C53"/>
    <w:rsid w:val="00D05D9B"/>
    <w:rsid w:val="00D21374"/>
    <w:rsid w:val="00DB07CB"/>
    <w:rsid w:val="00DB7FEF"/>
    <w:rsid w:val="00DD2D55"/>
    <w:rsid w:val="00E055DC"/>
    <w:rsid w:val="00E71DD6"/>
    <w:rsid w:val="00E73ACA"/>
    <w:rsid w:val="00E849EA"/>
    <w:rsid w:val="00EB0F0E"/>
    <w:rsid w:val="00EB3A7D"/>
    <w:rsid w:val="00EC261D"/>
    <w:rsid w:val="00EC355A"/>
    <w:rsid w:val="00EF6348"/>
    <w:rsid w:val="00F27AE3"/>
    <w:rsid w:val="00F74F43"/>
    <w:rsid w:val="00FA0491"/>
    <w:rsid w:val="00FA63E2"/>
    <w:rsid w:val="00FB7FB4"/>
    <w:rsid w:val="00FC2C04"/>
    <w:rsid w:val="00FF00C0"/>
    <w:rsid w:val="00FF2ED2"/>
    <w:rsid w:val="00FF4A95"/>
    <w:rsid w:val="010F128E"/>
    <w:rsid w:val="0115AF90"/>
    <w:rsid w:val="01EE6305"/>
    <w:rsid w:val="02BEDDFC"/>
    <w:rsid w:val="04EEEEE8"/>
    <w:rsid w:val="06A6AEF4"/>
    <w:rsid w:val="070D9D2B"/>
    <w:rsid w:val="08F0BE7E"/>
    <w:rsid w:val="091A71E5"/>
    <w:rsid w:val="09226FA0"/>
    <w:rsid w:val="0940A215"/>
    <w:rsid w:val="0B316E44"/>
    <w:rsid w:val="0B687B7F"/>
    <w:rsid w:val="0C724C92"/>
    <w:rsid w:val="104B1926"/>
    <w:rsid w:val="10CD7945"/>
    <w:rsid w:val="142B2130"/>
    <w:rsid w:val="167CA1AC"/>
    <w:rsid w:val="17C8C340"/>
    <w:rsid w:val="19FA0A43"/>
    <w:rsid w:val="1FB99CB8"/>
    <w:rsid w:val="235BAC82"/>
    <w:rsid w:val="2427AD83"/>
    <w:rsid w:val="246E5093"/>
    <w:rsid w:val="2589D672"/>
    <w:rsid w:val="265EE763"/>
    <w:rsid w:val="26832A2C"/>
    <w:rsid w:val="269429F6"/>
    <w:rsid w:val="282FBB05"/>
    <w:rsid w:val="2C27976D"/>
    <w:rsid w:val="2E861A95"/>
    <w:rsid w:val="330BA343"/>
    <w:rsid w:val="34A62D6C"/>
    <w:rsid w:val="399DD733"/>
    <w:rsid w:val="3A1898C7"/>
    <w:rsid w:val="3D7E2F7E"/>
    <w:rsid w:val="3DE4EC9C"/>
    <w:rsid w:val="3E781D84"/>
    <w:rsid w:val="3F02CBB6"/>
    <w:rsid w:val="3F75E4C4"/>
    <w:rsid w:val="3FDBE844"/>
    <w:rsid w:val="40740D47"/>
    <w:rsid w:val="40F3E273"/>
    <w:rsid w:val="4397410C"/>
    <w:rsid w:val="46817F47"/>
    <w:rsid w:val="4847FDC6"/>
    <w:rsid w:val="48FA3AEB"/>
    <w:rsid w:val="4993B3C9"/>
    <w:rsid w:val="4C15A9DF"/>
    <w:rsid w:val="4D9730E7"/>
    <w:rsid w:val="4E9F2C88"/>
    <w:rsid w:val="511E9B63"/>
    <w:rsid w:val="54E15FB4"/>
    <w:rsid w:val="5696464A"/>
    <w:rsid w:val="5A9D4FFB"/>
    <w:rsid w:val="5C5A8E10"/>
    <w:rsid w:val="5EEC4313"/>
    <w:rsid w:val="5EED064A"/>
    <w:rsid w:val="5F4C34FC"/>
    <w:rsid w:val="5FBBB510"/>
    <w:rsid w:val="639D201C"/>
    <w:rsid w:val="64D26BA2"/>
    <w:rsid w:val="65B10A57"/>
    <w:rsid w:val="66990943"/>
    <w:rsid w:val="67025E4F"/>
    <w:rsid w:val="6722498D"/>
    <w:rsid w:val="68AC29D0"/>
    <w:rsid w:val="68C063B7"/>
    <w:rsid w:val="69B7CC3B"/>
    <w:rsid w:val="6A337FAC"/>
    <w:rsid w:val="6DA45AD7"/>
    <w:rsid w:val="6DD81187"/>
    <w:rsid w:val="6E801018"/>
    <w:rsid w:val="6EDAE657"/>
    <w:rsid w:val="72D06AA4"/>
    <w:rsid w:val="733EA518"/>
    <w:rsid w:val="782EB739"/>
    <w:rsid w:val="78C24AC5"/>
    <w:rsid w:val="7AACA952"/>
    <w:rsid w:val="7BAEA440"/>
    <w:rsid w:val="7F03F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BEB3E1"/>
  <w15:chartTrackingRefBased/>
  <w15:docId w15:val="{74903001-1A6F-475A-8F22-D7BEF997C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63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75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6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6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6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6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6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6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6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6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6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6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6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6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639"/>
    <w:rPr>
      <w:rFonts w:eastAsiaTheme="majorEastAsia" w:cstheme="majorBidi"/>
      <w:color w:val="272727" w:themeColor="text1" w:themeTint="D8"/>
    </w:rPr>
  </w:style>
  <w:style w:type="paragraph" w:styleId="Title">
    <w:name w:val="Title"/>
    <w:basedOn w:val="Normal"/>
    <w:next w:val="Normal"/>
    <w:link w:val="TitleChar"/>
    <w:uiPriority w:val="10"/>
    <w:qFormat/>
    <w:rsid w:val="00A756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639"/>
    <w:pPr>
      <w:spacing w:before="160"/>
      <w:jc w:val="center"/>
    </w:pPr>
    <w:rPr>
      <w:i/>
      <w:iCs/>
      <w:color w:val="404040" w:themeColor="text1" w:themeTint="BF"/>
    </w:rPr>
  </w:style>
  <w:style w:type="character" w:customStyle="1" w:styleId="QuoteChar">
    <w:name w:val="Quote Char"/>
    <w:basedOn w:val="DefaultParagraphFont"/>
    <w:link w:val="Quote"/>
    <w:uiPriority w:val="29"/>
    <w:rsid w:val="00A75639"/>
    <w:rPr>
      <w:i/>
      <w:iCs/>
      <w:color w:val="404040" w:themeColor="text1" w:themeTint="BF"/>
    </w:rPr>
  </w:style>
  <w:style w:type="paragraph" w:styleId="ListParagraph">
    <w:name w:val="List Paragraph"/>
    <w:basedOn w:val="Normal"/>
    <w:uiPriority w:val="34"/>
    <w:qFormat/>
    <w:rsid w:val="00A75639"/>
    <w:pPr>
      <w:ind w:left="720"/>
      <w:contextualSpacing/>
    </w:pPr>
  </w:style>
  <w:style w:type="character" w:styleId="IntenseEmphasis">
    <w:name w:val="Intense Emphasis"/>
    <w:basedOn w:val="DefaultParagraphFont"/>
    <w:uiPriority w:val="21"/>
    <w:qFormat/>
    <w:rsid w:val="00A75639"/>
    <w:rPr>
      <w:i/>
      <w:iCs/>
      <w:color w:val="0F4761" w:themeColor="accent1" w:themeShade="BF"/>
    </w:rPr>
  </w:style>
  <w:style w:type="paragraph" w:styleId="IntenseQuote">
    <w:name w:val="Intense Quote"/>
    <w:basedOn w:val="Normal"/>
    <w:next w:val="Normal"/>
    <w:link w:val="IntenseQuoteChar"/>
    <w:uiPriority w:val="30"/>
    <w:qFormat/>
    <w:rsid w:val="00A75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639"/>
    <w:rPr>
      <w:i/>
      <w:iCs/>
      <w:color w:val="0F4761" w:themeColor="accent1" w:themeShade="BF"/>
    </w:rPr>
  </w:style>
  <w:style w:type="character" w:styleId="IntenseReference">
    <w:name w:val="Intense Reference"/>
    <w:basedOn w:val="DefaultParagraphFont"/>
    <w:uiPriority w:val="32"/>
    <w:qFormat/>
    <w:rsid w:val="00A75639"/>
    <w:rPr>
      <w:b/>
      <w:bCs/>
      <w:smallCaps/>
      <w:color w:val="0F4761" w:themeColor="accent1" w:themeShade="BF"/>
      <w:spacing w:val="5"/>
    </w:rPr>
  </w:style>
  <w:style w:type="paragraph" w:styleId="Header">
    <w:name w:val="header"/>
    <w:basedOn w:val="Normal"/>
    <w:link w:val="HeaderChar"/>
    <w:uiPriority w:val="99"/>
    <w:unhideWhenUsed/>
    <w:rsid w:val="00A75639"/>
    <w:pPr>
      <w:tabs>
        <w:tab w:val="center" w:pos="4680"/>
        <w:tab w:val="right" w:pos="9360"/>
      </w:tabs>
    </w:pPr>
  </w:style>
  <w:style w:type="character" w:customStyle="1" w:styleId="HeaderChar">
    <w:name w:val="Header Char"/>
    <w:basedOn w:val="DefaultParagraphFont"/>
    <w:link w:val="Header"/>
    <w:uiPriority w:val="99"/>
    <w:rsid w:val="00A75639"/>
  </w:style>
  <w:style w:type="paragraph" w:styleId="Footer">
    <w:name w:val="footer"/>
    <w:basedOn w:val="Normal"/>
    <w:link w:val="FooterChar"/>
    <w:uiPriority w:val="99"/>
    <w:unhideWhenUsed/>
    <w:rsid w:val="00A75639"/>
    <w:pPr>
      <w:tabs>
        <w:tab w:val="center" w:pos="4680"/>
        <w:tab w:val="right" w:pos="9360"/>
      </w:tabs>
    </w:pPr>
  </w:style>
  <w:style w:type="character" w:customStyle="1" w:styleId="FooterChar">
    <w:name w:val="Footer Char"/>
    <w:basedOn w:val="DefaultParagraphFont"/>
    <w:link w:val="Footer"/>
    <w:uiPriority w:val="99"/>
    <w:rsid w:val="00A75639"/>
  </w:style>
  <w:style w:type="paragraph" w:styleId="CommentText">
    <w:name w:val="annotation text"/>
    <w:basedOn w:val="Normal"/>
    <w:link w:val="CommentTextChar"/>
    <w:rsid w:val="00A75639"/>
    <w:pPr>
      <w:widowControl w:val="0"/>
    </w:pPr>
    <w:rPr>
      <w:sz w:val="20"/>
      <w:szCs w:val="20"/>
    </w:rPr>
  </w:style>
  <w:style w:type="character" w:customStyle="1" w:styleId="CommentTextChar">
    <w:name w:val="Comment Text Char"/>
    <w:basedOn w:val="DefaultParagraphFont"/>
    <w:link w:val="CommentText"/>
    <w:rsid w:val="00A75639"/>
    <w:rPr>
      <w:rFonts w:ascii="Times New Roman" w:eastAsia="Times New Roman" w:hAnsi="Times New Roman" w:cs="Times New Roman"/>
      <w:kern w:val="0"/>
      <w:sz w:val="20"/>
      <w:szCs w:val="20"/>
      <w14:ligatures w14:val="none"/>
    </w:rPr>
  </w:style>
  <w:style w:type="character" w:styleId="CommentReference">
    <w:name w:val="annotation reference"/>
    <w:uiPriority w:val="99"/>
    <w:rsid w:val="00A75639"/>
    <w:rPr>
      <w:sz w:val="16"/>
      <w:szCs w:val="16"/>
    </w:rPr>
  </w:style>
  <w:style w:type="paragraph" w:styleId="FootnoteText">
    <w:name w:val="footnote text"/>
    <w:basedOn w:val="Normal"/>
    <w:link w:val="FootnoteTextChar"/>
    <w:uiPriority w:val="99"/>
    <w:semiHidden/>
    <w:unhideWhenUsed/>
    <w:rsid w:val="00114570"/>
    <w:rPr>
      <w:sz w:val="20"/>
      <w:szCs w:val="20"/>
    </w:rPr>
  </w:style>
  <w:style w:type="character" w:customStyle="1" w:styleId="FootnoteTextChar">
    <w:name w:val="Footnote Text Char"/>
    <w:basedOn w:val="DefaultParagraphFont"/>
    <w:link w:val="FootnoteText"/>
    <w:uiPriority w:val="99"/>
    <w:semiHidden/>
    <w:rsid w:val="00114570"/>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114570"/>
    <w:rPr>
      <w:vertAlign w:val="superscript"/>
    </w:rPr>
  </w:style>
  <w:style w:type="paragraph" w:styleId="Revision">
    <w:name w:val="Revision"/>
    <w:hidden/>
    <w:uiPriority w:val="99"/>
    <w:semiHidden/>
    <w:rsid w:val="009F1896"/>
    <w:pPr>
      <w:spacing w:after="0" w:line="240" w:lineRule="auto"/>
    </w:pPr>
    <w:rPr>
      <w:rFonts w:ascii="Times New Roman" w:eastAsia="Times New Roman" w:hAnsi="Times New Roman" w:cs="Times New Roman"/>
      <w:kern w:val="0"/>
      <w14:ligatures w14:val="none"/>
    </w:rPr>
  </w:style>
  <w:style w:type="paragraph" w:styleId="CommentSubject">
    <w:name w:val="annotation subject"/>
    <w:basedOn w:val="CommentText"/>
    <w:next w:val="CommentText"/>
    <w:link w:val="CommentSubjectChar"/>
    <w:uiPriority w:val="99"/>
    <w:semiHidden/>
    <w:unhideWhenUsed/>
    <w:rsid w:val="0090308E"/>
    <w:pPr>
      <w:widowControl/>
    </w:pPr>
    <w:rPr>
      <w:b/>
      <w:bCs/>
    </w:rPr>
  </w:style>
  <w:style w:type="character" w:customStyle="1" w:styleId="CommentSubjectChar">
    <w:name w:val="Comment Subject Char"/>
    <w:basedOn w:val="CommentTextChar"/>
    <w:link w:val="CommentSubject"/>
    <w:uiPriority w:val="99"/>
    <w:semiHidden/>
    <w:rsid w:val="0090308E"/>
    <w:rPr>
      <w:rFonts w:ascii="Times New Roman" w:eastAsia="Times New Roman" w:hAnsi="Times New Roman" w:cs="Times New Roman"/>
      <w:b/>
      <w:bCs/>
      <w:kern w:val="0"/>
      <w:sz w:val="20"/>
      <w:szCs w:val="20"/>
      <w14:ligatures w14:val="none"/>
    </w:rPr>
  </w:style>
  <w:style w:type="paragraph" w:styleId="Caption">
    <w:name w:val="caption"/>
    <w:basedOn w:val="Normal"/>
    <w:next w:val="Normal"/>
    <w:qFormat/>
    <w:rsid w:val="00DB7FEF"/>
    <w:pPr>
      <w:spacing w:before="300" w:line="300" w:lineRule="atLeast"/>
    </w:pPr>
    <w:rPr>
      <w:rFonts w:ascii="Book Antiqua" w:hAnsi="Book Antiqua"/>
      <w:i/>
      <w:iCs/>
      <w:u w:val="single"/>
    </w:rPr>
  </w:style>
  <w:style w:type="table" w:styleId="TableGrid">
    <w:name w:val="Table Grid"/>
    <w:basedOn w:val="TableNormal"/>
    <w:rsid w:val="00DB7FE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5B25"/>
    <w:rPr>
      <w:color w:val="467886" w:themeColor="hyperlink"/>
      <w:u w:val="single"/>
    </w:rPr>
  </w:style>
  <w:style w:type="character" w:styleId="UnresolvedMention">
    <w:name w:val="Unresolved Mention"/>
    <w:basedOn w:val="DefaultParagraphFont"/>
    <w:uiPriority w:val="99"/>
    <w:semiHidden/>
    <w:unhideWhenUsed/>
    <w:rsid w:val="000C5B25"/>
    <w:rPr>
      <w:color w:val="605E5C"/>
      <w:shd w:val="clear" w:color="auto" w:fill="E1DFDD"/>
    </w:rPr>
  </w:style>
  <w:style w:type="character" w:styleId="FollowedHyperlink">
    <w:name w:val="FollowedHyperlink"/>
    <w:basedOn w:val="DefaultParagraphFont"/>
    <w:uiPriority w:val="99"/>
    <w:semiHidden/>
    <w:unhideWhenUsed/>
    <w:rsid w:val="009674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2.arb.ca.gov/ghg-gw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8BFC01-F01A-499E-885D-3E9CE0A44BFC}">
  <ds:schemaRefs>
    <ds:schemaRef ds:uri="http://schemas.openxmlformats.org/officeDocument/2006/bibliography"/>
  </ds:schemaRefs>
</ds:datastoreItem>
</file>

<file path=docMetadata/LabelInfo.xml><?xml version="1.0" encoding="utf-8"?>
<clbl:labelList xmlns:clbl="http://schemas.microsoft.com/office/2020/mipLabelMetadata">
  <clbl:label id="{1640f4ce-86c6-44f2-a477-06bd39617e97}" enabled="0" method="" siteId="{1640f4ce-86c6-44f2-a477-06bd39617e97}"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5</Pages>
  <Words>1360</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Vail, Vanessa A.</dc:creator>
  <cp:keywords/>
  <dc:description/>
  <cp:lastModifiedBy>Tony Widboom</cp:lastModifiedBy>
  <cp:revision>4</cp:revision>
  <cp:lastPrinted>2024-12-12T21:50:00Z</cp:lastPrinted>
  <dcterms:created xsi:type="dcterms:W3CDTF">2024-12-12T21:50:00Z</dcterms:created>
  <dcterms:modified xsi:type="dcterms:W3CDTF">2024-12-12T22:21:00Z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0576c68d842a2dd35d0011d4f446e2f296433eaae4ef117663771d8be5e93bf5</vt:lpwstr>
  </property>
</Properties>
</file>