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p>
      <w:r>
        <w:t>To:</w:t>
        <w:tab/>
        <w:t>Project Team</w:t>
      </w:r>
    </w:p>
    <w:p>
      <w:r>
        <w:t>From:</w:t>
        <w:tab/>
        <w:t>Permit Review Support</w:t>
      </w:r>
    </w:p>
    <w:p>
      <w:r>
        <w:t>Subject:</w:t>
        <w:tab/>
        <w:t>Draft Permit Changes Summary</w:t>
      </w:r>
    </w:p>
    <w:p>
      <w:r>
        <w:t>Date:</w:t>
        <w:tab/>
        <w:t>March 17, 2026</w:t>
      </w:r>
    </w:p>
    <w:p/>
    <w:p>
      <w:r>
        <w:t>This memorandum summarizes the pertinent permit changes identified by comparing the issued air permit (</w:t>
      </w:r>
      <w:r>
        <w:rPr>
          <w:rFonts w:ascii="Courier New" w:hAnsi="Courier New" w:eastAsia="Courier New"/>
        </w:rPr>
        <w:t>09100062-103 Permit.pdf</w:t>
      </w:r>
      <w:r>
        <w:t>) to the draft major amendment permit (</w:t>
      </w:r>
      <w:r>
        <w:rPr>
          <w:rFonts w:ascii="Courier New" w:hAnsi="Courier New" w:eastAsia="Courier New"/>
        </w:rPr>
        <w:t>Preliminary Draft Permit.pdf</w:t>
      </w:r>
      <w:r>
        <w:t>). The goal is to facilitate internal review by focusing on substantive permit structure, condition language, monitoring, testing, and operational-limit changes rather than OCR noise or pagination shifts. This update also cross-checks the current application package to distinguish requested permit edits from additional agency changes that were not clearly requested. The accompanying workbook now includes a Validation Matrix and QA Spot Checks tabs so reviewers can see which conclusions are supported by direct condition-to-condition permit evidence and which items required broader structural comparison.</w:t>
      </w:r>
    </w:p>
    <w:p/>
    <w:p>
      <w:r>
        <w:t>This memorandum is organized into the following sections.</w:t>
      </w:r>
    </w:p>
    <w:p/>
    <w:p>
      <w:r>
        <w:t>Permit-wide Changes</w:t>
      </w:r>
    </w:p>
    <w:p>
      <w:r>
        <w:t>Total Facility / Modeling / Ambient Boundary</w:t>
      </w:r>
    </w:p>
    <w:p>
      <w:r>
        <w:t>STRU 11 DDGS Baghouse / Alternate Operating Scenario</w:t>
      </w:r>
    </w:p>
    <w:p>
      <w:r>
        <w:t>Testing, CAM, and Other Operating Parameter Updates</w:t>
      </w:r>
    </w:p>
    <w:p>
      <w:r>
        <w:t>Key Client Confirmation Items</w:t>
      </w:r>
    </w:p>
    <w:p/>
    <w:p>
      <w:pPr>
        <w:pStyle w:val="Heading2"/>
      </w:pPr>
      <w:r>
        <w:t>Overall Conclusion</w:t>
      </w:r>
    </w:p>
    <w:p>
      <w:r>
        <w:t>Overall outcome: Significant changes</w:t>
      </w:r>
    </w:p>
    <w:p/>
    <w:p>
      <w:r>
        <w:t>The draft contains multiple material revisions that go beyond editorial cleanup. Review of all four application packages indicates Valero principally requested the STRU 11/TREA 2 maintenance-routing change and associated 100-hour limit, while the two DDGS drag minor amendments expressly said STRU 11 throughput was not being changed and the TO inspection minor amendment was limited to TREA 16 inspection language. Against that application backdrop, the most important unrequested or insufficiently supported draft changes are the replacement of the issued permit's PM10 and NOx/PM2.5 modeling trigger/protocol frameworks with a general public preclusion and boundary-control regime, the new ambient-boundary monitoring and reporting obligations, the tighter STRU 11 throughput limit, revised STRU 13/TREA 4 test- and CAM-based thresholds, and the changed STRU 14 periodic SO2 testing language. Manual QA also confirmed that the workflow workbook can generate false positives, so the consultant comparison and QA tabs should control over the workflow summary tabs.</w:t>
      </w:r>
    </w:p>
    <w:p/>
    <w:p>
      <w:pPr>
        <w:pStyle w:val="Heading2"/>
      </w:pPr>
      <w:r>
        <w:t>Workflow Cross-Check</w:t>
      </w:r>
    </w:p>
    <w:p>
      <w:r>
        <w:t xml:space="preserve">The uploaded standard AI workflow workbook was used as a completeness check against this consultant review. Most of its medium/high additional flags were not new substantive permit changes; they were overcalls caused by one-to-many condition restructuring, retained requirements being read as removed, or unchanged conditions being treated as additions. The main additional meaningful issue surfaced through that cross-check was the separate deletion of the issued permit's NOx/PM2.5 EBD modeling framework, which is now captured as </w:t>
      </w:r>
      <w:r>
        <w:rPr>
          <w:rFonts w:ascii="Courier New" w:hAnsi="Courier New" w:eastAsia="Courier New"/>
        </w:rPr>
        <w:t>PC-028</w:t>
      </w:r>
      <w:r>
        <w:t>.</w:t>
      </w:r>
    </w:p>
    <w:p/>
    <w:p>
      <w:r>
        <w:t>Workflow cross-check counts: Additional meaningful issue found in cross-check: 11, Aligned with consultant analysis: 21, Needs manual comparison: 9, Workflow overcall / already in issued permit: 2, Workflow overcall / equivalent retained: 28, Workflow summary overcall: 1</w:t>
      </w:r>
    </w:p>
    <w:p/>
    <w:p>
      <w:pPr>
        <w:pStyle w:val="Heading2"/>
      </w:pPr>
      <w:r>
        <w:t>QA Reliability Note</w:t>
      </w:r>
    </w:p>
    <w:p>
      <w:r>
        <w:t>The uploaded workflow workbook is useful as a screening tool, but manual spot-checking confirms that its downstream summary tabs can overcall removals or additions when requirements are retained, renumbered, regrouped, or affected by OCR artifacts. Final client advice should rely on the Detailed Comparison, Matched Conditions, and QA Spot Checks tabs rather than on the workflow Removed &amp; Added or Equipment Summaries tabs alone.</w:t>
      </w:r>
    </w:p>
    <w:p/>
    <w:p>
      <w:r>
        <w:t xml:space="preserve">Manual spot-checking of COMG 2 confirmed the review comment is valid: the workflow workbook's </w:t>
      </w:r>
      <w:r>
        <w:rPr>
          <w:rFonts w:ascii="Courier New" w:hAnsi="Courier New" w:eastAsia="Courier New"/>
        </w:rPr>
        <w:t>Removed &amp; Added</w:t>
      </w:r>
      <w:r>
        <w:t xml:space="preserve"> and </w:t>
      </w:r>
      <w:r>
        <w:rPr>
          <w:rFonts w:ascii="Courier New" w:hAnsi="Courier New" w:eastAsia="Courier New"/>
        </w:rPr>
        <w:t>Equipment Summaries</w:t>
      </w:r>
      <w:r>
        <w:t xml:space="preserve"> tabs overstated removals. Direct comparison of issued and draft requirements 5.2.9, 5.2.10, and 5.2.11 shows those conditions remain in the draft permit at the same requirement numbers, with only formatting/OCR-level differences. That means the consultant workbook should be treated as the primary review set, while the workflow workbook should be treated as a broad completeness screen only.</w:t>
      </w:r>
    </w:p>
    <w:p/>
    <w:p>
      <w:pPr>
        <w:pStyle w:val="Heading2"/>
      </w:pPr>
      <w:r>
        <w:t>Permit-wide Changes</w:t>
      </w:r>
    </w:p>
    <w:p>
      <w:r>
        <w:t>The draft makes several broad changes that affect the overall permit structure and review posture before getting to individual requirement-level revisions.</w:t>
      </w:r>
    </w:p>
    <w:p>
      <w:pPr>
        <w:pStyle w:val="ListBullet"/>
      </w:pPr>
      <w:r/>
      <w:r>
        <w:rPr>
          <w:rFonts w:ascii="Courier New" w:hAnsi="Courier New" w:eastAsia="Courier New"/>
        </w:rPr>
        <w:t>PC-001</w:t>
      </w:r>
      <w:r>
        <w:t xml:space="preserve"> (Cover Page / Permit Overview): The draft changes the permit from an issued minor amendment under Permit 09100062-103 to a preliminary major amendment under Permit 09100062-104. That is more than a formatting change because it resets the procedural context for review and confirms the new draft would supersede the currently issued permit if finalized. The placeholders on the draft cover also indicate the agency has not yet finalized issuance details. Application basis: Related to requested change; The new permit number and major-amendment posture are consistent with the current major amendment application and the bundled permit package, but do not represent a separate review issue. Recommended follow-up: No action needed, but cite the correct permit number and action type in any client comments..</w:t>
      </w:r>
    </w:p>
    <w:p>
      <w:pPr>
        <w:pStyle w:val="ListBullet"/>
      </w:pPr>
      <w:r/>
      <w:r>
        <w:rPr>
          <w:rFonts w:ascii="Courier New" w:hAnsi="Courier New" w:eastAsia="Courier New"/>
        </w:rPr>
        <w:t>PC-002</w:t>
      </w:r>
      <w:r>
        <w:t xml:space="preserve"> (1. Permit applications table): The applications table adds the December 4, 2025 major amendment application and a January 27, 2026 MPCA reopening under the new action number. It also updates some legacy receipt dates to a cleaner format. The substantive point is that the draft is tied to both a requested amendment and an agency reopening, which suggests the agency may be revisiting more than just the requested operational change. Application basis: Related to requested change; The draft applications table reflects that MPCA appears to be processing the three minor amendments and the major amendment together, plus an agency reopening entry. That expanded processing posture matters for scope, but it does not by itself make every draft change applicant-requested. Recommended follow-up: Confirm with agency or permit writer whether all major revisions in the draft are tied to the application, the reopening, or both..</w:t>
      </w:r>
    </w:p>
    <w:p>
      <w:pPr>
        <w:pStyle w:val="ListBullet"/>
      </w:pPr>
      <w:r/>
      <w:r>
        <w:rPr>
          <w:rFonts w:ascii="Courier New" w:hAnsi="Courier New" w:eastAsia="Courier New"/>
        </w:rPr>
        <w:t>PC-003</w:t>
      </w:r>
      <w:r>
        <w:t xml:space="preserve"> (3. Facility description): The facility description shifts from a drag-conveyor replacement narrative to a new major amendment centered on an alternate operating scenario at STRU 11. That is a real scope change, not an editorial cleanup, because the draft now frames the amendment around temporary direct venting during baghouse maintenance. The rest of the permit needs to be read in light of that revised project description. Application basis: Requested; The major amendment narrative expressly reframes the project around routing DDGS to EQUI 218 during TREA 2 maintenance, so the revised facility description is expected. Recommended follow-up: Check consistency with current operations and verify the description matches the application narrative and intended maintenance practice..</w:t>
      </w:r>
    </w:p>
    <w:p/>
    <w:p>
      <w:pPr>
        <w:pStyle w:val="Heading2"/>
      </w:pPr>
      <w:r>
        <w:t>Total Facility / Modeling / Ambient Boundary</w:t>
      </w:r>
    </w:p>
    <w:p>
      <w:r>
        <w:t>MPCA appears to have replaced the issued permit's pollutant-specific modeling trigger/protocol frameworks for PM10, NOx, and PM2.5 with a broader ambient-boundary and public-access control framework. That shift is one of the most important permit-wide changes because it affects how future modifications may be evaluated and creates new site-control and reporting obligations.</w:t>
      </w:r>
    </w:p>
    <w:p>
      <w:pPr>
        <w:pStyle w:val="ListBullet"/>
      </w:pPr>
      <w:r/>
      <w:r>
        <w:rPr>
          <w:rFonts w:ascii="Courier New" w:hAnsi="Courier New" w:eastAsia="Courier New"/>
        </w:rPr>
        <w:t>PC-004</w:t>
      </w:r>
      <w:r>
        <w:t xml:space="preserve"> (No direct equivalent): The issued permit contains explicit PM10 equivalent-or-better-dispersion trigger language that distinguishes changes not requiring modeling from changes that do. Those trigger provisions are removed from the draft as stand-alone requirements. That is meaningful because the old permit gave the source and reviewer a clearer front-end screen for when PM10 dispersion work had to be refreshed. Application basis: Not identified in application; None of the four applications request retiring the issued permit's PM10 equivalent-or-better-dispersion trigger language. Recommended follow-up: Confirm with agency whether the EBD trigger concept is intentionally being retired or relocated and whether future PM10 changes will be evaluated under a different modeling approach..</w:t>
      </w:r>
    </w:p>
    <w:p>
      <w:pPr>
        <w:pStyle w:val="ListBullet"/>
      </w:pPr>
      <w:r/>
      <w:r>
        <w:rPr>
          <w:rFonts w:ascii="Courier New" w:hAnsi="Courier New" w:eastAsia="Courier New"/>
        </w:rPr>
        <w:t>PC-005</w:t>
      </w:r>
      <w:r>
        <w:t xml:space="preserve"> (No direct equivalent): The issued permit includes a full PM10 EBD and refined-modeling framework: submittal content, outdated-baseline treatment, equivalency demonstration, refined-modeling triggers, and protocol deadlines. Those detailed modeling mechanics are not preserved as direct requirements in the draft. That is a substantive structural deletion because it removes explicit permit text that previously governed future PM10 modeling work. Application basis: Not identified in application; None of the four applications request deleting the issued permit's detailed PM10 modeling and protocol framework. Recommended follow-up: Flag for client discussion and confirm whether the agency intends another enforceable document to replace the deleted PM10 modeling protocol language..</w:t>
      </w:r>
    </w:p>
    <w:p>
      <w:pPr>
        <w:pStyle w:val="ListBullet"/>
      </w:pPr>
      <w:r/>
      <w:r>
        <w:rPr>
          <w:rFonts w:ascii="Courier New" w:hAnsi="Courier New" w:eastAsia="Courier New"/>
        </w:rPr>
        <w:t>PC-028</w:t>
      </w:r>
      <w:r>
        <w:t xml:space="preserve"> (No direct equivalent): Beyond the PM10 provisions, the issued permit also contains a separate NOx and PM2.5 equivalent-or-better-dispersion framework covering triggers, reissuance updates, required submittal content, outdated-baseline analysis, refined-modeling triggers, and protocol/report deadlines. Those NOx/PM2.5 requirements do not appear as stand-alone permit conditions in the draft. This is a meaningful deletion because it removes an additional pollutant-specific modeling roadmap that previously constrained future changes. Application basis: Not identified in application; None of the four applications request deleting the issued permit's NOx and PM2.5 equivalent-or-better-dispersion trigger and protocol framework. Recommended follow-up: Flag for client discussion and confirm whether MPCA intentionally removed the NOx/PM2.5 EBD framework or expects it to be preserved elsewhere..</w:t>
      </w:r>
    </w:p>
    <w:p>
      <w:pPr>
        <w:pStyle w:val="ListBullet"/>
      </w:pPr>
      <w:r/>
      <w:r>
        <w:rPr>
          <w:rFonts w:ascii="Courier New" w:hAnsi="Courier New" w:eastAsia="Courier New"/>
        </w:rPr>
        <w:t>PC-006</w:t>
      </w:r>
      <w:r>
        <w:t xml:space="preserve"> (5.1.57-5.1.58): The draft adds a General Public Preclusion Plan framework built around an effective fence line and a required boundary map in Appendix C. It also prescribes minimum plan contents such as access-point identification, fencing, patrol locations, signage spacing, and a breach response plan. This is a material new compliance framework rather than a wording cleanup. Application basis: Not identified in application; None of the four applications request a General Public Preclusion Plan, effective-fence-line mapping, or new ambient-boundary controls. Recommended follow-up: Confirm with agency that Appendix C and the plan requirements reflect existing site controls and do not require unplanned capital or staffing changes..</w:t>
      </w:r>
    </w:p>
    <w:p>
      <w:pPr>
        <w:pStyle w:val="ListBullet"/>
      </w:pPr>
      <w:r/>
      <w:r>
        <w:rPr>
          <w:rFonts w:ascii="Courier New" w:hAnsi="Courier New" w:eastAsia="Courier New"/>
        </w:rPr>
        <w:t>PC-007</w:t>
      </w:r>
      <w:r>
        <w:t xml:space="preserve"> (5.1.59): The draft creates a new requirement to document ambient-boundary breaches within three calendar days and report the breach and corrective measures in the semiannual deviations report. It also defines both direct and indirect evidence of a breach. That is a concrete new recordkeeping and reporting obligation with enforcement implications. Application basis: Not identified in application; None of the four applications identify a new ambient-boundary breach documentation and reporting program. Recommended follow-up: Check consistency with current site security practices and flag for client discussion if the plant lacks a reliable mechanism to detect indirect breaches..</w:t>
      </w:r>
    </w:p>
    <w:p>
      <w:pPr>
        <w:pStyle w:val="ListBullet"/>
      </w:pPr>
      <w:r/>
      <w:r>
        <w:rPr>
          <w:rFonts w:ascii="Courier New" w:hAnsi="Courier New" w:eastAsia="Courier New"/>
        </w:rPr>
        <w:t>PC-008</w:t>
      </w:r>
      <w:r>
        <w:t xml:space="preserve"> (5.1.60-5.1.61): The draft requires fencing along the effective fence line, quarterly fence inspections with maintenance records, and controlled access at roads, trails, and abandoned rail grades using barriers and monitored or locked gates. It also requires cameras at the roadway entrance. These are operationally meaningful additions even though they are not emissions-limit changes. Application basis: Not identified in application; None of the four applications request new fencing, camera, or controlled-access obligations. Recommended follow-up: Confirm whether existing fencing and gate controls already satisfy the draft language or whether additional site work is needed..</w:t>
      </w:r>
    </w:p>
    <w:p>
      <w:pPr>
        <w:pStyle w:val="ListBullet"/>
      </w:pPr>
      <w:r/>
      <w:r>
        <w:rPr>
          <w:rFonts w:ascii="Courier New" w:hAnsi="Courier New" w:eastAsia="Courier New"/>
        </w:rPr>
        <w:t>PC-009</w:t>
      </w:r>
      <w:r>
        <w:t xml:space="preserve"> (5.1.62-5.1.63): The draft adds a formal security patrol plan with at least daily patrols for designated effective-fence-line segments and separate daily remote monitoring at the roadway entrance. That goes beyond a general boundary concept and creates recurring operational tasks with associated records. The change is substantive because it adds ongoing compliance work rather than occasional planning documentation. Application basis: Not identified in application; Daily patrols and remote-monitoring duties are not described in any of the four application packages reviewed. Recommended follow-up: Check consistency with current operations and confirm whether this reflects existing practice before the draft is finalized..</w:t>
      </w:r>
    </w:p>
    <w:p>
      <w:pPr>
        <w:pStyle w:val="ListBullet"/>
      </w:pPr>
      <w:r/>
      <w:r>
        <w:rPr>
          <w:rFonts w:ascii="Courier New" w:hAnsi="Courier New" w:eastAsia="Courier New"/>
        </w:rPr>
        <w:t>PC-010</w:t>
      </w:r>
      <w:r>
        <w:t xml:space="preserve"> (5.1.64-5.1.65): The draft adds a requirement to clean up spilled commodities as needed to minimize fugitive emissions and separately adds a public-nuisance clause for commodity-facility operation. The spill-cleanup language is a manageable housekeeping requirement, but the nuisance clause introduces broader discretionary language. The two items are related operationally, but the nuisance term carries more interpretive risk than the cleanup term alone. Application basis: Not identified in application; None of the four applications request the new spill-cleanup and public-nuisance language. Recommended follow-up: Confirm with agency whether the nuisance language is standard for this permit form and consider comment if the client wants narrower wording..</w:t>
      </w:r>
    </w:p>
    <w:p/>
    <w:p>
      <w:pPr>
        <w:pStyle w:val="Heading2"/>
      </w:pPr>
      <w:r>
        <w:t>STRU 11 DDGS Baghouse / Alternate Operating Scenario</w:t>
      </w:r>
    </w:p>
    <w:p>
      <w:r>
        <w:t>The draft's most consequential operational change is the addition of an alternate operating scenario for STRU 11 that would allow limited direct venting during TREA 2 maintenance. The related emission-limit, hour-cap, throughput, and testing provisions should be treated as a connected package during client review.</w:t>
      </w:r>
    </w:p>
    <w:p>
      <w:pPr>
        <w:pStyle w:val="ListBullet"/>
      </w:pPr>
      <w:r/>
      <w:r>
        <w:rPr>
          <w:rFonts w:ascii="Courier New" w:hAnsi="Courier New" w:eastAsia="Courier New"/>
        </w:rPr>
        <w:t>PC-011</w:t>
      </w:r>
      <w:r>
        <w:t xml:space="preserve"> (5.46.1 and 5.57.1): The draft keeps the normal requirement to route STRU 11 emissions through TREA 2, but it now identifies the specific EQUIs in AOS 1 and revises the parallel section 5.57.1 control language so it applies only when operating under AOS 1. This is mostly a clarification of the normal operating case, but it also sets up the draft's new bypass scenario by carving out when the control requirement applies. The real compliance significance depends on how AOS 2 is used. Application basis: Related to requested change; AOS 1 labeling and the companion TREA 2 control-language clarification are implementation details tied to the requested maintenance-routing change. Recommended follow-up: Verify the listed EQUIs match the application and current equipment inventory..</w:t>
      </w:r>
    </w:p>
    <w:p>
      <w:pPr>
        <w:pStyle w:val="ListBullet"/>
      </w:pPr>
      <w:r/>
      <w:r>
        <w:rPr>
          <w:rFonts w:ascii="Courier New" w:hAnsi="Courier New" w:eastAsia="Courier New"/>
        </w:rPr>
        <w:t>PC-012</w:t>
      </w:r>
      <w:r>
        <w:t xml:space="preserve"> (5.46.2): The draft adds AOS 2 for STRU 11 and allows EQUIs 18, 191, and 243 to vent directly to atmosphere while TREA 2 is undergoing maintenance. That is one of the most substantive changes in the draft because it authorizes a direct-vent operating mode that the issued permit did not clearly allow. Even though the scenario is limited to maintenance, it changes both control strategy and compliance posture. Application basis: Requested; The major amendment expressly requests allowing EQUI 243, 18, and 191 to route DDGS to EQUI 218 while TREA 2 is down for maintenance. Recommended follow-up: Flag for client discussion and verify the application, emissions calculations, and modeled assumptions fully support this bypass scenario..</w:t>
      </w:r>
    </w:p>
    <w:p>
      <w:pPr>
        <w:pStyle w:val="ListBullet"/>
      </w:pPr>
      <w:r/>
      <w:r>
        <w:rPr>
          <w:rFonts w:ascii="Courier New" w:hAnsi="Courier New" w:eastAsia="Courier New"/>
        </w:rPr>
        <w:t>PC-013</w:t>
      </w:r>
      <w:r>
        <w:t xml:space="preserve"> (5.46.3-5.46.8): The numerical PM, PM10, PM2.5, and opacity limits are carried forward, but the draft now states these limits apply when operating in AOS 1. The AOS 2 block does not provide a parallel set of numeric emission or opacity limits for the direct-vent scenario. That creates a meaningful interpretive issue even if the hour cap and supporting emissions analysis are intended to control the bypass case. Application basis: Not identified in application; None of the four applications explain or request a permit structure in which the carried-forward PM and opacity limits are expressly limited to AOS 1 without parallel AOS 2 limits. Recommended follow-up: Consider comment on draft and ask the agency to clarify what emission-limit framework applies during AOS 2..</w:t>
      </w:r>
    </w:p>
    <w:p>
      <w:pPr>
        <w:pStyle w:val="ListBullet"/>
      </w:pPr>
      <w:r/>
      <w:r>
        <w:rPr>
          <w:rFonts w:ascii="Courier New" w:hAnsi="Courier New" w:eastAsia="Courier New"/>
        </w:rPr>
        <w:t>PC-014</w:t>
      </w:r>
      <w:r>
        <w:t xml:space="preserve"> (5.46.9-5.46.11): The draft adds a hard cap of 100 hours per year for operation under AOS 2 and adds daily and monthly recordkeeping to track those hours. That is a substantive new operating restriction paired with new records that will be critical to proving the bypass remains within the permitted scope. The added records are likely the main control on direct-vent duration. Application basis: Related to requested change; The major amendment expressly references a 100-hour annual cap; the added tracking records are implementation details for that requested limit. Recommended follow-up: Check consistency with current operations and verify the client can track AOS 2 hours cleanly enough to defend the 12-month rolling total..</w:t>
      </w:r>
    </w:p>
    <w:p>
      <w:pPr>
        <w:pStyle w:val="ListBullet"/>
      </w:pPr>
      <w:r/>
      <w:r>
        <w:rPr>
          <w:rFonts w:ascii="Courier New" w:hAnsi="Courier New" w:eastAsia="Courier New"/>
        </w:rPr>
        <w:t>PC-015</w:t>
      </w:r>
      <w:r>
        <w:t xml:space="preserve"> (5.46.14): The STRU 11 short-term DDGS loadout limit drops from 199.8 tons per hour to 178.8 tons per hour, and the draft ties the revised value to the October 30, 2025 performance test rather than the November 20, 2023 test. This is a direct change to the permitted operating envelope. It appears test-supported, but it still tightens the allowed short-term rate. Application basis: Not identified in application; The major amendment requests the 100-hour maintenance-routing scenario but does not request lowering the STRU 11 throughput limit. Both DDGS drag minor amendments also expressly state that STRU 11 emission limits and throughput were not being changed, so the new 178.8 tph limit does not trace back to any of those applications. Recommended follow-up: Verify basis in application and check consistency with current operations before accepting the lower throughput value..</w:t>
      </w:r>
    </w:p>
    <w:p>
      <w:pPr>
        <w:pStyle w:val="ListBullet"/>
      </w:pPr>
      <w:r/>
      <w:r>
        <w:rPr>
          <w:rFonts w:ascii="Courier New" w:hAnsi="Courier New" w:eastAsia="Courier New"/>
        </w:rPr>
        <w:t>PC-016</w:t>
      </w:r>
      <w:r>
        <w:t xml:space="preserve"> (5.46.12-5.46.21): Most of the existing STRU 11 maximum-achievable-rate, reset-protocol, equipment-flexibility, amendment-trigger, and performance-testing-recordkeeping language is retained but shifted to higher requirement numbers after the new AOS provisions are inserted. Aside from the new throughput value captured separately, this block mostly reads as a relocation and renumbering exercise. The practical compliance structure remains intact. Application basis: Legacy or structural only; This block is largely renumbering and relocation needed to accommodate the new STRU 11 provisions. Recommended follow-up: No action needed other than updating any internal permit cross-references that cite the old requirement numbers..</w:t>
      </w:r>
    </w:p>
    <w:p>
      <w:pPr>
        <w:pStyle w:val="ListBullet"/>
      </w:pPr>
      <w:r/>
      <w:r>
        <w:rPr>
          <w:rFonts w:ascii="Courier New" w:hAnsi="Courier New" w:eastAsia="Courier New"/>
        </w:rPr>
        <w:t>PC-017</w:t>
      </w:r>
      <w:r>
        <w:t xml:space="preserve"> (6.10.1-6.10.3): The periodic STRU 11 PM, PM2.5, and particulate-matter testing rows are now labeled as AOS 1 tests in the draft. The core due dates and methods remain the same, so the change reads mainly as scenario clarification rather than a new testing burden. Still, it is worth noting because it reinforces that the periodic stack tests are tied to the controlled operating scenario, not the new maintenance bypass case. Application basis: Related to requested change; Labeling the periodic STRU 11 tests as AOS 1 is a scenario clarification tied to the requested AOS structure. Recommended follow-up: No action needed unless the client wants the permit to state explicitly how AOS 2 emissions will be verified..</w:t>
      </w:r>
    </w:p>
    <w:p/>
    <w:p>
      <w:pPr>
        <w:pStyle w:val="Heading2"/>
      </w:pPr>
      <w:r>
        <w:t>Testing, CAM, and Other Operating Parameter Updates</w:t>
      </w:r>
    </w:p>
    <w:p>
      <w:r>
        <w:t>In addition to the STRU 11 revisions, the draft updates several testing schedules, testing methods, throughput values, and CAM indicator thresholds. Some of these appear manageable and test-supported, but they still change the enforceable permit basis and should be confirmed against actual operation and test history.</w:t>
      </w:r>
    </w:p>
    <w:p>
      <w:pPr>
        <w:pStyle w:val="ListBullet"/>
      </w:pPr>
      <w:r/>
      <w:r>
        <w:rPr>
          <w:rFonts w:ascii="Courier New" w:hAnsi="Courier New" w:eastAsia="Courier New"/>
        </w:rPr>
        <w:t>PC-018</w:t>
      </w:r>
      <w:r>
        <w:t xml:space="preserve"> (6.9.4, 6.10.4, 6.11.4): For the post-modification particulate-matter tests at STRU 10, STRU 11, and STRU 12, the draft uses EPA Methods 5 and 202 instead of the issued permit's Method 201A and 202 combination in the particulate-matter rows. That looks like a technical correction because Method 5 is the more typical particulate method for total PM. It is still a real testing-method revision and should not be dismissed as formatting. Application basis: Not identified in application; None of the four applications request changing the particulate test methods for STRU 10-12. Recommended follow-up: Verify basis in application or agency testing rationale and confirm the revised test methods are intentional..</w:t>
      </w:r>
    </w:p>
    <w:p>
      <w:pPr>
        <w:pStyle w:val="ListBullet"/>
      </w:pPr>
      <w:r/>
      <w:r>
        <w:rPr>
          <w:rFonts w:ascii="Courier New" w:hAnsi="Courier New" w:eastAsia="Courier New"/>
        </w:rPr>
        <w:t>PC-019</w:t>
      </w:r>
      <w:r>
        <w:t xml:space="preserve"> (5.48.16): The short-term beer-feed limit at STRU 13 decreases slightly from 1,974 gpm to 1,968.8 gpm, and the draft updates the supporting test reference from April 2023 to October 30, 2025. The numerical change is small, but it is still a tightening of the permitted short-term operating rate. This is best viewed as a modest substantive update driven by new test data. Application basis: Not identified in application; None of the four applications identify the reduced STRU 13 beer-feed limit as a requested change. Recommended follow-up: Verify basis in application and confirm the small reduction will not constrain current production planning..</w:t>
      </w:r>
    </w:p>
    <w:p>
      <w:pPr>
        <w:pStyle w:val="ListBullet"/>
      </w:pPr>
      <w:r/>
      <w:r>
        <w:rPr>
          <w:rFonts w:ascii="Courier New" w:hAnsi="Courier New" w:eastAsia="Courier New"/>
        </w:rPr>
        <w:t>PC-020</w:t>
      </w:r>
      <w:r>
        <w:t xml:space="preserve"> (6.12.1-6.12.4): The periodic STRU 13 VOC and HAP tests move from a due date of April 13, 2026 to October 30, 2028 for both AOS 1 and AOS 2. The recurring interval remains the same, so the draft appears to be resetting the schedule based on more recent performance testing. This is a substantive but likely manageable reduction in near-term testing burden. Application basis: Not identified in application; None of the four applications describe resetting STRU 13 periodic testing due dates to October 30, 2028. Recommended follow-up: Confirm whether the October 30, 2025 test has already been accepted by MPCA and supports the revised due dates..</w:t>
      </w:r>
    </w:p>
    <w:p>
      <w:pPr>
        <w:pStyle w:val="ListBullet"/>
      </w:pPr>
      <w:r/>
      <w:r>
        <w:rPr>
          <w:rFonts w:ascii="Courier New" w:hAnsi="Courier New" w:eastAsia="Courier New"/>
        </w:rPr>
        <w:t>PC-022</w:t>
      </w:r>
      <w:r>
        <w:t xml:space="preserve"> (5.59.13): The CO2 scrubber AOS 1 fresh-water CAM limit falls from 111.0 gpm to 100.0 gpm, and the supporting test reference updates to October 30, 2025. That makes the indicator less stringent than the issued permit. The change appears test-driven, but it still changes the compliance threshold used to determine when emissions are considered uncontrolled. Application basis: Not identified in application; None of the four applications request the revised AOS 1 fresh-water CAM threshold for the CO2 scrubber. Recommended follow-up: Verify basis in application and confirm the revised CAM threshold is supported by accepted test results..</w:t>
      </w:r>
    </w:p>
    <w:p>
      <w:pPr>
        <w:pStyle w:val="ListBullet"/>
      </w:pPr>
      <w:r/>
      <w:r>
        <w:rPr>
          <w:rFonts w:ascii="Courier New" w:hAnsi="Courier New" w:eastAsia="Courier New"/>
        </w:rPr>
        <w:t>PC-023</w:t>
      </w:r>
      <w:r>
        <w:t xml:space="preserve"> (5.59.15): The recirculating scrubber water CAM limit for AOS 1 rises from 125.0 gpm to 145.0 gpm based on the October 30, 2025 performance test. Unlike the fresh-water change, this is a tightening of the monitored parameter. That is a meaningful operational and compliance revision because excursions will occur sooner if the recirculating rate drops. Application basis: Not identified in application; None of the four applications request the tighter 145 gpm recirculating-scrubber-water CAM threshold. Recommended follow-up: Check consistency with current operations and confirm equipment can reliably sustain the higher recirculation rate..</w:t>
      </w:r>
    </w:p>
    <w:p>
      <w:pPr>
        <w:pStyle w:val="ListBullet"/>
      </w:pPr>
      <w:r/>
      <w:r>
        <w:rPr>
          <w:rFonts w:ascii="Courier New" w:hAnsi="Courier New" w:eastAsia="Courier New"/>
        </w:rPr>
        <w:t>PC-024</w:t>
      </w:r>
      <w:r>
        <w:t xml:space="preserve"> (5.59.27-5.59.28): The issued permit places recirculating-scrubber-water recordkeeping at 5.59.27 and ABS additive recordkeeping at 5.59.28, while the draft flips that order. The underlying duties appear unchanged. This looks like a numbering or ordering correction only. Application basis: Legacy or structural only; This appears to be an ordering change only and is not tied to a distinct application request. Recommended follow-up: No action needed..</w:t>
      </w:r>
    </w:p>
    <w:p>
      <w:pPr>
        <w:pStyle w:val="ListBullet"/>
      </w:pPr>
      <w:r/>
      <w:r>
        <w:rPr>
          <w:rFonts w:ascii="Courier New" w:hAnsi="Courier New" w:eastAsia="Courier New"/>
        </w:rPr>
        <w:t>PC-025</w:t>
      </w:r>
      <w:r>
        <w:t xml:space="preserve"> (5.61.24-5.61.29): The thermal oxidizer CAM provisions appear to be reordered, with monitoring-equipment and temperature-monitoring text switching sequence and the annual-calibration and accumulation-of-deviations items likewise moving. The substantive duties themselves do not appear to change. This looks like a drafting cleanup rather than a revised CAM program. Application basis: Legacy or structural only; This appears to be CAM reordering rather than a requested substantive revision. Recommended follow-up: No action needed other than checking internal citations if the client tracks requirement numbers closely..</w:t>
      </w:r>
    </w:p>
    <w:p>
      <w:pPr>
        <w:pStyle w:val="ListBullet"/>
      </w:pPr>
      <w:r/>
      <w:r>
        <w:rPr>
          <w:rFonts w:ascii="Courier New" w:hAnsi="Courier New" w:eastAsia="Courier New"/>
        </w:rPr>
        <w:t>PC-026</w:t>
      </w:r>
      <w:r>
        <w:t xml:space="preserve"> (6.13.4): The periodic STRU 14 sulfur-dioxide testing requirement is materially simplified in the draft. The issued permit let the Commissioner set a tighter future test frequency by NOC/NOV letter and required the periodic test to be run with dryer-feed sulfur content below 2.0 percent dry basis with sulfur-content information in the test plan. The draft keeps the 60-month schedule and Method 6C but drops those additional constraints. Application basis: Not identified in application; None of the four applications request the simplified STRU 14 periodic SO2 testing language. Recommended follow-up: Confirm with agency whether the deleted frequency-setting and sulfur-content language was intentional and whether those expectations now appear elsewhere outside the permit text..</w:t>
      </w:r>
    </w:p>
    <w:p>
      <w:pPr>
        <w:pStyle w:val="ListBullet"/>
      </w:pPr>
      <w:r/>
      <w:r>
        <w:rPr>
          <w:rFonts w:ascii="Courier New" w:hAnsi="Courier New" w:eastAsia="Courier New"/>
        </w:rPr>
        <w:t>PC-027</w:t>
      </w:r>
      <w:r>
        <w:t xml:space="preserve"> (5.1.1): The recycling-stream construction authorization is carried forward, but the draft adds the explicit parenthetical date '(December 12, 2027)' to the statement that the authorization expires five years after issuance of Permit 09100062-101. That clarifies the deadline rather than changing the deadline itself. The revision is useful because it removes the need to back-calculate the date. Application basis: Legacy or structural only; The parenthetical expiration date is an agency clarification, not a separately requested permit change. Recommended follow-up: No action needed..</w:t>
      </w:r>
    </w:p>
    <w:p/>
    <w:p>
      <w:pPr>
        <w:pStyle w:val="Heading2"/>
      </w:pPr>
      <w:r>
        <w:t>Top Review Items</w:t>
      </w:r>
    </w:p>
    <w:p>
      <w:pPr>
        <w:pStyle w:val="ListBullet"/>
      </w:pPr>
      <w:r/>
      <w:r>
        <w:rPr>
          <w:rFonts w:ascii="Courier New" w:hAnsi="Courier New" w:eastAsia="Courier New"/>
        </w:rPr>
        <w:t>PC-013</w:t>
      </w:r>
      <w:r>
        <w:t xml:space="preserve"> (5.46.3-5.46.8) [Highlight]: The numerical PM, PM10, PM2.5, and opacity limits are carried forward, but the draft now states these limits apply when operating in AOS 1. The AOS 2 block does not provide a parallel set of numeric emission or opacity limits for the direct-vent scenario. That creates a meaningful interpretive issue even if the hour cap and supporting emissions analysis are intended to control the bypass case.</w:t>
      </w:r>
    </w:p>
    <w:p>
      <w:pPr>
        <w:pStyle w:val="ListBullet"/>
      </w:pPr>
      <w:r/>
      <w:r>
        <w:rPr>
          <w:rFonts w:ascii="Courier New" w:hAnsi="Courier New" w:eastAsia="Courier New"/>
        </w:rPr>
        <w:t>PC-006</w:t>
      </w:r>
      <w:r>
        <w:t xml:space="preserve"> (5.1.57-5.1.58) [Highlight]: The draft adds a General Public Preclusion Plan framework built around an effective fence line and a required boundary map in Appendix C. It also prescribes minimum plan contents such as access-point identification, fencing, patrol locations, signage spacing, and a breach response plan. This is a material new compliance framework rather than a wording cleanup.</w:t>
      </w:r>
    </w:p>
    <w:p>
      <w:pPr>
        <w:pStyle w:val="ListBullet"/>
      </w:pPr>
      <w:r/>
      <w:r>
        <w:rPr>
          <w:rFonts w:ascii="Courier New" w:hAnsi="Courier New" w:eastAsia="Courier New"/>
        </w:rPr>
        <w:t>PC-005</w:t>
      </w:r>
      <w:r>
        <w:t xml:space="preserve"> (No direct equivalent) [Highlight]: The issued permit includes a full PM10 EBD and refined-modeling framework: submittal content, outdated-baseline treatment, equivalency demonstration, refined-modeling triggers, and protocol deadlines. Those detailed modeling mechanics are not preserved as direct requirements in the draft. That is a substantive structural deletion because it removes explicit permit text that previously governed future PM10 modeling work.</w:t>
      </w:r>
    </w:p>
    <w:p>
      <w:pPr>
        <w:pStyle w:val="ListBullet"/>
      </w:pPr>
      <w:r/>
      <w:r>
        <w:rPr>
          <w:rFonts w:ascii="Courier New" w:hAnsi="Courier New" w:eastAsia="Courier New"/>
        </w:rPr>
        <w:t>PC-028</w:t>
      </w:r>
      <w:r>
        <w:t xml:space="preserve"> (No direct equivalent) [Highlight]: Beyond the PM10 provisions, the issued permit also contains a separate NOx and PM2.5 equivalent-or-better-dispersion framework covering triggers, reissuance updates, required submittal content, outdated-baseline analysis, refined-modeling triggers, and protocol/report deadlines. Those NOx/PM2.5 requirements do not appear as stand-alone permit conditions in the draft. This is a meaningful deletion because it removes an additional pollutant-specific modeling roadmap that previously constrained future changes.</w:t>
      </w:r>
    </w:p>
    <w:p>
      <w:pPr>
        <w:pStyle w:val="ListBullet"/>
      </w:pPr>
      <w:r/>
      <w:r>
        <w:rPr>
          <w:rFonts w:ascii="Courier New" w:hAnsi="Courier New" w:eastAsia="Courier New"/>
        </w:rPr>
        <w:t>PC-007</w:t>
      </w:r>
      <w:r>
        <w:t xml:space="preserve"> (5.1.59) [Highlight]: The draft creates a new requirement to document ambient-boundary breaches within three calendar days and report the breach and corrective measures in the semiannual deviations report. It also defines both direct and indirect evidence of a breach. That is a concrete new recordkeeping and reporting obligation with enforcement implications.</w:t>
      </w:r>
    </w:p>
    <w:p>
      <w:pPr>
        <w:pStyle w:val="ListBullet"/>
      </w:pPr>
      <w:r/>
      <w:r>
        <w:rPr>
          <w:rFonts w:ascii="Courier New" w:hAnsi="Courier New" w:eastAsia="Courier New"/>
        </w:rPr>
        <w:t>PC-015</w:t>
      </w:r>
      <w:r>
        <w:t xml:space="preserve"> (5.46.14) [Highlight]: The STRU 11 short-term DDGS loadout limit drops from 199.8 tons per hour to 178.8 tons per hour, and the draft ties the revised value to the October 30, 2025 performance test rather than the November 20, 2023 test. This is a direct change to the permitted operating envelope. It appears test-supported, but it still tightens the allowed short-term rate.</w:t>
      </w:r>
    </w:p>
    <w:p>
      <w:pPr>
        <w:pStyle w:val="ListBullet"/>
      </w:pPr>
      <w:r/>
      <w:r>
        <w:rPr>
          <w:rFonts w:ascii="Courier New" w:hAnsi="Courier New" w:eastAsia="Courier New"/>
        </w:rPr>
        <w:t>PC-023</w:t>
      </w:r>
      <w:r>
        <w:t xml:space="preserve"> (5.59.15) [Highlight]: The recirculating scrubber water CAM limit for AOS 1 rises from 125.0 gpm to 145.0 gpm based on the October 30, 2025 performance test. Unlike the fresh-water change, this is a tightening of the monitored parameter. That is a meaningful operational and compliance revision because excursions will occur sooner if the recirculating rate drops.</w:t>
      </w:r>
    </w:p>
    <w:p>
      <w:pPr>
        <w:pStyle w:val="ListBullet"/>
      </w:pPr>
      <w:r/>
      <w:r>
        <w:rPr>
          <w:rFonts w:ascii="Courier New" w:hAnsi="Courier New" w:eastAsia="Courier New"/>
        </w:rPr>
        <w:t>PC-004</w:t>
      </w:r>
      <w:r>
        <w:t xml:space="preserve"> (No direct equivalent) [Highlight]: The issued permit contains explicit PM10 equivalent-or-better-dispersion trigger language that distinguishes changes not requiring modeling from changes that do. Those trigger provisions are removed from the draft as stand-alone requirements. That is meaningful because the old permit gave the source and reviewer a clearer front-end screen for when PM10 dispersion work had to be refreshed.</w:t>
      </w:r>
    </w:p>
    <w:p>
      <w:pPr>
        <w:pStyle w:val="ListBullet"/>
      </w:pPr>
      <w:r/>
      <w:r>
        <w:rPr>
          <w:rFonts w:ascii="Courier New" w:hAnsi="Courier New" w:eastAsia="Courier New"/>
        </w:rPr>
        <w:t>PC-026</w:t>
      </w:r>
      <w:r>
        <w:t xml:space="preserve"> (6.13.4) [Highlight]: The periodic STRU 14 sulfur-dioxide testing requirement is materially simplified in the draft. The issued permit let the Commissioner set a tighter future test frequency by NOC/NOV letter and required the periodic test to be run with dryer-feed sulfur content below 2.0 percent dry basis with sulfur-content information in the test plan. The draft keeps the 60-month schedule and Method 6C but drops those additional constraints.</w:t>
      </w:r>
    </w:p>
    <w:p>
      <w:pPr>
        <w:pStyle w:val="ListBullet"/>
      </w:pPr>
      <w:r/>
      <w:r>
        <w:rPr>
          <w:rFonts w:ascii="Courier New" w:hAnsi="Courier New" w:eastAsia="Courier New"/>
        </w:rPr>
        <w:t>PC-009</w:t>
      </w:r>
      <w:r>
        <w:t xml:space="preserve"> (5.1.62-5.1.63) [Highlight]: The draft adds a formal security patrol plan with at least daily patrols for designated effective-fence-line segments and separate daily remote monitoring at the roadway entrance. That goes beyond a general boundary concept and creates recurring operational tasks with associated records. The change is substantive because it adds ongoing compliance work rather than occasional planning documentation.</w:t>
      </w:r>
    </w:p>
    <w:p/>
    <w:p>
      <w:pPr>
        <w:pStyle w:val="Heading2"/>
      </w:pPr>
      <w:r>
        <w:t>Key Client Confirmation Items</w:t>
      </w:r>
    </w:p>
    <w:p>
      <w:pPr>
        <w:pStyle w:val="ListBullet"/>
      </w:pPr>
      <w:r>
        <w:t>Whether the STRU 11 AOS 2 bypass scenario and the 100-hour annual cap reflect actual maintenance practice and the intended flexibility the client wants preserved in the final permit.</w:t>
      </w:r>
    </w:p>
    <w:p>
      <w:pPr>
        <w:pStyle w:val="ListBullet"/>
      </w:pPr>
      <w:r>
        <w:t>Whether the client can comply with the new effective-fence-line, patrol, camera, fence inspection, and breach-documentation obligations without additional staffing, contractor support, or capital work.</w:t>
      </w:r>
    </w:p>
    <w:p>
      <w:pPr>
        <w:pStyle w:val="ListBullet"/>
      </w:pPr>
      <w:r>
        <w:t>Whether the reduced STRU 11 DDGS throughput limit of 178.8 tph and the higher 145 gpm recirculating scrubber-water CAM threshold are operationally workable under current plant practice.</w:t>
      </w:r>
    </w:p>
    <w:p>
      <w:pPr>
        <w:pStyle w:val="ListBullet"/>
      </w:pPr>
      <w:r>
        <w:t>Whether MPCA intentionally removed the issued permit's PM10 and NOx/PM2.5 EBD modeling trigger/protocol frameworks and the changed STRU 14 periodic SO2 testing language, or whether those changes should be clarified or reinstated in permit comments.</w:t>
      </w:r>
    </w:p>
    <w:p/>
    <w:p>
      <w:pPr>
        <w:pStyle w:val="Heading2"/>
      </w:pPr>
      <w:r>
        <w:t>Items That Appear Editorial or Structural Only</w:t>
      </w:r>
    </w:p>
    <w:p>
      <w:pPr>
        <w:pStyle w:val="ListBullet"/>
      </w:pPr>
      <w:r/>
      <w:r>
        <w:rPr>
          <w:rFonts w:ascii="Courier New" w:hAnsi="Courier New" w:eastAsia="Courier New"/>
        </w:rPr>
        <w:t>PC-016</w:t>
      </w:r>
      <w:r>
        <w:t xml:space="preserve"> (5.46.12-5.46.21): Most of the existing STRU 11 maximum-achievable-rate, reset-protocol, equipment-flexibility, amendment-trigger, and performance-testing-recordkeeping language is retained but shifted to higher requirement numbers after the new AOS provisions are inserted. Aside from the new throughput value captured separately, this block mostly reads as a relocation and renumbering exercise. The practical compliance structure remains intact.</w:t>
      </w:r>
    </w:p>
    <w:p>
      <w:pPr>
        <w:pStyle w:val="ListBullet"/>
      </w:pPr>
      <w:r/>
      <w:r>
        <w:rPr>
          <w:rFonts w:ascii="Courier New" w:hAnsi="Courier New" w:eastAsia="Courier New"/>
        </w:rPr>
        <w:t>PC-021</w:t>
      </w:r>
      <w:r>
        <w:t xml:space="preserve"> (5.48.11-5.48.12): The methanol and hexane AOS 2 controlled emission-factor rows switch order in the draft. The actual numerical values and function of the two factors do not appear to change. This reads as a renumbering or ordering cleanup rather than a substantive revision.</w:t>
      </w:r>
    </w:p>
    <w:p>
      <w:pPr>
        <w:pStyle w:val="ListBullet"/>
      </w:pPr>
      <w:r/>
      <w:r>
        <w:rPr>
          <w:rFonts w:ascii="Courier New" w:hAnsi="Courier New" w:eastAsia="Courier New"/>
        </w:rPr>
        <w:t>PC-024</w:t>
      </w:r>
      <w:r>
        <w:t xml:space="preserve"> (5.59.27-5.59.28): The issued permit places recirculating-scrubber-water recordkeeping at 5.59.27 and ABS additive recordkeeping at 5.59.28, while the draft flips that order. The underlying duties appear unchanged. This looks like a numbering or ordering correction only.</w:t>
      </w:r>
    </w:p>
    <w:p>
      <w:pPr>
        <w:pStyle w:val="ListBullet"/>
      </w:pPr>
      <w:r/>
      <w:r>
        <w:rPr>
          <w:rFonts w:ascii="Courier New" w:hAnsi="Courier New" w:eastAsia="Courier New"/>
        </w:rPr>
        <w:t>PC-025</w:t>
      </w:r>
      <w:r>
        <w:t xml:space="preserve"> (5.61.24-5.61.29): The thermal oxidizer CAM provisions appear to be reordered, with monitoring-equipment and temperature-monitoring text switching sequence and the annual-calibration and accumulation-of-deviations items likewise moving. The substantive duties themselves do not appear to change. This looks like a drafting cleanup rather than a revised CAM program.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