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Automation Anywhere A360</w:t>
        <w:br/>
        <w:t>Task Bot Naming &amp; Folder Management Standard</w:t>
      </w:r>
    </w:p>
    <w:p>
      <w:pPr>
        <w:jc w:val="center"/>
      </w:pPr>
      <w:r>
        <w:rPr>
          <w:i/>
          <w:sz w:val="21"/>
        </w:rPr>
        <w:t>Recommended governance framework for scalable RPA development</w:t>
      </w:r>
    </w:p>
    <w:p>
      <w:pPr>
        <w:pStyle w:val="Heading1"/>
      </w:pPr>
      <w:r>
        <w:t>1. Executive Summary</w:t>
      </w:r>
    </w:p>
    <w:p>
      <w:r>
        <w:t>The recommended approach separates two concerns: the bot name identifies what the bot is and what role it performs, while the folder structure identifies where the automation belongs operationally. This keeps names concise, improves discoverability, and provides a scalable structure as the Automation Anywhere environment grows.</w:t>
      </w:r>
    </w:p>
    <w:p>
      <w:pPr>
        <w:pStyle w:val="Heading1"/>
      </w:pPr>
      <w:r>
        <w:t>2. Bot Naming Convention</w:t>
      </w:r>
    </w:p>
    <w:p>
      <w:r>
        <w:t>Recommended format:</w:t>
      </w:r>
    </w:p>
    <w:p>
      <w:pPr>
        <w:jc w:val="center"/>
      </w:pPr>
      <w:r>
        <w:rPr>
          <w:rFonts w:ascii="Consolas" w:hAnsi="Consolas"/>
          <w:b/>
          <w:sz w:val="22"/>
        </w:rPr>
        <w:t>&lt;TYPE&gt;_&lt;APPLICATION&gt;_&lt;PROCESS&gt;_&lt;FUNCTION&gt;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rFonts w:ascii="Aptos" w:hAnsi="Aptos"/>
                <w:b/>
                <w:sz w:val="19"/>
              </w:rPr>
              <w:t>Type</w:t>
            </w:r>
          </w:p>
        </w:tc>
        <w:tc>
          <w:tcPr>
            <w:tcW w:type="dxa" w:w="3312"/>
            <w:vAlign w:val="center"/>
            <w:shd w:fill="D9E2F3"/>
          </w:tcPr>
          <w:p>
            <w:r/>
            <w:r>
              <w:rPr>
                <w:rFonts w:ascii="Aptos" w:hAnsi="Aptos"/>
                <w:b/>
                <w:sz w:val="19"/>
              </w:rPr>
              <w:t>Purpose</w:t>
            </w:r>
          </w:p>
        </w:tc>
        <w:tc>
          <w:tcPr>
            <w:tcW w:type="dxa" w:w="3312"/>
            <w:vAlign w:val="center"/>
            <w:shd w:fill="D9E2F3"/>
          </w:tcPr>
          <w:p>
            <w:r/>
            <w:r>
              <w:rPr>
                <w:rFonts w:ascii="Aptos" w:hAnsi="Aptos"/>
                <w:b/>
                <w:sz w:val="19"/>
              </w:rPr>
              <w:t>Example</w:t>
            </w:r>
          </w:p>
        </w:tc>
      </w:tr>
      <w:tr>
        <w:tc>
          <w:tcPr>
            <w:tcW w:type="dxa" w:w="3312"/>
            <w:vAlign w:val="center"/>
          </w:tcPr>
          <w:p>
            <w:r/>
            <w:r>
              <w:rPr>
                <w:rFonts w:ascii="Aptos" w:hAnsi="Aptos"/>
                <w:b w:val="0"/>
                <w:sz w:val="19"/>
              </w:rPr>
              <w:t>MAIN</w:t>
            </w:r>
          </w:p>
        </w:tc>
        <w:tc>
          <w:tcPr>
            <w:tcW w:type="dxa" w:w="3312"/>
            <w:vAlign w:val="center"/>
          </w:tcPr>
          <w:p>
            <w:r/>
            <w:r>
              <w:rPr>
                <w:rFonts w:ascii="Aptos" w:hAnsi="Aptos"/>
                <w:b w:val="0"/>
                <w:sz w:val="19"/>
              </w:rPr>
              <w:t>Primary business process / orchestrator</w:t>
            </w:r>
          </w:p>
        </w:tc>
        <w:tc>
          <w:tcPr>
            <w:tcW w:type="dxa" w:w="3312"/>
            <w:vAlign w:val="center"/>
          </w:tcPr>
          <w:p>
            <w:r/>
            <w:r>
              <w:rPr>
                <w:rFonts w:ascii="Aptos" w:hAnsi="Aptos"/>
                <w:b w:val="0"/>
                <w:sz w:val="19"/>
              </w:rPr>
              <w:t>MAIN_PS_Payroll_ProcessMonthlyPayroll</w:t>
            </w:r>
          </w:p>
        </w:tc>
      </w:tr>
      <w:tr>
        <w:tc>
          <w:tcPr>
            <w:tcW w:type="dxa" w:w="3312"/>
            <w:vAlign w:val="center"/>
          </w:tcPr>
          <w:p>
            <w:r/>
            <w:r>
              <w:rPr>
                <w:rFonts w:ascii="Aptos" w:hAnsi="Aptos"/>
                <w:b w:val="0"/>
                <w:sz w:val="19"/>
              </w:rPr>
              <w:t>SUB</w:t>
            </w:r>
          </w:p>
        </w:tc>
        <w:tc>
          <w:tcPr>
            <w:tcW w:type="dxa" w:w="3312"/>
            <w:vAlign w:val="center"/>
          </w:tcPr>
          <w:p>
            <w:r/>
            <w:r>
              <w:rPr>
                <w:rFonts w:ascii="Aptos" w:hAnsi="Aptos"/>
                <w:b w:val="0"/>
                <w:sz w:val="19"/>
              </w:rPr>
              <w:t>Reusable, process-specific child bot</w:t>
            </w:r>
          </w:p>
        </w:tc>
        <w:tc>
          <w:tcPr>
            <w:tcW w:type="dxa" w:w="3312"/>
            <w:vAlign w:val="center"/>
          </w:tcPr>
          <w:p>
            <w:r/>
            <w:r>
              <w:rPr>
                <w:rFonts w:ascii="Aptos" w:hAnsi="Aptos"/>
                <w:b w:val="0"/>
                <w:sz w:val="19"/>
              </w:rPr>
              <w:t>SUB_PS_Payroll_ValidateEmployee</w:t>
            </w:r>
          </w:p>
        </w:tc>
      </w:tr>
      <w:tr>
        <w:tc>
          <w:tcPr>
            <w:tcW w:type="dxa" w:w="3312"/>
            <w:vAlign w:val="center"/>
          </w:tcPr>
          <w:p>
            <w:r/>
            <w:r>
              <w:rPr>
                <w:rFonts w:ascii="Aptos" w:hAnsi="Aptos"/>
                <w:b w:val="0"/>
                <w:sz w:val="19"/>
              </w:rPr>
              <w:t>UTIL</w:t>
            </w:r>
          </w:p>
        </w:tc>
        <w:tc>
          <w:tcPr>
            <w:tcW w:type="dxa" w:w="3312"/>
            <w:vAlign w:val="center"/>
          </w:tcPr>
          <w:p>
            <w:r/>
            <w:r>
              <w:rPr>
                <w:rFonts w:ascii="Aptos" w:hAnsi="Aptos"/>
                <w:b w:val="0"/>
                <w:sz w:val="19"/>
              </w:rPr>
              <w:t>Generic reusable technical utility</w:t>
            </w:r>
          </w:p>
        </w:tc>
        <w:tc>
          <w:tcPr>
            <w:tcW w:type="dxa" w:w="3312"/>
            <w:vAlign w:val="center"/>
          </w:tcPr>
          <w:p>
            <w:r/>
            <w:r>
              <w:rPr>
                <w:rFonts w:ascii="Aptos" w:hAnsi="Aptos"/>
                <w:b w:val="0"/>
                <w:sz w:val="19"/>
              </w:rPr>
              <w:t>UTIL_COMMON_SendEmail</w:t>
            </w:r>
          </w:p>
        </w:tc>
      </w:tr>
      <w:tr>
        <w:tc>
          <w:tcPr>
            <w:tcW w:type="dxa" w:w="3312"/>
            <w:vAlign w:val="center"/>
          </w:tcPr>
          <w:p>
            <w:r/>
            <w:r>
              <w:rPr>
                <w:rFonts w:ascii="Aptos" w:hAnsi="Aptos"/>
                <w:b w:val="0"/>
                <w:sz w:val="19"/>
              </w:rPr>
              <w:t>INIT</w:t>
            </w:r>
          </w:p>
        </w:tc>
        <w:tc>
          <w:tcPr>
            <w:tcW w:type="dxa" w:w="3312"/>
            <w:vAlign w:val="center"/>
          </w:tcPr>
          <w:p>
            <w:r/>
            <w:r>
              <w:rPr>
                <w:rFonts w:ascii="Aptos" w:hAnsi="Aptos"/>
                <w:b w:val="0"/>
                <w:sz w:val="19"/>
              </w:rPr>
              <w:t>Process initialization / setup</w:t>
            </w:r>
          </w:p>
        </w:tc>
        <w:tc>
          <w:tcPr>
            <w:tcW w:type="dxa" w:w="3312"/>
            <w:vAlign w:val="center"/>
          </w:tcPr>
          <w:p>
            <w:r/>
            <w:r>
              <w:rPr>
                <w:rFonts w:ascii="Aptos" w:hAnsi="Aptos"/>
                <w:b w:val="0"/>
                <w:sz w:val="19"/>
              </w:rPr>
              <w:t>INIT_PS_Payroll_Initialize</w:t>
            </w:r>
          </w:p>
        </w:tc>
      </w:tr>
      <w:tr>
        <w:tc>
          <w:tcPr>
            <w:tcW w:type="dxa" w:w="3312"/>
            <w:vAlign w:val="center"/>
          </w:tcPr>
          <w:p>
            <w:r/>
            <w:r>
              <w:rPr>
                <w:rFonts w:ascii="Aptos" w:hAnsi="Aptos"/>
                <w:b w:val="0"/>
                <w:sz w:val="19"/>
              </w:rPr>
              <w:t>CLEAN</w:t>
            </w:r>
          </w:p>
        </w:tc>
        <w:tc>
          <w:tcPr>
            <w:tcW w:type="dxa" w:w="3312"/>
            <w:vAlign w:val="center"/>
          </w:tcPr>
          <w:p>
            <w:r/>
            <w:r>
              <w:rPr>
                <w:rFonts w:ascii="Aptos" w:hAnsi="Aptos"/>
                <w:b w:val="0"/>
                <w:sz w:val="19"/>
              </w:rPr>
              <w:t>Cleanup / application closure</w:t>
            </w:r>
          </w:p>
        </w:tc>
        <w:tc>
          <w:tcPr>
            <w:tcW w:type="dxa" w:w="3312"/>
            <w:vAlign w:val="center"/>
          </w:tcPr>
          <w:p>
            <w:r/>
            <w:r>
              <w:rPr>
                <w:rFonts w:ascii="Aptos" w:hAnsi="Aptos"/>
                <w:b w:val="0"/>
                <w:sz w:val="19"/>
              </w:rPr>
              <w:t>CLEAN_PS_Payroll_CloseApplications</w:t>
            </w:r>
          </w:p>
        </w:tc>
      </w:tr>
      <w:tr>
        <w:tc>
          <w:tcPr>
            <w:tcW w:type="dxa" w:w="3312"/>
            <w:vAlign w:val="center"/>
          </w:tcPr>
          <w:p>
            <w:r/>
            <w:r>
              <w:rPr>
                <w:rFonts w:ascii="Aptos" w:hAnsi="Aptos"/>
                <w:b w:val="0"/>
                <w:sz w:val="19"/>
              </w:rPr>
              <w:t>ERR</w:t>
            </w:r>
          </w:p>
        </w:tc>
        <w:tc>
          <w:tcPr>
            <w:tcW w:type="dxa" w:w="3312"/>
            <w:vAlign w:val="center"/>
          </w:tcPr>
          <w:p>
            <w:r/>
            <w:r>
              <w:rPr>
                <w:rFonts w:ascii="Aptos" w:hAnsi="Aptos"/>
                <w:b w:val="0"/>
                <w:sz w:val="19"/>
              </w:rPr>
              <w:t>Common error / recovery handling</w:t>
            </w:r>
          </w:p>
        </w:tc>
        <w:tc>
          <w:tcPr>
            <w:tcW w:type="dxa" w:w="3312"/>
            <w:vAlign w:val="center"/>
          </w:tcPr>
          <w:p>
            <w:r/>
            <w:r>
              <w:rPr>
                <w:rFonts w:ascii="Aptos" w:hAnsi="Aptos"/>
                <w:b w:val="0"/>
                <w:sz w:val="19"/>
              </w:rPr>
              <w:t>ERR_COMMON_HandleError</w:t>
            </w:r>
          </w:p>
        </w:tc>
      </w:tr>
    </w:tbl>
    <w:p>
      <w:pPr>
        <w:pStyle w:val="Heading1"/>
      </w:pPr>
      <w:r>
        <w:t>3. Distinguishing Bot Types</w:t>
      </w:r>
    </w:p>
    <w:p>
      <w:pPr>
        <w:pStyle w:val="ListBullet"/>
        <w:spacing w:after="40"/>
      </w:pPr>
      <w:r>
        <w:t>MAIN: Owns the overall workflow and represents the business automation.</w:t>
      </w:r>
    </w:p>
    <w:p>
      <w:pPr>
        <w:pStyle w:val="ListBullet"/>
        <w:spacing w:after="40"/>
      </w:pPr>
      <w:r>
        <w:t>SUB: Performs a meaningful, process-specific component that can be called by MAIN or other process bots.</w:t>
      </w:r>
    </w:p>
    <w:p>
      <w:pPr>
        <w:pStyle w:val="ListBullet"/>
        <w:spacing w:after="40"/>
      </w:pPr>
      <w:r>
        <w:t>UTIL: Performs a generic technical capability that can be reused across unrelated automations.</w:t>
      </w:r>
    </w:p>
    <w:p>
      <w:r>
        <w:t>Example architecture:</w:t>
      </w:r>
    </w:p>
    <w:p>
      <w:pPr>
        <w:ind w:left="360"/>
      </w:pPr>
      <w:r>
        <w:rPr>
          <w:rFonts w:ascii="Consolas" w:hAnsi="Consolas"/>
          <w:sz w:val="19"/>
        </w:rPr>
        <w:t>MAIN_PS_Payroll_ProcessMonthlyPayroll</w:t>
      </w:r>
    </w:p>
    <w:p>
      <w:pPr>
        <w:ind w:left="360"/>
      </w:pPr>
      <w:r>
        <w:rPr>
          <w:rFonts w:ascii="Consolas" w:hAnsi="Consolas"/>
          <w:sz w:val="19"/>
        </w:rPr>
        <w:t xml:space="preserve">  → SUB_PS_Payroll_GetEmployeeData</w:t>
      </w:r>
    </w:p>
    <w:p>
      <w:pPr>
        <w:ind w:left="360"/>
      </w:pPr>
      <w:r>
        <w:rPr>
          <w:rFonts w:ascii="Consolas" w:hAnsi="Consolas"/>
          <w:sz w:val="19"/>
        </w:rPr>
        <w:t xml:space="preserve">  → SUB_PS_Payroll_ValidateEmployee</w:t>
      </w:r>
    </w:p>
    <w:p>
      <w:pPr>
        <w:ind w:left="360"/>
      </w:pPr>
      <w:r>
        <w:rPr>
          <w:rFonts w:ascii="Consolas" w:hAnsi="Consolas"/>
          <w:sz w:val="19"/>
        </w:rPr>
        <w:t xml:space="preserve">  → SUB_PS_Payroll_SubmitPayroll</w:t>
      </w:r>
    </w:p>
    <w:p>
      <w:pPr>
        <w:ind w:left="360"/>
      </w:pPr>
      <w:r>
        <w:rPr>
          <w:rFonts w:ascii="Consolas" w:hAnsi="Consolas"/>
          <w:sz w:val="19"/>
        </w:rPr>
        <w:t xml:space="preserve">  → UTIL_COMMON_SendEmail</w:t>
      </w:r>
    </w:p>
    <w:p>
      <w:pPr>
        <w:ind w:left="360"/>
      </w:pPr>
      <w:r>
        <w:rPr>
          <w:rFonts w:ascii="Consolas" w:hAnsi="Consolas"/>
          <w:sz w:val="19"/>
        </w:rPr>
        <w:t xml:space="preserve">  → UTIL_COMMON_WriteLog</w:t>
      </w:r>
    </w:p>
    <w:p>
      <w:pPr>
        <w:ind w:left="360"/>
      </w:pPr>
      <w:r>
        <w:rPr>
          <w:rFonts w:ascii="Consolas" w:hAnsi="Consolas"/>
          <w:sz w:val="19"/>
        </w:rPr>
        <w:t xml:space="preserve">  → UTIL_COMMON_HandleError</w:t>
      </w:r>
    </w:p>
    <w:p>
      <w:pPr>
        <w:pStyle w:val="Heading1"/>
      </w:pPr>
      <w:r>
        <w:t>4. Controlled Application Codes</w:t>
      </w:r>
    </w:p>
    <w:p>
      <w:r>
        <w:t>Maintain a standard abbreviation list so the same application is never represented by multiple names.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ptos" w:hAnsi="Aptos"/>
                <w:b/>
                <w:sz w:val="19"/>
              </w:rPr>
              <w:t>Application</w:t>
            </w:r>
          </w:p>
        </w:tc>
        <w:tc>
          <w:tcPr>
            <w:tcW w:type="dxa" w:w="4968"/>
            <w:vAlign w:val="center"/>
            <w:shd w:fill="D9E2F3"/>
          </w:tcPr>
          <w:p>
            <w:r/>
            <w:r>
              <w:rPr>
                <w:rFonts w:ascii="Aptos" w:hAnsi="Aptos"/>
                <w:b/>
                <w:sz w:val="19"/>
              </w:rPr>
              <w:t>Code</w:t>
            </w:r>
          </w:p>
        </w:tc>
      </w:tr>
      <w:tr>
        <w:tc>
          <w:tcPr>
            <w:tcW w:type="dxa" w:w="4968"/>
            <w:vAlign w:val="center"/>
          </w:tcPr>
          <w:p>
            <w:r/>
            <w:r>
              <w:rPr>
                <w:rFonts w:ascii="Aptos" w:hAnsi="Aptos"/>
                <w:b w:val="0"/>
                <w:sz w:val="19"/>
              </w:rPr>
              <w:t>PeopleSoft</w:t>
            </w:r>
          </w:p>
        </w:tc>
        <w:tc>
          <w:tcPr>
            <w:tcW w:type="dxa" w:w="4968"/>
            <w:vAlign w:val="center"/>
          </w:tcPr>
          <w:p>
            <w:r/>
            <w:r>
              <w:rPr>
                <w:rFonts w:ascii="Aptos" w:hAnsi="Aptos"/>
                <w:b w:val="0"/>
                <w:sz w:val="19"/>
              </w:rPr>
              <w:t>PS</w:t>
            </w:r>
          </w:p>
        </w:tc>
      </w:tr>
      <w:tr>
        <w:tc>
          <w:tcPr>
            <w:tcW w:type="dxa" w:w="4968"/>
            <w:vAlign w:val="center"/>
          </w:tcPr>
          <w:p>
            <w:r/>
            <w:r>
              <w:rPr>
                <w:rFonts w:ascii="Aptos" w:hAnsi="Aptos"/>
                <w:b w:val="0"/>
                <w:sz w:val="19"/>
              </w:rPr>
              <w:t>OnBase</w:t>
            </w:r>
          </w:p>
        </w:tc>
        <w:tc>
          <w:tcPr>
            <w:tcW w:type="dxa" w:w="4968"/>
            <w:vAlign w:val="center"/>
          </w:tcPr>
          <w:p>
            <w:r/>
            <w:r>
              <w:rPr>
                <w:rFonts w:ascii="Aptos" w:hAnsi="Aptos"/>
                <w:b w:val="0"/>
                <w:sz w:val="19"/>
              </w:rPr>
              <w:t>OB</w:t>
            </w:r>
          </w:p>
        </w:tc>
      </w:tr>
      <w:tr>
        <w:tc>
          <w:tcPr>
            <w:tcW w:type="dxa" w:w="4968"/>
            <w:vAlign w:val="center"/>
          </w:tcPr>
          <w:p>
            <w:r/>
            <w:r>
              <w:rPr>
                <w:rFonts w:ascii="Aptos" w:hAnsi="Aptos"/>
                <w:b w:val="0"/>
                <w:sz w:val="19"/>
              </w:rPr>
              <w:t>ServiceNow</w:t>
            </w:r>
          </w:p>
        </w:tc>
        <w:tc>
          <w:tcPr>
            <w:tcW w:type="dxa" w:w="4968"/>
            <w:vAlign w:val="center"/>
          </w:tcPr>
          <w:p>
            <w:r/>
            <w:r>
              <w:rPr>
                <w:rFonts w:ascii="Aptos" w:hAnsi="Aptos"/>
                <w:b w:val="0"/>
                <w:sz w:val="19"/>
              </w:rPr>
              <w:t>SN</w:t>
            </w:r>
          </w:p>
        </w:tc>
      </w:tr>
      <w:tr>
        <w:tc>
          <w:tcPr>
            <w:tcW w:type="dxa" w:w="4968"/>
            <w:vAlign w:val="center"/>
          </w:tcPr>
          <w:p>
            <w:r/>
            <w:r>
              <w:rPr>
                <w:rFonts w:ascii="Aptos" w:hAnsi="Aptos"/>
                <w:b w:val="0"/>
                <w:sz w:val="19"/>
              </w:rPr>
              <w:t>Active Directory</w:t>
            </w:r>
          </w:p>
        </w:tc>
        <w:tc>
          <w:tcPr>
            <w:tcW w:type="dxa" w:w="4968"/>
            <w:vAlign w:val="center"/>
          </w:tcPr>
          <w:p>
            <w:r/>
            <w:r>
              <w:rPr>
                <w:rFonts w:ascii="Aptos" w:hAnsi="Aptos"/>
                <w:b w:val="0"/>
                <w:sz w:val="19"/>
              </w:rPr>
              <w:t>AD</w:t>
            </w:r>
          </w:p>
        </w:tc>
      </w:tr>
      <w:tr>
        <w:tc>
          <w:tcPr>
            <w:tcW w:type="dxa" w:w="4968"/>
            <w:vAlign w:val="center"/>
          </w:tcPr>
          <w:p>
            <w:r/>
            <w:r>
              <w:rPr>
                <w:rFonts w:ascii="Aptos" w:hAnsi="Aptos"/>
                <w:b w:val="0"/>
                <w:sz w:val="19"/>
              </w:rPr>
              <w:t>Box</w:t>
            </w:r>
          </w:p>
        </w:tc>
        <w:tc>
          <w:tcPr>
            <w:tcW w:type="dxa" w:w="4968"/>
            <w:vAlign w:val="center"/>
          </w:tcPr>
          <w:p>
            <w:r/>
            <w:r>
              <w:rPr>
                <w:rFonts w:ascii="Aptos" w:hAnsi="Aptos"/>
                <w:b w:val="0"/>
                <w:sz w:val="19"/>
              </w:rPr>
              <w:t>BOX</w:t>
            </w:r>
          </w:p>
        </w:tc>
      </w:tr>
      <w:tr>
        <w:tc>
          <w:tcPr>
            <w:tcW w:type="dxa" w:w="4968"/>
            <w:vAlign w:val="center"/>
          </w:tcPr>
          <w:p>
            <w:r/>
            <w:r>
              <w:rPr>
                <w:rFonts w:ascii="Aptos" w:hAnsi="Aptos"/>
                <w:b w:val="0"/>
                <w:sz w:val="19"/>
              </w:rPr>
              <w:t>Microsoft 365</w:t>
            </w:r>
          </w:p>
        </w:tc>
        <w:tc>
          <w:tcPr>
            <w:tcW w:type="dxa" w:w="4968"/>
            <w:vAlign w:val="center"/>
          </w:tcPr>
          <w:p>
            <w:r/>
            <w:r>
              <w:rPr>
                <w:rFonts w:ascii="Aptos" w:hAnsi="Aptos"/>
                <w:b w:val="0"/>
                <w:sz w:val="19"/>
              </w:rPr>
              <w:t>M365</w:t>
            </w:r>
          </w:p>
        </w:tc>
      </w:tr>
      <w:tr>
        <w:tc>
          <w:tcPr>
            <w:tcW w:type="dxa" w:w="4968"/>
            <w:vAlign w:val="center"/>
          </w:tcPr>
          <w:p>
            <w:r/>
            <w:r>
              <w:rPr>
                <w:rFonts w:ascii="Aptos" w:hAnsi="Aptos"/>
                <w:b w:val="0"/>
                <w:sz w:val="19"/>
              </w:rPr>
              <w:t>Common / application-independent</w:t>
            </w:r>
          </w:p>
        </w:tc>
        <w:tc>
          <w:tcPr>
            <w:tcW w:type="dxa" w:w="4968"/>
            <w:vAlign w:val="center"/>
          </w:tcPr>
          <w:p>
            <w:r/>
            <w:r>
              <w:rPr>
                <w:rFonts w:ascii="Aptos" w:hAnsi="Aptos"/>
                <w:b w:val="0"/>
                <w:sz w:val="19"/>
              </w:rPr>
              <w:t>COMMON</w:t>
            </w:r>
          </w:p>
        </w:tc>
      </w:tr>
    </w:tbl>
    <w:p>
      <w:pPr>
        <w:pStyle w:val="Heading1"/>
      </w:pPr>
      <w:r>
        <w:t>5. Recommended Folder Structure</w:t>
      </w:r>
    </w:p>
    <w:p>
      <w:r>
        <w:t>Folders should primarily organize automations by business area, application, and process—not by bot type alone. This keeps all components of a business automation together.</w:t>
      </w:r>
    </w:p>
    <w:p>
      <w:pPr>
        <w:spacing w:after="0"/>
      </w:pPr>
      <w:r>
        <w:rPr>
          <w:rFonts w:ascii="Consolas" w:hAnsi="Consolas"/>
          <w:sz w:val="18"/>
        </w:rPr>
        <w:t>RPA/</w:t>
      </w:r>
    </w:p>
    <w:p>
      <w:pPr>
        <w:spacing w:after="0"/>
      </w:pPr>
      <w:r>
        <w:rPr>
          <w:rFonts w:ascii="Consolas" w:hAnsi="Consolas"/>
          <w:sz w:val="18"/>
        </w:rPr>
        <w:t>├── COMMON/</w:t>
      </w:r>
    </w:p>
    <w:p>
      <w:pPr>
        <w:spacing w:after="0"/>
      </w:pPr>
      <w:r>
        <w:rPr>
          <w:rFonts w:ascii="Consolas" w:hAnsi="Consolas"/>
          <w:sz w:val="18"/>
        </w:rPr>
        <w:t>│   ├── Utilities/</w:t>
      </w:r>
    </w:p>
    <w:p>
      <w:pPr>
        <w:spacing w:after="0"/>
      </w:pPr>
      <w:r>
        <w:rPr>
          <w:rFonts w:ascii="Consolas" w:hAnsi="Consolas"/>
          <w:sz w:val="18"/>
        </w:rPr>
        <w:t>│   ├── Logging/</w:t>
      </w:r>
    </w:p>
    <w:p>
      <w:pPr>
        <w:spacing w:after="0"/>
      </w:pPr>
      <w:r>
        <w:rPr>
          <w:rFonts w:ascii="Consolas" w:hAnsi="Consolas"/>
          <w:sz w:val="18"/>
        </w:rPr>
        <w:t>│   ├── Notifications/</w:t>
      </w:r>
    </w:p>
    <w:p>
      <w:pPr>
        <w:spacing w:after="0"/>
      </w:pPr>
      <w:r>
        <w:rPr>
          <w:rFonts w:ascii="Consolas" w:hAnsi="Consolas"/>
          <w:sz w:val="18"/>
        </w:rPr>
        <w:t>│   └── ErrorHandling/</w:t>
      </w:r>
    </w:p>
    <w:p>
      <w:pPr>
        <w:spacing w:after="0"/>
      </w:pPr>
      <w:r>
        <w:rPr>
          <w:rFonts w:ascii="Consolas" w:hAnsi="Consolas"/>
          <w:sz w:val="18"/>
        </w:rPr>
        <w:t>├── HR/</w:t>
      </w:r>
    </w:p>
    <w:p>
      <w:pPr>
        <w:spacing w:after="0"/>
      </w:pPr>
      <w:r>
        <w:rPr>
          <w:rFonts w:ascii="Consolas" w:hAnsi="Consolas"/>
          <w:sz w:val="18"/>
        </w:rPr>
        <w:t>│   ├── PeopleSoft/</w:t>
      </w:r>
    </w:p>
    <w:p>
      <w:pPr>
        <w:spacing w:after="0"/>
      </w:pPr>
      <w:r>
        <w:rPr>
          <w:rFonts w:ascii="Consolas" w:hAnsi="Consolas"/>
          <w:sz w:val="18"/>
        </w:rPr>
        <w:t>│   │   ├── Payroll/</w:t>
      </w:r>
    </w:p>
    <w:p>
      <w:pPr>
        <w:spacing w:after="0"/>
      </w:pPr>
      <w:r>
        <w:rPr>
          <w:rFonts w:ascii="Consolas" w:hAnsi="Consolas"/>
          <w:sz w:val="18"/>
        </w:rPr>
        <w:t>│   │   │   ├── MAIN/</w:t>
      </w:r>
    </w:p>
    <w:p>
      <w:pPr>
        <w:spacing w:after="0"/>
      </w:pPr>
      <w:r>
        <w:rPr>
          <w:rFonts w:ascii="Consolas" w:hAnsi="Consolas"/>
          <w:sz w:val="18"/>
        </w:rPr>
        <w:t>│   │   │   └── SUB/</w:t>
      </w:r>
    </w:p>
    <w:p>
      <w:pPr>
        <w:spacing w:after="0"/>
      </w:pPr>
      <w:r>
        <w:rPr>
          <w:rFonts w:ascii="Consolas" w:hAnsi="Consolas"/>
          <w:sz w:val="18"/>
        </w:rPr>
        <w:t>│   │   └── Employee/</w:t>
      </w:r>
    </w:p>
    <w:p>
      <w:pPr>
        <w:spacing w:after="0"/>
      </w:pPr>
      <w:r>
        <w:rPr>
          <w:rFonts w:ascii="Consolas" w:hAnsi="Consolas"/>
          <w:sz w:val="18"/>
        </w:rPr>
        <w:t>│   └── OnBase/</w:t>
      </w:r>
    </w:p>
    <w:p>
      <w:pPr>
        <w:spacing w:after="0"/>
      </w:pPr>
      <w:r>
        <w:rPr>
          <w:rFonts w:ascii="Consolas" w:hAnsi="Consolas"/>
          <w:sz w:val="18"/>
        </w:rPr>
        <w:t>├── FINANCE/</w:t>
      </w:r>
    </w:p>
    <w:p>
      <w:pPr>
        <w:spacing w:after="0"/>
      </w:pPr>
      <w:r>
        <w:rPr>
          <w:rFonts w:ascii="Consolas" w:hAnsi="Consolas"/>
          <w:sz w:val="18"/>
        </w:rPr>
        <w:t>│   ├── PeopleSoft/</w:t>
      </w:r>
    </w:p>
    <w:p>
      <w:pPr>
        <w:spacing w:after="0"/>
      </w:pPr>
      <w:r>
        <w:rPr>
          <w:rFonts w:ascii="Consolas" w:hAnsi="Consolas"/>
          <w:sz w:val="18"/>
        </w:rPr>
        <w:t>│   └── Box/</w:t>
      </w:r>
    </w:p>
    <w:p>
      <w:pPr>
        <w:spacing w:after="0"/>
      </w:pPr>
      <w:r>
        <w:rPr>
          <w:rFonts w:ascii="Consolas" w:hAnsi="Consolas"/>
          <w:sz w:val="18"/>
        </w:rPr>
        <w:t>├── IT/</w:t>
      </w:r>
    </w:p>
    <w:p>
      <w:pPr>
        <w:spacing w:after="0"/>
      </w:pPr>
      <w:r>
        <w:rPr>
          <w:rFonts w:ascii="Consolas" w:hAnsi="Consolas"/>
          <w:sz w:val="18"/>
        </w:rPr>
        <w:t>│   ├── ActiveDirectory/</w:t>
      </w:r>
    </w:p>
    <w:p>
      <w:pPr>
        <w:spacing w:after="0"/>
      </w:pPr>
      <w:r>
        <w:rPr>
          <w:rFonts w:ascii="Consolas" w:hAnsi="Consolas"/>
          <w:sz w:val="18"/>
        </w:rPr>
        <w:t>│   ├── OnBase/</w:t>
      </w:r>
    </w:p>
    <w:p>
      <w:pPr>
        <w:spacing w:after="0"/>
      </w:pPr>
      <w:r>
        <w:rPr>
          <w:rFonts w:ascii="Consolas" w:hAnsi="Consolas"/>
          <w:sz w:val="18"/>
        </w:rPr>
        <w:t>│   └── Infrastructure/</w:t>
      </w:r>
    </w:p>
    <w:p>
      <w:pPr>
        <w:spacing w:after="0"/>
      </w:pPr>
      <w:r>
        <w:rPr>
          <w:rFonts w:ascii="Consolas" w:hAnsi="Consolas"/>
          <w:sz w:val="18"/>
        </w:rPr>
        <w:t>├── DEVELOPMENT/</w:t>
      </w:r>
    </w:p>
    <w:p>
      <w:pPr>
        <w:spacing w:after="0"/>
      </w:pPr>
      <w:r>
        <w:rPr>
          <w:rFonts w:ascii="Consolas" w:hAnsi="Consolas"/>
          <w:sz w:val="18"/>
        </w:rPr>
        <w:t>└── ARCHIVE/</w:t>
      </w:r>
    </w:p>
    <w:p>
      <w:r>
        <w:t>Avoid a top-level structure containing only Main, Utilities, Sub Bots, Error Bots, etc. That model separates related components and becomes harder to navigate as the bot population grows.</w:t>
      </w:r>
    </w:p>
    <w:p>
      <w:pPr>
        <w:pStyle w:val="Heading1"/>
      </w:pPr>
      <w:r>
        <w:t>6. Development, Production, and Archive Management</w:t>
      </w:r>
    </w:p>
    <w:p>
      <w:pPr>
        <w:pStyle w:val="ListBullet"/>
        <w:spacing w:after="40"/>
      </w:pPr>
      <w:r>
        <w:t>Avoid embedding DEV, TEST, PROD, dates, or deployment versions in bot names unless there is a specific governance requirement.</w:t>
      </w:r>
    </w:p>
    <w:p>
      <w:pPr>
        <w:pStyle w:val="ListBullet"/>
        <w:spacing w:after="40"/>
      </w:pPr>
      <w:r>
        <w:t>Use Control Room folders, permissions, deployment processes, and versioning to distinguish lifecycle stages.</w:t>
      </w:r>
    </w:p>
    <w:p>
      <w:pPr>
        <w:pStyle w:val="ListBullet"/>
        <w:spacing w:after="40"/>
      </w:pPr>
      <w:r>
        <w:t>Retain a dedicated ARCHIVE area for retired or replaced automations.</w:t>
      </w:r>
    </w:p>
    <w:p>
      <w:pPr>
        <w:pStyle w:val="ListBullet"/>
        <w:spacing w:after="40"/>
      </w:pPr>
      <w:r>
        <w:t>Use DEVELOPMENT/TEST areas for work in progress rather than adding status suffixes to production bot names.</w:t>
      </w:r>
    </w:p>
    <w:p>
      <w:pPr>
        <w:pStyle w:val="Heading1"/>
      </w:pPr>
      <w:r>
        <w:t>7. Naming Rules</w:t>
      </w:r>
    </w:p>
    <w:p>
      <w:pPr>
        <w:pStyle w:val="ListNumber"/>
        <w:spacing w:after="40"/>
      </w:pPr>
      <w:r>
        <w:t>Use &lt;TYPE&gt;_&lt;APPLICATION&gt;_&lt;PROCESS&gt;_&lt;FUNCTION&gt;.</w:t>
      </w:r>
    </w:p>
    <w:p>
      <w:pPr>
        <w:pStyle w:val="ListNumber"/>
        <w:spacing w:after="40"/>
      </w:pPr>
      <w:r>
        <w:t>Use PascalCase for descriptive portions of the name.</w:t>
      </w:r>
    </w:p>
    <w:p>
      <w:pPr>
        <w:pStyle w:val="ListNumber"/>
        <w:spacing w:after="40"/>
      </w:pPr>
      <w:r>
        <w:t>Do not use spaces.</w:t>
      </w:r>
    </w:p>
    <w:p>
      <w:pPr>
        <w:pStyle w:val="ListNumber"/>
        <w:spacing w:after="40"/>
      </w:pPr>
      <w:r>
        <w:t>Use standardized application abbreviations.</w:t>
      </w:r>
    </w:p>
    <w:p>
      <w:pPr>
        <w:pStyle w:val="ListNumber"/>
        <w:spacing w:after="40"/>
      </w:pPr>
      <w:r>
        <w:t>Do not include dates in bot names.</w:t>
      </w:r>
    </w:p>
    <w:p>
      <w:pPr>
        <w:pStyle w:val="ListNumber"/>
        <w:spacing w:after="40"/>
      </w:pPr>
      <w:r>
        <w:t>Avoid unnecessary version numbers when Control Room versioning can provide that information.</w:t>
      </w:r>
    </w:p>
    <w:p>
      <w:pPr>
        <w:pStyle w:val="ListNumber"/>
        <w:spacing w:after="40"/>
      </w:pPr>
      <w:r>
        <w:t>Do not duplicate folder information unnecessarily in the bot name.</w:t>
      </w:r>
    </w:p>
    <w:p>
      <w:pPr>
        <w:pStyle w:val="ListNumber"/>
        <w:spacing w:after="40"/>
      </w:pPr>
      <w:r>
        <w:t>Keep names descriptive without making them excessively long.</w:t>
      </w:r>
    </w:p>
    <w:p>
      <w:pPr>
        <w:pStyle w:val="Heading1"/>
      </w:pPr>
      <w:r>
        <w:t>8. Bot Inventory / Registry</w:t>
      </w:r>
    </w:p>
    <w:p>
      <w:r>
        <w:t>For enterprise governance, maintain a separate Bot Inventory rather than putting all metadata into the bot name.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rFonts w:ascii="Aptos" w:hAnsi="Aptos"/>
                <w:b/>
                <w:sz w:val="19"/>
              </w:rPr>
              <w:t>Metadata</w:t>
            </w:r>
          </w:p>
        </w:tc>
        <w:tc>
          <w:tcPr>
            <w:tcW w:type="dxa" w:w="3312"/>
            <w:vAlign w:val="center"/>
            <w:shd w:fill="D9E2F3"/>
          </w:tcPr>
          <w:p>
            <w:r/>
            <w:r>
              <w:rPr>
                <w:rFonts w:ascii="Aptos" w:hAnsi="Aptos"/>
                <w:b/>
                <w:sz w:val="19"/>
              </w:rPr>
              <w:t>Purpose</w:t>
            </w:r>
          </w:p>
        </w:tc>
        <w:tc>
          <w:tcPr>
            <w:tcW w:type="dxa" w:w="3312"/>
            <w:vAlign w:val="center"/>
            <w:shd w:fill="D9E2F3"/>
          </w:tcPr>
          <w:p>
            <w:r/>
            <w:r>
              <w:rPr>
                <w:rFonts w:ascii="Aptos" w:hAnsi="Aptos"/>
                <w:b/>
                <w:sz w:val="19"/>
              </w:rPr>
              <w:t>Example</w:t>
            </w:r>
          </w:p>
        </w:tc>
      </w:tr>
      <w:tr>
        <w:tc>
          <w:tcPr>
            <w:tcW w:type="dxa" w:w="3312"/>
            <w:vAlign w:val="center"/>
          </w:tcPr>
          <w:p>
            <w:r/>
            <w:r>
              <w:rPr>
                <w:rFonts w:ascii="Aptos" w:hAnsi="Aptos"/>
                <w:b w:val="0"/>
                <w:sz w:val="19"/>
              </w:rPr>
              <w:t>Bot ID</w:t>
            </w:r>
          </w:p>
        </w:tc>
        <w:tc>
          <w:tcPr>
            <w:tcW w:type="dxa" w:w="3312"/>
            <w:vAlign w:val="center"/>
          </w:tcPr>
          <w:p>
            <w:r/>
            <w:r>
              <w:rPr>
                <w:rFonts w:ascii="Aptos" w:hAnsi="Aptos"/>
                <w:b w:val="0"/>
                <w:sz w:val="19"/>
              </w:rPr>
              <w:t>Unique identifier</w:t>
            </w:r>
          </w:p>
        </w:tc>
        <w:tc>
          <w:tcPr>
            <w:tcW w:type="dxa" w:w="3312"/>
            <w:vAlign w:val="center"/>
          </w:tcPr>
          <w:p>
            <w:r/>
            <w:r>
              <w:rPr>
                <w:rFonts w:ascii="Aptos" w:hAnsi="Aptos"/>
                <w:b w:val="0"/>
                <w:sz w:val="19"/>
              </w:rPr>
              <w:t>RPA-001</w:t>
            </w:r>
          </w:p>
        </w:tc>
      </w:tr>
      <w:tr>
        <w:tc>
          <w:tcPr>
            <w:tcW w:type="dxa" w:w="3312"/>
            <w:vAlign w:val="center"/>
          </w:tcPr>
          <w:p>
            <w:r/>
            <w:r>
              <w:rPr>
                <w:rFonts w:ascii="Aptos" w:hAnsi="Aptos"/>
                <w:b w:val="0"/>
                <w:sz w:val="19"/>
              </w:rPr>
              <w:t>Bot Name</w:t>
            </w:r>
          </w:p>
        </w:tc>
        <w:tc>
          <w:tcPr>
            <w:tcW w:type="dxa" w:w="3312"/>
            <w:vAlign w:val="center"/>
          </w:tcPr>
          <w:p>
            <w:r/>
            <w:r>
              <w:rPr>
                <w:rFonts w:ascii="Aptos" w:hAnsi="Aptos"/>
                <w:b w:val="0"/>
                <w:sz w:val="19"/>
              </w:rPr>
              <w:t>Standardized A360 name</w:t>
            </w:r>
          </w:p>
        </w:tc>
        <w:tc>
          <w:tcPr>
            <w:tcW w:type="dxa" w:w="3312"/>
            <w:vAlign w:val="center"/>
          </w:tcPr>
          <w:p>
            <w:r/>
            <w:r>
              <w:rPr>
                <w:rFonts w:ascii="Aptos" w:hAnsi="Aptos"/>
                <w:b w:val="0"/>
                <w:sz w:val="19"/>
              </w:rPr>
              <w:t>MAIN_PS_Payroll_ProcessMonthlyPayroll</w:t>
            </w:r>
          </w:p>
        </w:tc>
      </w:tr>
      <w:tr>
        <w:tc>
          <w:tcPr>
            <w:tcW w:type="dxa" w:w="3312"/>
            <w:vAlign w:val="center"/>
          </w:tcPr>
          <w:p>
            <w:r/>
            <w:r>
              <w:rPr>
                <w:rFonts w:ascii="Aptos" w:hAnsi="Aptos"/>
                <w:b w:val="0"/>
                <w:sz w:val="19"/>
              </w:rPr>
              <w:t>Business Area</w:t>
            </w:r>
          </w:p>
        </w:tc>
        <w:tc>
          <w:tcPr>
            <w:tcW w:type="dxa" w:w="3312"/>
            <w:vAlign w:val="center"/>
          </w:tcPr>
          <w:p>
            <w:r/>
            <w:r>
              <w:rPr>
                <w:rFonts w:ascii="Aptos" w:hAnsi="Aptos"/>
                <w:b w:val="0"/>
                <w:sz w:val="19"/>
              </w:rPr>
              <w:t>Organizational ownership</w:t>
            </w:r>
          </w:p>
        </w:tc>
        <w:tc>
          <w:tcPr>
            <w:tcW w:type="dxa" w:w="3312"/>
            <w:vAlign w:val="center"/>
          </w:tcPr>
          <w:p>
            <w:r/>
            <w:r>
              <w:rPr>
                <w:rFonts w:ascii="Aptos" w:hAnsi="Aptos"/>
                <w:b w:val="0"/>
                <w:sz w:val="19"/>
              </w:rPr>
              <w:t>HR</w:t>
            </w:r>
          </w:p>
        </w:tc>
      </w:tr>
      <w:tr>
        <w:tc>
          <w:tcPr>
            <w:tcW w:type="dxa" w:w="3312"/>
            <w:vAlign w:val="center"/>
          </w:tcPr>
          <w:p>
            <w:r/>
            <w:r>
              <w:rPr>
                <w:rFonts w:ascii="Aptos" w:hAnsi="Aptos"/>
                <w:b w:val="0"/>
                <w:sz w:val="19"/>
              </w:rPr>
              <w:t>Application</w:t>
            </w:r>
          </w:p>
        </w:tc>
        <w:tc>
          <w:tcPr>
            <w:tcW w:type="dxa" w:w="3312"/>
            <w:vAlign w:val="center"/>
          </w:tcPr>
          <w:p>
            <w:r/>
            <w:r>
              <w:rPr>
                <w:rFonts w:ascii="Aptos" w:hAnsi="Aptos"/>
                <w:b w:val="0"/>
                <w:sz w:val="19"/>
              </w:rPr>
              <w:t>Primary application</w:t>
            </w:r>
          </w:p>
        </w:tc>
        <w:tc>
          <w:tcPr>
            <w:tcW w:type="dxa" w:w="3312"/>
            <w:vAlign w:val="center"/>
          </w:tcPr>
          <w:p>
            <w:r/>
            <w:r>
              <w:rPr>
                <w:rFonts w:ascii="Aptos" w:hAnsi="Aptos"/>
                <w:b w:val="0"/>
                <w:sz w:val="19"/>
              </w:rPr>
              <w:t>PeopleSoft</w:t>
            </w:r>
          </w:p>
        </w:tc>
      </w:tr>
      <w:tr>
        <w:tc>
          <w:tcPr>
            <w:tcW w:type="dxa" w:w="3312"/>
            <w:vAlign w:val="center"/>
          </w:tcPr>
          <w:p>
            <w:r/>
            <w:r>
              <w:rPr>
                <w:rFonts w:ascii="Aptos" w:hAnsi="Aptos"/>
                <w:b w:val="0"/>
                <w:sz w:val="19"/>
              </w:rPr>
              <w:t>Process</w:t>
            </w:r>
          </w:p>
        </w:tc>
        <w:tc>
          <w:tcPr>
            <w:tcW w:type="dxa" w:w="3312"/>
            <w:vAlign w:val="center"/>
          </w:tcPr>
          <w:p>
            <w:r/>
            <w:r>
              <w:rPr>
                <w:rFonts w:ascii="Aptos" w:hAnsi="Aptos"/>
                <w:b w:val="0"/>
                <w:sz w:val="19"/>
              </w:rPr>
              <w:t>Business process</w:t>
            </w:r>
          </w:p>
        </w:tc>
        <w:tc>
          <w:tcPr>
            <w:tcW w:type="dxa" w:w="3312"/>
            <w:vAlign w:val="center"/>
          </w:tcPr>
          <w:p>
            <w:r/>
            <w:r>
              <w:rPr>
                <w:rFonts w:ascii="Aptos" w:hAnsi="Aptos"/>
                <w:b w:val="0"/>
                <w:sz w:val="19"/>
              </w:rPr>
              <w:t>Payroll</w:t>
            </w:r>
          </w:p>
        </w:tc>
      </w:tr>
      <w:tr>
        <w:tc>
          <w:tcPr>
            <w:tcW w:type="dxa" w:w="3312"/>
            <w:vAlign w:val="center"/>
          </w:tcPr>
          <w:p>
            <w:r/>
            <w:r>
              <w:rPr>
                <w:rFonts w:ascii="Aptos" w:hAnsi="Aptos"/>
                <w:b w:val="0"/>
                <w:sz w:val="19"/>
              </w:rPr>
              <w:t>Bot Type</w:t>
            </w:r>
          </w:p>
        </w:tc>
        <w:tc>
          <w:tcPr>
            <w:tcW w:type="dxa" w:w="3312"/>
            <w:vAlign w:val="center"/>
          </w:tcPr>
          <w:p>
            <w:r/>
            <w:r>
              <w:rPr>
                <w:rFonts w:ascii="Aptos" w:hAnsi="Aptos"/>
                <w:b w:val="0"/>
                <w:sz w:val="19"/>
              </w:rPr>
              <w:t>MAIN / SUB / UTIL etc.</w:t>
            </w:r>
          </w:p>
        </w:tc>
        <w:tc>
          <w:tcPr>
            <w:tcW w:type="dxa" w:w="3312"/>
            <w:vAlign w:val="center"/>
          </w:tcPr>
          <w:p>
            <w:r/>
            <w:r>
              <w:rPr>
                <w:rFonts w:ascii="Aptos" w:hAnsi="Aptos"/>
                <w:b w:val="0"/>
                <w:sz w:val="19"/>
              </w:rPr>
              <w:t>MAIN</w:t>
            </w:r>
          </w:p>
        </w:tc>
      </w:tr>
      <w:tr>
        <w:tc>
          <w:tcPr>
            <w:tcW w:type="dxa" w:w="3312"/>
            <w:vAlign w:val="center"/>
          </w:tcPr>
          <w:p>
            <w:r/>
            <w:r>
              <w:rPr>
                <w:rFonts w:ascii="Aptos" w:hAnsi="Aptos"/>
                <w:b w:val="0"/>
                <w:sz w:val="19"/>
              </w:rPr>
              <w:t>Business Owner</w:t>
            </w:r>
          </w:p>
        </w:tc>
        <w:tc>
          <w:tcPr>
            <w:tcW w:type="dxa" w:w="3312"/>
            <w:vAlign w:val="center"/>
          </w:tcPr>
          <w:p>
            <w:r/>
            <w:r>
              <w:rPr>
                <w:rFonts w:ascii="Aptos" w:hAnsi="Aptos"/>
                <w:b w:val="0"/>
                <w:sz w:val="19"/>
              </w:rPr>
              <w:t>Process accountability</w:t>
            </w:r>
          </w:p>
        </w:tc>
        <w:tc>
          <w:tcPr>
            <w:tcW w:type="dxa" w:w="3312"/>
            <w:vAlign w:val="center"/>
          </w:tcPr>
          <w:p>
            <w:r/>
            <w:r>
              <w:rPr>
                <w:rFonts w:ascii="Aptos" w:hAnsi="Aptos"/>
                <w:b w:val="0"/>
                <w:sz w:val="19"/>
              </w:rPr>
              <w:t>HR Payroll</w:t>
            </w:r>
          </w:p>
        </w:tc>
      </w:tr>
      <w:tr>
        <w:tc>
          <w:tcPr>
            <w:tcW w:type="dxa" w:w="3312"/>
            <w:vAlign w:val="center"/>
          </w:tcPr>
          <w:p>
            <w:r/>
            <w:r>
              <w:rPr>
                <w:rFonts w:ascii="Aptos" w:hAnsi="Aptos"/>
                <w:b w:val="0"/>
                <w:sz w:val="19"/>
              </w:rPr>
              <w:t>Technical Owner</w:t>
            </w:r>
          </w:p>
        </w:tc>
        <w:tc>
          <w:tcPr>
            <w:tcW w:type="dxa" w:w="3312"/>
            <w:vAlign w:val="center"/>
          </w:tcPr>
          <w:p>
            <w:r/>
            <w:r>
              <w:rPr>
                <w:rFonts w:ascii="Aptos" w:hAnsi="Aptos"/>
                <w:b w:val="0"/>
                <w:sz w:val="19"/>
              </w:rPr>
              <w:t>RPA support responsibility</w:t>
            </w:r>
          </w:p>
        </w:tc>
        <w:tc>
          <w:tcPr>
            <w:tcW w:type="dxa" w:w="3312"/>
            <w:vAlign w:val="center"/>
          </w:tcPr>
          <w:p>
            <w:r/>
            <w:r>
              <w:rPr>
                <w:rFonts w:ascii="Aptos" w:hAnsi="Aptos"/>
                <w:b w:val="0"/>
                <w:sz w:val="19"/>
              </w:rPr>
              <w:t>RPA Team</w:t>
            </w:r>
          </w:p>
        </w:tc>
      </w:tr>
      <w:tr>
        <w:tc>
          <w:tcPr>
            <w:tcW w:type="dxa" w:w="3312"/>
            <w:vAlign w:val="center"/>
          </w:tcPr>
          <w:p>
            <w:r/>
            <w:r>
              <w:rPr>
                <w:rFonts w:ascii="Aptos" w:hAnsi="Aptos"/>
                <w:b w:val="0"/>
                <w:sz w:val="19"/>
              </w:rPr>
              <w:t>Criticality</w:t>
            </w:r>
          </w:p>
        </w:tc>
        <w:tc>
          <w:tcPr>
            <w:tcW w:type="dxa" w:w="3312"/>
            <w:vAlign w:val="center"/>
          </w:tcPr>
          <w:p>
            <w:r/>
            <w:r>
              <w:rPr>
                <w:rFonts w:ascii="Aptos" w:hAnsi="Aptos"/>
                <w:b w:val="0"/>
                <w:sz w:val="19"/>
              </w:rPr>
              <w:t>Operational impact</w:t>
            </w:r>
          </w:p>
        </w:tc>
        <w:tc>
          <w:tcPr>
            <w:tcW w:type="dxa" w:w="3312"/>
            <w:vAlign w:val="center"/>
          </w:tcPr>
          <w:p>
            <w:r/>
            <w:r>
              <w:rPr>
                <w:rFonts w:ascii="Aptos" w:hAnsi="Aptos"/>
                <w:b w:val="0"/>
                <w:sz w:val="19"/>
              </w:rPr>
              <w:t>High</w:t>
            </w:r>
          </w:p>
        </w:tc>
      </w:tr>
      <w:tr>
        <w:tc>
          <w:tcPr>
            <w:tcW w:type="dxa" w:w="3312"/>
            <w:vAlign w:val="center"/>
          </w:tcPr>
          <w:p>
            <w:r/>
            <w:r>
              <w:rPr>
                <w:rFonts w:ascii="Aptos" w:hAnsi="Aptos"/>
                <w:b w:val="0"/>
                <w:sz w:val="19"/>
              </w:rPr>
              <w:t>Schedule</w:t>
            </w:r>
          </w:p>
        </w:tc>
        <w:tc>
          <w:tcPr>
            <w:tcW w:type="dxa" w:w="3312"/>
            <w:vAlign w:val="center"/>
          </w:tcPr>
          <w:p>
            <w:r/>
            <w:r>
              <w:rPr>
                <w:rFonts w:ascii="Aptos" w:hAnsi="Aptos"/>
                <w:b w:val="0"/>
                <w:sz w:val="19"/>
              </w:rPr>
              <w:t>Execution schedule</w:t>
            </w:r>
          </w:p>
        </w:tc>
        <w:tc>
          <w:tcPr>
            <w:tcW w:type="dxa" w:w="3312"/>
            <w:vAlign w:val="center"/>
          </w:tcPr>
          <w:p>
            <w:r/>
            <w:r>
              <w:rPr>
                <w:rFonts w:ascii="Aptos" w:hAnsi="Aptos"/>
                <w:b w:val="0"/>
                <w:sz w:val="19"/>
              </w:rPr>
              <w:t>Monthly</w:t>
            </w:r>
          </w:p>
        </w:tc>
      </w:tr>
      <w:tr>
        <w:tc>
          <w:tcPr>
            <w:tcW w:type="dxa" w:w="3312"/>
            <w:vAlign w:val="center"/>
          </w:tcPr>
          <w:p>
            <w:r/>
            <w:r>
              <w:rPr>
                <w:rFonts w:ascii="Aptos" w:hAnsi="Aptos"/>
                <w:b w:val="0"/>
                <w:sz w:val="19"/>
              </w:rPr>
              <w:t>Dependencies</w:t>
            </w:r>
          </w:p>
        </w:tc>
        <w:tc>
          <w:tcPr>
            <w:tcW w:type="dxa" w:w="3312"/>
            <w:vAlign w:val="center"/>
          </w:tcPr>
          <w:p>
            <w:r/>
            <w:r>
              <w:rPr>
                <w:rFonts w:ascii="Aptos" w:hAnsi="Aptos"/>
                <w:b w:val="0"/>
                <w:sz w:val="19"/>
              </w:rPr>
              <w:t>Systems, child bots, utilities</w:t>
            </w:r>
          </w:p>
        </w:tc>
        <w:tc>
          <w:tcPr>
            <w:tcW w:type="dxa" w:w="3312"/>
            <w:vAlign w:val="center"/>
          </w:tcPr>
          <w:p>
            <w:r/>
            <w:r>
              <w:rPr>
                <w:rFonts w:ascii="Aptos" w:hAnsi="Aptos"/>
                <w:b w:val="0"/>
                <w:sz w:val="19"/>
              </w:rPr>
              <w:t>PeopleSoft, UTIL_COMMON_*</w:t>
            </w:r>
          </w:p>
        </w:tc>
      </w:tr>
      <w:tr>
        <w:tc>
          <w:tcPr>
            <w:tcW w:type="dxa" w:w="3312"/>
            <w:vAlign w:val="center"/>
          </w:tcPr>
          <w:p>
            <w:r/>
            <w:r>
              <w:rPr>
                <w:rFonts w:ascii="Aptos" w:hAnsi="Aptos"/>
                <w:b w:val="0"/>
                <w:sz w:val="19"/>
              </w:rPr>
              <w:t>Production Status</w:t>
            </w:r>
          </w:p>
        </w:tc>
        <w:tc>
          <w:tcPr>
            <w:tcW w:type="dxa" w:w="3312"/>
            <w:vAlign w:val="center"/>
          </w:tcPr>
          <w:p>
            <w:r/>
            <w:r>
              <w:rPr>
                <w:rFonts w:ascii="Aptos" w:hAnsi="Aptos"/>
                <w:b w:val="0"/>
                <w:sz w:val="19"/>
              </w:rPr>
              <w:t>Lifecycle status</w:t>
            </w:r>
          </w:p>
        </w:tc>
        <w:tc>
          <w:tcPr>
            <w:tcW w:type="dxa" w:w="3312"/>
            <w:vAlign w:val="center"/>
          </w:tcPr>
          <w:p>
            <w:r/>
            <w:r>
              <w:rPr>
                <w:rFonts w:ascii="Aptos" w:hAnsi="Aptos"/>
                <w:b w:val="0"/>
                <w:sz w:val="19"/>
              </w:rPr>
              <w:t>Production</w:t>
            </w:r>
          </w:p>
        </w:tc>
      </w:tr>
    </w:tbl>
    <w:p>
      <w:pPr>
        <w:pStyle w:val="Heading1"/>
      </w:pPr>
      <w:r>
        <w:t>9. Recommended Standard</w:t>
      </w:r>
    </w:p>
    <w:p>
      <w:r>
        <w:rPr>
          <w:b/>
        </w:rPr>
        <w:t xml:space="preserve">Bot naming: </w:t>
      </w:r>
      <w:r>
        <w:t>&lt;TYPE&gt;_&lt;APPLICATION&gt;_&lt;PROCESS&gt;_&lt;FUNCTION&gt;</w:t>
      </w:r>
    </w:p>
    <w:p>
      <w:r>
        <w:rPr>
          <w:b/>
        </w:rPr>
        <w:t xml:space="preserve">Folder organization: </w:t>
      </w:r>
      <w:r>
        <w:t>Business Area → Application → Process → Bot components</w:t>
      </w:r>
    </w:p>
    <w:p>
      <w:r>
        <w:rPr>
          <w:b/>
        </w:rPr>
        <w:t xml:space="preserve">Governance: </w:t>
      </w:r>
      <w:r>
        <w:t>Maintain a centralized Bot Inventory / Registry with ownership, dependencies, criticality, schedule, and lifecycle information.</w:t>
      </w:r>
    </w:p>
    <w:p>
      <w:r>
        <w:t>Key principle: the folder answers “Where does this automation belong?” while the bot prefix answers “What role does this bot play?”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Automation Anywhere A360 – Task Bot Naming &amp; Folder Management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