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BB LTW 2014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Statistische Bibliothek, abgerufen über 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https://download.statistik-berlin-brandenburg.de/76190756da641477/bbef1dae9512/BB_LT_2014_Aemter_Endg_Ergebnis.xlsx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Informationen zur Briefwahl: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Bei amtsangehörigen Gemeinden ist Briefwahlergebnis im Ergebnis des jeweiligen Amtes enthalten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Ergebnisse in Tabs nach amtsfreien/ amtsangehörigen Gemeinden aufgeteilt.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wnload.statistik-berlin-brandenburg.de/76190756da641477/bbef1dae9512/BB_LT_2014_Aemter_Endg_Ergebnis.xls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zGcbe+8PBeThFOUEbsRv93Lb1g==">CgMxLjA4AHIhMWt4RWhBdzNiaTNMVHZ0cUpRcEkzSHNqRzBZQzB2bXhO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2025-01-27T14:13:00Z</dcterms:created>
  <dc:creator>Daniela Franziska Gaus</dc:creator>
</cp:coreProperties>
</file>