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NW LTW 1947-1975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Vom Statistischen Landesamt NRW zugeschickt bekommen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Nur als PDF verfügbar.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Kein Hinweis im Datensatz. Habe beim statistischen Landesamt nachgefragt und folgende Antwort erhalten: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“Die Briefwahlstimmen werden den Wählerinnen und Wählern insgesamt bzw. den gültigen und ungültigen Stimmen zugerechnet. Eine Unterscheidung zwischen Briefwahl- und Urnenwahlstimmen wird hier nicht vorgenommen.”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0Pk4HIxb+3y6enOTXMCruHpcdA==">CgMxLjA4AHIhMV9zaG9WeG1OVWlMRzd1aldMbVBUdnNndVJVdDVTVHJl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2025-03-19T12:44:00Z</dcterms:created>
  <dc:creator>Daniela Franziska Gaus</dc:creator>
</cp:coreProperties>
</file>