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HE LTW 1946-2018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Hessen, auf Anfrage zugeschickt bekommen: Link zu ZIP Ordner: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https://hessendrive.hessen.de/public/download-shares/txubFT9EzCQmVvQGWnCQJw9pwGQnQNoB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Grundsätzlich ist es so, dass eine Differenzierung zwischen Urnen- und Briefwahlergebnissen nur durch die Auswertung der Wahlbezirksstatistik möglich ist.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Die Landtagswahlergebnisse aus Hessen können wir Ihnen ebenfalls seit 1946 zukommen lassen. Auch in diesem Fall ist eine Differenzierung zwischen Urnen- und Briefwahlergebnissen nur auf Ebene der Wahlbezirke möglich. Die entsprechende Wahlbezirksstatistik liegt uns für alle Landtagswahlen seit 1982 vor.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→ 2 Datensätze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1946- 2018 auf Gemeindeebene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1982-2018 auf Wahlbezirksebene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ref-web.de/mail/client/wHPuMChlTv8/dereferrer/?redirectUrl=https%3A%2F%2Fhessendrive.hessen.de%2Fpublic%2Fdownload-shares%2FtxubFT9EzCQmVvQGWnCQJw9pwGQnQNoB&amp;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+7FV5ca16hXfsOHy85vqL2oxw==">CgMxLjA4AHIhMXE0S2ZROXpvSl9oNi05VFE3OS1JU01Oa040a09mVlJC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2025-01-30T15:33:00Z</dcterms:created>
  <dc:creator>Daniela Franziska Gaus</dc:creator>
</cp:coreProperties>
</file>