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NW LTW 1975- 2005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Statistisches Landesamt NRW, abgerufen über </w:t>
        <w:br w:type="textWrapping"/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ww.landesdatenbank.nrw.de/ldbnrw/online?operation=abruftabelleBearbeiten&amp;levelindex=2&amp;levelid=1742387757709&amp;auswahloperation=abruftabelleAuspraegungAuswaehlen&amp;auswahlverzeichnis=ordnungsstruktur&amp;auswahlziel=werteabruf&amp;code=14311-11i&amp;auswahltext=&amp;werteabruf=Werteabruf#abreadcrum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Enthält nur Daten zu 8 Parteien. Bis einschließlich 2005 gab es nur eine Stimme bei Landtagswahlen in NRW.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Hinweise zur Briefwahl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Kein Hinweis im Datensatz. Habe beim statistischen Landesamt nachgefragt und folgende Antwort erhalten: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“Die Briefwahlstimmen werden den Wählerinnen und Wählern insgesamt bzw. den gültigen und ungültigen Stimmen zugerechnet. Eine Unterscheidung zwischen Briefwahl- und Urnenwahlstimmen wird hier nicht vorgenommen.”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andesdatenbank.nrw.de/ldbnrw/online?operation=abruftabelleBearbeiten&amp;levelindex=2&amp;levelid=1742387757709&amp;auswahloperation=abruftabelleAuspraegungAuswaehlen&amp;auswahlverzeichnis=ordnungsstruktur&amp;auswahlziel=werteabruf&amp;code=14311-11i&amp;auswahltext=&amp;werteabruf=Werteabruf#abreadcrum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5m+tNZddziEHsPbee93spsDy4Q==">CgMxLjA4AHIhMXVUN2lvOWtvcDFKSndmZ2xhZENuSWFfVk9QWkFqRmF2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2025-03-19T12:44:00Z</dcterms:created>
  <dc:creator>Daniela Franziska Gaus</dc:creator>
</cp:coreProperties>
</file>