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HE LTW 1948-2016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Statistisches Landesamt Hessen, auf Anfrage zugeschickt bekommen: Link zu ZIP Ordner: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https://hessendrive.hessen.de/public/download-shares/txubFT9EzCQmVvQGWnCQJw9pwGQnQNoB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Grundsätzlich ist es so, dass eine Differenzierung zwischen Urnen- und Briefwahlergebnissen nur durch die Auswertung der Wahlbezirksstatistik möglich ist. Die Wahlergebnisse von Urnen- und Briefwählerinnen und –wählern werden ab 1977 separat ausgewiesen, zunächst allerdings nur in einige hessischen Gemeinden. In den anderen Gemeinden setzen sich Wahlbezirke zunächst noch aus Brief- und Urnenwählerinnen und – wählern zusammen.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→ 2 Datensätze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1948- 2016 auf Gemeindeebene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8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1977-2016 auf Wahlbezirksebene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ref-web.de/mail/client/wHPuMChlTv8/dereferrer/?redirectUrl=https%3A%2F%2Fhessendrive.hessen.de%2Fpublic%2Fdownload-shares%2FtxubFT9EzCQmVvQGWnCQJw9pwGQnQNoB&amp;l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bBgoteYB1Q/z9OwBq34IC9uYA==">CgMxLjA4AHIhMTlIOHN3RlNVSWRTTjFoV1hSU0pYMVhabnJ3M3ZvSkpE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2025-01-30T15:33:00Z</dcterms:created>
  <dc:creator>Daniela Franziska Gaus</dc:creator>
</cp:coreProperties>
</file>