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SN KTW 1999 – 2014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Wahlen Sachsen, abgerufen über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https://www.statistik.sachsen.de/genonline/online?operation=previous&amp;levelindex=3&amp;step=1&amp;titel=Statistik+%28Tabellen%29&amp;levelid=1742393719521&amp;levelid=1742393319056#abreadcrumb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Keine Angabe online, nach Rückfrage folgende Antwort erhalten: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Bei Kreistagswahlen soll Briefwahl prinzipiell gemeindescharf ausgezählt werden und ist dementsprechend in den Gemeindeergebnissen enthalten. In geringem Umfang gab es auch gemeindeübergreifende Briefwahl.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tatistik.sachsen.de/genonline/online?operation=previous&amp;levelindex=3&amp;step=1&amp;titel=Statistik+%28Tabellen%29&amp;levelid=1742393719521&amp;levelid=1742393319056#abreadcrum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sVJoMx5Wq05D1VhNUE/ZawjXg==">CgMxLjA4AHIhMWpOTzhVY1NSTGhSZDh6a2htNGdCWXByNXhsRmdRb21E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2025-03-19T14:17:00Z</dcterms:created>
  <dc:creator>Daniela Franziska Gaus</dc:creator>
</cp:coreProperties>
</file>