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A0FF1" w14:textId="3D2568A7" w:rsidR="00D476D7" w:rsidRDefault="00C50F9D">
      <w:r>
        <w:t>Title – Production-Based Motor Utilization Analytics</w:t>
      </w:r>
    </w:p>
    <w:p w14:paraId="154C4EA9" w14:textId="0901AEF2" w:rsidR="00C50F9D" w:rsidRDefault="00C50F9D">
      <w:r>
        <w:t xml:space="preserve">Short Summary - </w:t>
      </w:r>
      <w:r w:rsidRPr="00C50F9D">
        <w:t>Developed a Tableau and SQL-based engineering analytics dashboard to evaluate fluid production distributions across installed motor classes in over 2,200 producing wells. The system integrated production test data and inventory records through custom SQL transformations and statistical classification logic to identify wells exhibiting anomalous utilization patterns. The dashboard was designed as a screening-level engineering decision-support tool to assist in identifying potential optimization opportunities and operational review candidates.</w:t>
      </w:r>
    </w:p>
    <w:p w14:paraId="72F67D33" w14:textId="3DB03BF1" w:rsidR="00C50F9D" w:rsidRDefault="00C50F9D">
      <w:r>
        <w:t>Dashboard Screenshot</w:t>
      </w:r>
    </w:p>
    <w:p w14:paraId="5273E55E" w14:textId="5CEA0096" w:rsidR="00C50F9D" w:rsidRDefault="00C50F9D">
      <w:r>
        <w:t>Problem Statement -</w:t>
      </w:r>
      <w:r w:rsidRPr="00C50F9D">
        <w:t>Motor allocation practices across producing wells were historically difficult to evaluate at scale due to inconsistent equipment configurations and fragmented production data sources. Engineers lacked a centralized method for visualizing production behavior relative to installed motor classes and identifying wells potentially operating outside typical utilization ranges.</w:t>
      </w:r>
    </w:p>
    <w:p w14:paraId="7E1BB8FE" w14:textId="1380C244" w:rsidR="00C50F9D" w:rsidRDefault="00C50F9D">
      <w:r>
        <w:t xml:space="preserve">Objective - </w:t>
      </w:r>
      <w:r w:rsidRPr="00C50F9D">
        <w:t>Create a data-driven analytics platform capable of integrating production test and inventory data to visualize production distributions across motor classes and identify wells warranting further engineering review.</w:t>
      </w:r>
    </w:p>
    <w:p w14:paraId="2326AF1F" w14:textId="7843971D" w:rsidR="00C50F9D" w:rsidRDefault="00C50F9D">
      <w:r>
        <w:t>Methodology - pipeline diagram</w:t>
      </w:r>
    </w:p>
    <w:p w14:paraId="7D32CC83" w14:textId="3F47CF5E" w:rsidR="00C50F9D" w:rsidRDefault="00C50F9D">
      <w:r>
        <w:t>Dashboard Screenshots – Full dashboard image, zoomed-in boxplot image, one tooltip image</w:t>
      </w:r>
    </w:p>
    <w:p w14:paraId="5E3C5004" w14:textId="49A59F7A" w:rsidR="00C50F9D" w:rsidRDefault="00C50F9D">
      <w:r>
        <w:t>Key Findings – Significant production overlap exists between motor classes, indicating production alone is insufficient for motor sizing, larger motor classes exhibited substantially greater production variability and operational spread, statistical review classifications identified wells exhibiting atypical utilization behaviour relative to comparable motor classes</w:t>
      </w:r>
    </w:p>
    <w:p w14:paraId="3A9055BE" w14:textId="25D23619" w:rsidR="00C50F9D" w:rsidRDefault="00C50F9D">
      <w:r>
        <w:t xml:space="preserve">Engineering Limitations – Rod string loading, stroke speed and length, well depth and geometry, and downhole pump all heavily influence motor power needs, but were excluded from this analysis, as it is just a screening tool to narrow down the total number of wells requiring further engineering analysis. </w:t>
      </w:r>
    </w:p>
    <w:p w14:paraId="1713F6FF" w14:textId="2FF2F53E" w:rsidR="00C50F9D" w:rsidRDefault="00C50F9D">
      <w:r>
        <w:t>Recommendations – Wells identified as potential oversized candidates should undergo detailed mechanical review including rod loading and stroke-speed analysis to determine if they can be better utilized, future optimization work could incorporate downhole loading models to improve sizing recommendations</w:t>
      </w:r>
    </w:p>
    <w:p w14:paraId="4F08D383" w14:textId="546279DA" w:rsidR="00C50F9D" w:rsidRDefault="00C50F9D">
      <w:r>
        <w:lastRenderedPageBreak/>
        <w:t xml:space="preserve">Technical Stack </w:t>
      </w:r>
      <w:r w:rsidR="004B2A34">
        <w:t>–</w:t>
      </w:r>
      <w:r>
        <w:t xml:space="preserve"> </w:t>
      </w:r>
      <w:r w:rsidR="004B2A34">
        <w:t>Table: Headings (Tool, Purpose), Entries: (SQL, Data extraction and transformation), (Tableau, Statistical visualization and dashboarding), (Statistical Analysis, Distribution and anomaly identification), (Engineering Analytics, utilization classification logic).</w:t>
      </w:r>
    </w:p>
    <w:p w14:paraId="6017588F" w14:textId="071EE030" w:rsidR="00C50F9D" w:rsidRDefault="00C50F9D">
      <w:r>
        <w:t>Data Disclaimer</w:t>
      </w:r>
      <w:r w:rsidR="004B2A34">
        <w:t xml:space="preserve"> - </w:t>
      </w:r>
      <w:r w:rsidR="004B2A34" w:rsidRPr="004B2A34">
        <w:t>Operational data shown in this project has been anonymized and modified for portfolio presentation purposes. Engineering relationships and analytical methodology were preserved while removing proprietary operational details.</w:t>
      </w:r>
    </w:p>
    <w:p w14:paraId="665B8823" w14:textId="413CA6F3" w:rsidR="004B2A34" w:rsidRDefault="004B2A34">
      <w:r>
        <w:t xml:space="preserve">Mini Engineering Case Study: </w:t>
      </w:r>
      <w:proofErr w:type="gramStart"/>
      <w:r>
        <w:t>Well</w:t>
      </w:r>
      <w:proofErr w:type="gramEnd"/>
      <w:r>
        <w:t xml:space="preserve"> 1999, well from the tooltip, Average Last 3 Tests only 0.66 m3/d total production. Trying to free up 40 HP motors. Ran simulation, determined </w:t>
      </w:r>
      <w:r w:rsidR="00970904">
        <w:t xml:space="preserve">motor was only 30.9% loaded, could use a 15HP motor, which is 80.4% loaded. Much more efficient, will prolong life of motor. </w:t>
      </w:r>
      <w:r>
        <w:t xml:space="preserve"> </w:t>
      </w:r>
    </w:p>
    <w:p w14:paraId="02352AD8" w14:textId="77777777" w:rsidR="0017077B" w:rsidRDefault="0017077B"/>
    <w:p w14:paraId="7B3B2F14" w14:textId="01728B4D" w:rsidR="0017077B" w:rsidRDefault="0017077B">
      <w:r>
        <w:t>Validation Case Study: Motor Downsizing Impact</w:t>
      </w:r>
    </w:p>
    <w:p w14:paraId="7648C546" w14:textId="5DBACC0B" w:rsidR="0017077B" w:rsidRDefault="0017077B">
      <w:r>
        <w:t xml:space="preserve">Objective: </w:t>
      </w:r>
      <w:r w:rsidRPr="0017077B">
        <w:t>To evaluate whether motor sizing optimization opportunities identified through production analytics could translate into measurable reductions in power consumption, three wells that underwent motor downsizing from 40 HP to 20 HP were analyzed.</w:t>
      </w:r>
    </w:p>
    <w:p w14:paraId="006DD7CF" w14:textId="6B764365" w:rsidR="0017077B" w:rsidRDefault="0017077B">
      <w:r>
        <w:t>Methodology: 3 potential oversizing candidates were evaluated and had their 40HP motors swapped with 20HP in August 2025. To compare power consumption before and after the swaps, load profiles were created for each well. These consisted of daily energy consumption throughout the year, an average hourly consumption profile, and a smoothed demand and consumption chart. Values were indexed to keep data anonymous.</w:t>
      </w:r>
    </w:p>
    <w:p w14:paraId="496CA9E9" w14:textId="16172168" w:rsidR="0017077B" w:rsidRDefault="0017077B">
      <w:r>
        <w:t>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470"/>
        <w:gridCol w:w="1398"/>
        <w:gridCol w:w="1520"/>
        <w:gridCol w:w="1058"/>
        <w:gridCol w:w="1504"/>
        <w:gridCol w:w="1470"/>
      </w:tblGrid>
      <w:tr w:rsidR="0017077B" w:rsidRPr="0017077B" w14:paraId="1AE24B5B" w14:textId="77777777">
        <w:trPr>
          <w:tblHeader/>
          <w:tblCellSpacing w:w="15" w:type="dxa"/>
        </w:trPr>
        <w:tc>
          <w:tcPr>
            <w:tcW w:w="0" w:type="auto"/>
            <w:vAlign w:val="center"/>
            <w:hideMark/>
          </w:tcPr>
          <w:p w14:paraId="1FC4C711" w14:textId="77777777" w:rsidR="0017077B" w:rsidRPr="0017077B" w:rsidRDefault="0017077B" w:rsidP="0017077B">
            <w:pPr>
              <w:rPr>
                <w:b/>
                <w:bCs/>
              </w:rPr>
            </w:pPr>
            <w:r w:rsidRPr="0017077B">
              <w:rPr>
                <w:b/>
                <w:bCs/>
              </w:rPr>
              <w:t>Well</w:t>
            </w:r>
          </w:p>
        </w:tc>
        <w:tc>
          <w:tcPr>
            <w:tcW w:w="0" w:type="auto"/>
            <w:vAlign w:val="center"/>
            <w:hideMark/>
          </w:tcPr>
          <w:p w14:paraId="5B158ED9" w14:textId="77777777" w:rsidR="0017077B" w:rsidRPr="0017077B" w:rsidRDefault="0017077B" w:rsidP="0017077B">
            <w:pPr>
              <w:rPr>
                <w:b/>
                <w:bCs/>
              </w:rPr>
            </w:pPr>
            <w:r w:rsidRPr="0017077B">
              <w:rPr>
                <w:b/>
                <w:bCs/>
              </w:rPr>
              <w:t>Before (kWh/day)</w:t>
            </w:r>
          </w:p>
        </w:tc>
        <w:tc>
          <w:tcPr>
            <w:tcW w:w="0" w:type="auto"/>
            <w:vAlign w:val="center"/>
            <w:hideMark/>
          </w:tcPr>
          <w:p w14:paraId="6515F318" w14:textId="77777777" w:rsidR="0017077B" w:rsidRPr="0017077B" w:rsidRDefault="0017077B" w:rsidP="0017077B">
            <w:pPr>
              <w:rPr>
                <w:b/>
                <w:bCs/>
              </w:rPr>
            </w:pPr>
            <w:r w:rsidRPr="0017077B">
              <w:rPr>
                <w:b/>
                <w:bCs/>
              </w:rPr>
              <w:t>After (kWh/day)</w:t>
            </w:r>
          </w:p>
        </w:tc>
        <w:tc>
          <w:tcPr>
            <w:tcW w:w="0" w:type="auto"/>
            <w:vAlign w:val="center"/>
            <w:hideMark/>
          </w:tcPr>
          <w:p w14:paraId="161BDEE0" w14:textId="77777777" w:rsidR="0017077B" w:rsidRPr="0017077B" w:rsidRDefault="0017077B" w:rsidP="0017077B">
            <w:pPr>
              <w:rPr>
                <w:b/>
                <w:bCs/>
              </w:rPr>
            </w:pPr>
            <w:r w:rsidRPr="0017077B">
              <w:rPr>
                <w:b/>
                <w:bCs/>
              </w:rPr>
              <w:t>Savings (kWh/day)</w:t>
            </w:r>
          </w:p>
        </w:tc>
        <w:tc>
          <w:tcPr>
            <w:tcW w:w="0" w:type="auto"/>
            <w:vAlign w:val="center"/>
            <w:hideMark/>
          </w:tcPr>
          <w:p w14:paraId="4641F437" w14:textId="77777777" w:rsidR="0017077B" w:rsidRPr="0017077B" w:rsidRDefault="0017077B" w:rsidP="0017077B">
            <w:pPr>
              <w:rPr>
                <w:b/>
                <w:bCs/>
              </w:rPr>
            </w:pPr>
            <w:r w:rsidRPr="0017077B">
              <w:rPr>
                <w:b/>
                <w:bCs/>
              </w:rPr>
              <w:t>Savings (%)</w:t>
            </w:r>
          </w:p>
        </w:tc>
        <w:tc>
          <w:tcPr>
            <w:tcW w:w="0" w:type="auto"/>
            <w:vAlign w:val="center"/>
            <w:hideMark/>
          </w:tcPr>
          <w:p w14:paraId="6B42CEB3" w14:textId="77777777" w:rsidR="0017077B" w:rsidRPr="0017077B" w:rsidRDefault="0017077B" w:rsidP="0017077B">
            <w:pPr>
              <w:rPr>
                <w:b/>
                <w:bCs/>
              </w:rPr>
            </w:pPr>
            <w:r w:rsidRPr="0017077B">
              <w:rPr>
                <w:b/>
                <w:bCs/>
              </w:rPr>
              <w:t>Annual Savings (kWh)</w:t>
            </w:r>
          </w:p>
        </w:tc>
        <w:tc>
          <w:tcPr>
            <w:tcW w:w="0" w:type="auto"/>
            <w:vAlign w:val="center"/>
            <w:hideMark/>
          </w:tcPr>
          <w:p w14:paraId="7D00985E" w14:textId="77777777" w:rsidR="0017077B" w:rsidRPr="0017077B" w:rsidRDefault="0017077B" w:rsidP="0017077B">
            <w:pPr>
              <w:rPr>
                <w:b/>
                <w:bCs/>
              </w:rPr>
            </w:pPr>
            <w:r w:rsidRPr="0017077B">
              <w:rPr>
                <w:b/>
                <w:bCs/>
              </w:rPr>
              <w:t>Annual Cost Savings</w:t>
            </w:r>
          </w:p>
        </w:tc>
      </w:tr>
      <w:tr w:rsidR="0017077B" w:rsidRPr="0017077B" w14:paraId="752AAD2A" w14:textId="77777777">
        <w:trPr>
          <w:tblCellSpacing w:w="15" w:type="dxa"/>
        </w:trPr>
        <w:tc>
          <w:tcPr>
            <w:tcW w:w="0" w:type="auto"/>
            <w:vAlign w:val="center"/>
            <w:hideMark/>
          </w:tcPr>
          <w:p w14:paraId="7671A99D" w14:textId="77777777" w:rsidR="0017077B" w:rsidRPr="0017077B" w:rsidRDefault="0017077B" w:rsidP="0017077B">
            <w:r w:rsidRPr="0017077B">
              <w:t>A</w:t>
            </w:r>
          </w:p>
        </w:tc>
        <w:tc>
          <w:tcPr>
            <w:tcW w:w="0" w:type="auto"/>
            <w:vAlign w:val="center"/>
            <w:hideMark/>
          </w:tcPr>
          <w:p w14:paraId="0184D7C9" w14:textId="77777777" w:rsidR="0017077B" w:rsidRPr="0017077B" w:rsidRDefault="0017077B" w:rsidP="0017077B">
            <w:r w:rsidRPr="0017077B">
              <w:t>467.4</w:t>
            </w:r>
          </w:p>
        </w:tc>
        <w:tc>
          <w:tcPr>
            <w:tcW w:w="0" w:type="auto"/>
            <w:vAlign w:val="center"/>
            <w:hideMark/>
          </w:tcPr>
          <w:p w14:paraId="6056F549" w14:textId="77777777" w:rsidR="0017077B" w:rsidRPr="0017077B" w:rsidRDefault="0017077B" w:rsidP="0017077B">
            <w:r w:rsidRPr="0017077B">
              <w:t>425.7</w:t>
            </w:r>
          </w:p>
        </w:tc>
        <w:tc>
          <w:tcPr>
            <w:tcW w:w="0" w:type="auto"/>
            <w:vAlign w:val="center"/>
            <w:hideMark/>
          </w:tcPr>
          <w:p w14:paraId="030CE55D" w14:textId="77777777" w:rsidR="0017077B" w:rsidRPr="0017077B" w:rsidRDefault="0017077B" w:rsidP="0017077B">
            <w:r w:rsidRPr="0017077B">
              <w:t>41.7</w:t>
            </w:r>
          </w:p>
        </w:tc>
        <w:tc>
          <w:tcPr>
            <w:tcW w:w="0" w:type="auto"/>
            <w:vAlign w:val="center"/>
            <w:hideMark/>
          </w:tcPr>
          <w:p w14:paraId="20C7D8AF" w14:textId="77777777" w:rsidR="0017077B" w:rsidRPr="0017077B" w:rsidRDefault="0017077B" w:rsidP="0017077B">
            <w:r w:rsidRPr="0017077B">
              <w:t>8.9%</w:t>
            </w:r>
          </w:p>
        </w:tc>
        <w:tc>
          <w:tcPr>
            <w:tcW w:w="0" w:type="auto"/>
            <w:vAlign w:val="center"/>
            <w:hideMark/>
          </w:tcPr>
          <w:p w14:paraId="2DD07863" w14:textId="77777777" w:rsidR="0017077B" w:rsidRPr="0017077B" w:rsidRDefault="0017077B" w:rsidP="0017077B">
            <w:r w:rsidRPr="0017077B">
              <w:t>15,224</w:t>
            </w:r>
          </w:p>
        </w:tc>
        <w:tc>
          <w:tcPr>
            <w:tcW w:w="0" w:type="auto"/>
            <w:vAlign w:val="center"/>
            <w:hideMark/>
          </w:tcPr>
          <w:p w14:paraId="31A72B08" w14:textId="77777777" w:rsidR="0017077B" w:rsidRPr="0017077B" w:rsidRDefault="0017077B" w:rsidP="0017077B">
            <w:r w:rsidRPr="0017077B">
              <w:t>$1,134</w:t>
            </w:r>
          </w:p>
        </w:tc>
      </w:tr>
      <w:tr w:rsidR="0017077B" w:rsidRPr="0017077B" w14:paraId="354B7551" w14:textId="77777777">
        <w:trPr>
          <w:tblCellSpacing w:w="15" w:type="dxa"/>
        </w:trPr>
        <w:tc>
          <w:tcPr>
            <w:tcW w:w="0" w:type="auto"/>
            <w:vAlign w:val="center"/>
            <w:hideMark/>
          </w:tcPr>
          <w:p w14:paraId="01422D9B" w14:textId="77777777" w:rsidR="0017077B" w:rsidRPr="0017077B" w:rsidRDefault="0017077B" w:rsidP="0017077B">
            <w:r w:rsidRPr="0017077B">
              <w:t>B</w:t>
            </w:r>
          </w:p>
        </w:tc>
        <w:tc>
          <w:tcPr>
            <w:tcW w:w="0" w:type="auto"/>
            <w:vAlign w:val="center"/>
            <w:hideMark/>
          </w:tcPr>
          <w:p w14:paraId="62DC44D6" w14:textId="77777777" w:rsidR="0017077B" w:rsidRPr="0017077B" w:rsidRDefault="0017077B" w:rsidP="0017077B">
            <w:r w:rsidRPr="0017077B">
              <w:t>189.9</w:t>
            </w:r>
          </w:p>
        </w:tc>
        <w:tc>
          <w:tcPr>
            <w:tcW w:w="0" w:type="auto"/>
            <w:vAlign w:val="center"/>
            <w:hideMark/>
          </w:tcPr>
          <w:p w14:paraId="3749A20E" w14:textId="77777777" w:rsidR="0017077B" w:rsidRPr="0017077B" w:rsidRDefault="0017077B" w:rsidP="0017077B">
            <w:r w:rsidRPr="0017077B">
              <w:t>76.5</w:t>
            </w:r>
          </w:p>
        </w:tc>
        <w:tc>
          <w:tcPr>
            <w:tcW w:w="0" w:type="auto"/>
            <w:vAlign w:val="center"/>
            <w:hideMark/>
          </w:tcPr>
          <w:p w14:paraId="1EDAD000" w14:textId="77777777" w:rsidR="0017077B" w:rsidRPr="0017077B" w:rsidRDefault="0017077B" w:rsidP="0017077B">
            <w:r w:rsidRPr="0017077B">
              <w:t>113.4</w:t>
            </w:r>
          </w:p>
        </w:tc>
        <w:tc>
          <w:tcPr>
            <w:tcW w:w="0" w:type="auto"/>
            <w:vAlign w:val="center"/>
            <w:hideMark/>
          </w:tcPr>
          <w:p w14:paraId="4B6A4C77" w14:textId="77777777" w:rsidR="0017077B" w:rsidRPr="0017077B" w:rsidRDefault="0017077B" w:rsidP="0017077B">
            <w:r w:rsidRPr="0017077B">
              <w:t>59.7%</w:t>
            </w:r>
          </w:p>
        </w:tc>
        <w:tc>
          <w:tcPr>
            <w:tcW w:w="0" w:type="auto"/>
            <w:vAlign w:val="center"/>
            <w:hideMark/>
          </w:tcPr>
          <w:p w14:paraId="48046179" w14:textId="77777777" w:rsidR="0017077B" w:rsidRPr="0017077B" w:rsidRDefault="0017077B" w:rsidP="0017077B">
            <w:r w:rsidRPr="0017077B">
              <w:t>41,379</w:t>
            </w:r>
          </w:p>
        </w:tc>
        <w:tc>
          <w:tcPr>
            <w:tcW w:w="0" w:type="auto"/>
            <w:vAlign w:val="center"/>
            <w:hideMark/>
          </w:tcPr>
          <w:p w14:paraId="6B1C3C8A" w14:textId="77777777" w:rsidR="0017077B" w:rsidRPr="0017077B" w:rsidRDefault="0017077B" w:rsidP="0017077B">
            <w:r w:rsidRPr="0017077B">
              <w:t>$3,083</w:t>
            </w:r>
          </w:p>
        </w:tc>
      </w:tr>
      <w:tr w:rsidR="0017077B" w:rsidRPr="0017077B" w14:paraId="39F1F76E" w14:textId="77777777">
        <w:trPr>
          <w:tblCellSpacing w:w="15" w:type="dxa"/>
        </w:trPr>
        <w:tc>
          <w:tcPr>
            <w:tcW w:w="0" w:type="auto"/>
            <w:vAlign w:val="center"/>
            <w:hideMark/>
          </w:tcPr>
          <w:p w14:paraId="2AE06F95" w14:textId="77777777" w:rsidR="0017077B" w:rsidRPr="0017077B" w:rsidRDefault="0017077B" w:rsidP="0017077B">
            <w:r w:rsidRPr="0017077B">
              <w:t>C</w:t>
            </w:r>
          </w:p>
        </w:tc>
        <w:tc>
          <w:tcPr>
            <w:tcW w:w="0" w:type="auto"/>
            <w:vAlign w:val="center"/>
            <w:hideMark/>
          </w:tcPr>
          <w:p w14:paraId="7F2561B8" w14:textId="77777777" w:rsidR="0017077B" w:rsidRPr="0017077B" w:rsidRDefault="0017077B" w:rsidP="0017077B">
            <w:r w:rsidRPr="0017077B">
              <w:t>217.9</w:t>
            </w:r>
          </w:p>
        </w:tc>
        <w:tc>
          <w:tcPr>
            <w:tcW w:w="0" w:type="auto"/>
            <w:vAlign w:val="center"/>
            <w:hideMark/>
          </w:tcPr>
          <w:p w14:paraId="5822D1B1" w14:textId="77777777" w:rsidR="0017077B" w:rsidRPr="0017077B" w:rsidRDefault="0017077B" w:rsidP="0017077B">
            <w:r w:rsidRPr="0017077B">
              <w:t>198.7</w:t>
            </w:r>
          </w:p>
        </w:tc>
        <w:tc>
          <w:tcPr>
            <w:tcW w:w="0" w:type="auto"/>
            <w:vAlign w:val="center"/>
            <w:hideMark/>
          </w:tcPr>
          <w:p w14:paraId="4AD36B43" w14:textId="77777777" w:rsidR="0017077B" w:rsidRPr="0017077B" w:rsidRDefault="0017077B" w:rsidP="0017077B">
            <w:r w:rsidRPr="0017077B">
              <w:t>19.2</w:t>
            </w:r>
          </w:p>
        </w:tc>
        <w:tc>
          <w:tcPr>
            <w:tcW w:w="0" w:type="auto"/>
            <w:vAlign w:val="center"/>
            <w:hideMark/>
          </w:tcPr>
          <w:p w14:paraId="2BC6BBC3" w14:textId="77777777" w:rsidR="0017077B" w:rsidRPr="0017077B" w:rsidRDefault="0017077B" w:rsidP="0017077B">
            <w:r w:rsidRPr="0017077B">
              <w:t>8.8%</w:t>
            </w:r>
          </w:p>
        </w:tc>
        <w:tc>
          <w:tcPr>
            <w:tcW w:w="0" w:type="auto"/>
            <w:vAlign w:val="center"/>
            <w:hideMark/>
          </w:tcPr>
          <w:p w14:paraId="021DFA31" w14:textId="77777777" w:rsidR="0017077B" w:rsidRPr="0017077B" w:rsidRDefault="0017077B" w:rsidP="0017077B">
            <w:r w:rsidRPr="0017077B">
              <w:t>7,011</w:t>
            </w:r>
          </w:p>
        </w:tc>
        <w:tc>
          <w:tcPr>
            <w:tcW w:w="0" w:type="auto"/>
            <w:vAlign w:val="center"/>
            <w:hideMark/>
          </w:tcPr>
          <w:p w14:paraId="5313CED1" w14:textId="77777777" w:rsidR="0017077B" w:rsidRPr="0017077B" w:rsidRDefault="0017077B" w:rsidP="0017077B">
            <w:r w:rsidRPr="0017077B">
              <w:t>$522</w:t>
            </w:r>
          </w:p>
        </w:tc>
      </w:tr>
      <w:tr w:rsidR="0017077B" w:rsidRPr="0017077B" w14:paraId="4B97BFFB" w14:textId="77777777">
        <w:trPr>
          <w:tblCellSpacing w:w="15" w:type="dxa"/>
        </w:trPr>
        <w:tc>
          <w:tcPr>
            <w:tcW w:w="0" w:type="auto"/>
            <w:vAlign w:val="center"/>
            <w:hideMark/>
          </w:tcPr>
          <w:p w14:paraId="12ADF6BA" w14:textId="77777777" w:rsidR="0017077B" w:rsidRPr="0017077B" w:rsidRDefault="0017077B" w:rsidP="0017077B">
            <w:r w:rsidRPr="0017077B">
              <w:rPr>
                <w:b/>
                <w:bCs/>
              </w:rPr>
              <w:t>Average</w:t>
            </w:r>
          </w:p>
        </w:tc>
        <w:tc>
          <w:tcPr>
            <w:tcW w:w="0" w:type="auto"/>
            <w:vAlign w:val="center"/>
            <w:hideMark/>
          </w:tcPr>
          <w:p w14:paraId="36DF0727" w14:textId="77777777" w:rsidR="0017077B" w:rsidRPr="0017077B" w:rsidRDefault="0017077B" w:rsidP="0017077B">
            <w:r w:rsidRPr="0017077B">
              <w:t>—</w:t>
            </w:r>
          </w:p>
        </w:tc>
        <w:tc>
          <w:tcPr>
            <w:tcW w:w="0" w:type="auto"/>
            <w:vAlign w:val="center"/>
            <w:hideMark/>
          </w:tcPr>
          <w:p w14:paraId="252224E2" w14:textId="77777777" w:rsidR="0017077B" w:rsidRPr="0017077B" w:rsidRDefault="0017077B" w:rsidP="0017077B">
            <w:r w:rsidRPr="0017077B">
              <w:t>—</w:t>
            </w:r>
          </w:p>
        </w:tc>
        <w:tc>
          <w:tcPr>
            <w:tcW w:w="0" w:type="auto"/>
            <w:vAlign w:val="center"/>
            <w:hideMark/>
          </w:tcPr>
          <w:p w14:paraId="29EDB10B" w14:textId="77777777" w:rsidR="0017077B" w:rsidRPr="0017077B" w:rsidRDefault="0017077B" w:rsidP="0017077B">
            <w:r w:rsidRPr="0017077B">
              <w:rPr>
                <w:b/>
                <w:bCs/>
              </w:rPr>
              <w:t>58.1</w:t>
            </w:r>
          </w:p>
        </w:tc>
        <w:tc>
          <w:tcPr>
            <w:tcW w:w="0" w:type="auto"/>
            <w:vAlign w:val="center"/>
            <w:hideMark/>
          </w:tcPr>
          <w:p w14:paraId="1EADBCA7" w14:textId="77777777" w:rsidR="0017077B" w:rsidRPr="0017077B" w:rsidRDefault="0017077B" w:rsidP="0017077B">
            <w:r w:rsidRPr="0017077B">
              <w:rPr>
                <w:b/>
                <w:bCs/>
              </w:rPr>
              <w:t>25.8%</w:t>
            </w:r>
          </w:p>
        </w:tc>
        <w:tc>
          <w:tcPr>
            <w:tcW w:w="0" w:type="auto"/>
            <w:vAlign w:val="center"/>
            <w:hideMark/>
          </w:tcPr>
          <w:p w14:paraId="0A2B1B5A" w14:textId="77777777" w:rsidR="0017077B" w:rsidRPr="0017077B" w:rsidRDefault="0017077B" w:rsidP="0017077B">
            <w:r w:rsidRPr="0017077B">
              <w:rPr>
                <w:b/>
                <w:bCs/>
              </w:rPr>
              <w:t>21,205</w:t>
            </w:r>
          </w:p>
        </w:tc>
        <w:tc>
          <w:tcPr>
            <w:tcW w:w="0" w:type="auto"/>
            <w:vAlign w:val="center"/>
            <w:hideMark/>
          </w:tcPr>
          <w:p w14:paraId="32C50684" w14:textId="51D5E8F7" w:rsidR="0017077B" w:rsidRPr="0017077B" w:rsidRDefault="0017077B" w:rsidP="0017077B">
            <w:r w:rsidRPr="0017077B">
              <w:rPr>
                <w:b/>
                <w:bCs/>
              </w:rPr>
              <w:t>$1,580</w:t>
            </w:r>
          </w:p>
        </w:tc>
      </w:tr>
    </w:tbl>
    <w:p w14:paraId="335FB0A3" w14:textId="77777777" w:rsidR="0017077B" w:rsidRDefault="0017077B"/>
    <w:p w14:paraId="2863028C" w14:textId="2CE0D027" w:rsidR="0017077B" w:rsidRDefault="0017077B">
      <w:r>
        <w:lastRenderedPageBreak/>
        <w:t>Visuals:</w:t>
      </w:r>
    </w:p>
    <w:p w14:paraId="19E1C03C" w14:textId="1A289046" w:rsidR="0017077B" w:rsidRDefault="0017077B">
      <w:r>
        <w:t>Annual Cost Savings by Well</w:t>
      </w:r>
    </w:p>
    <w:p w14:paraId="4F7D9A9C" w14:textId="4D2D4547" w:rsidR="0017077B" w:rsidRDefault="0017077B">
      <w:r>
        <w:t>Hourly Power Consumption</w:t>
      </w:r>
    </w:p>
    <w:p w14:paraId="71E529EC" w14:textId="589FA2EB" w:rsidR="0017077B" w:rsidRDefault="0017077B">
      <w:r>
        <w:t>Representative Demand Curve</w:t>
      </w:r>
    </w:p>
    <w:p w14:paraId="733064A7" w14:textId="77777777" w:rsidR="0017077B" w:rsidRPr="0017077B" w:rsidRDefault="0017077B" w:rsidP="0017077B">
      <w:r>
        <w:t xml:space="preserve">Discussion: </w:t>
      </w:r>
      <w:r w:rsidRPr="0017077B">
        <w:t>The observed results demonstrated that motor downsizing can significantly reduce electrical consumption when existing installations are oversized relative to operating requirements.</w:t>
      </w:r>
    </w:p>
    <w:p w14:paraId="2292510F" w14:textId="77777777" w:rsidR="0017077B" w:rsidRPr="0017077B" w:rsidRDefault="0017077B" w:rsidP="0017077B">
      <w:r w:rsidRPr="0017077B">
        <w:t>Although savings varied between wells, all three motor replacements resulted in measurable reductions in energy consumption.</w:t>
      </w:r>
    </w:p>
    <w:p w14:paraId="623C5FA0" w14:textId="77777777" w:rsidR="0017077B" w:rsidRPr="0017077B" w:rsidRDefault="0017077B" w:rsidP="0017077B">
      <w:r w:rsidRPr="0017077B">
        <w:t>The largest reduction achieved approximately:</w:t>
      </w:r>
    </w:p>
    <w:p w14:paraId="412D5949" w14:textId="77777777" w:rsidR="0017077B" w:rsidRPr="0017077B" w:rsidRDefault="0017077B" w:rsidP="0017077B">
      <w:pPr>
        <w:numPr>
          <w:ilvl w:val="0"/>
          <w:numId w:val="1"/>
        </w:numPr>
      </w:pPr>
      <w:r w:rsidRPr="0017077B">
        <w:t xml:space="preserve">60% reduction in daily energy usage </w:t>
      </w:r>
    </w:p>
    <w:p w14:paraId="03C72F66" w14:textId="77777777" w:rsidR="0017077B" w:rsidRPr="0017077B" w:rsidRDefault="0017077B" w:rsidP="0017077B">
      <w:pPr>
        <w:numPr>
          <w:ilvl w:val="0"/>
          <w:numId w:val="1"/>
        </w:numPr>
      </w:pPr>
      <w:r w:rsidRPr="0017077B">
        <w:t xml:space="preserve">41 MWh annual energy savings </w:t>
      </w:r>
    </w:p>
    <w:p w14:paraId="0B72026C" w14:textId="77777777" w:rsidR="0017077B" w:rsidRPr="0017077B" w:rsidRDefault="0017077B" w:rsidP="0017077B">
      <w:pPr>
        <w:numPr>
          <w:ilvl w:val="0"/>
          <w:numId w:val="1"/>
        </w:numPr>
      </w:pPr>
      <w:r w:rsidRPr="0017077B">
        <w:t xml:space="preserve">$3,083 annual operating cost reduction </w:t>
      </w:r>
    </w:p>
    <w:p w14:paraId="2FD39CB6" w14:textId="77777777" w:rsidR="0017077B" w:rsidRPr="0017077B" w:rsidRDefault="0017077B" w:rsidP="0017077B">
      <w:r w:rsidRPr="0017077B">
        <w:t>These results support the use of production-based analytics as a screening tool for identifying motor optimization opportunities.</w:t>
      </w:r>
    </w:p>
    <w:p w14:paraId="705F75FB" w14:textId="642FC3CA" w:rsidR="0017077B" w:rsidRDefault="0017077B"/>
    <w:sectPr w:rsidR="001707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C53847"/>
    <w:multiLevelType w:val="multilevel"/>
    <w:tmpl w:val="74B2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903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F9D"/>
    <w:rsid w:val="0017077B"/>
    <w:rsid w:val="00330B6C"/>
    <w:rsid w:val="004256DA"/>
    <w:rsid w:val="004B2A34"/>
    <w:rsid w:val="005C2FBB"/>
    <w:rsid w:val="007F5F7A"/>
    <w:rsid w:val="008B4EB5"/>
    <w:rsid w:val="00932912"/>
    <w:rsid w:val="00970904"/>
    <w:rsid w:val="00C50F9D"/>
    <w:rsid w:val="00D476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18304"/>
  <w15:chartTrackingRefBased/>
  <w15:docId w15:val="{4DE2AA6B-9A2B-4DD8-AB5D-D709C3017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F9D"/>
    <w:rPr>
      <w:rFonts w:eastAsiaTheme="majorEastAsia" w:cstheme="majorBidi"/>
      <w:color w:val="272727" w:themeColor="text1" w:themeTint="D8"/>
    </w:rPr>
  </w:style>
  <w:style w:type="paragraph" w:styleId="Title">
    <w:name w:val="Title"/>
    <w:basedOn w:val="Normal"/>
    <w:next w:val="Normal"/>
    <w:link w:val="TitleChar"/>
    <w:uiPriority w:val="10"/>
    <w:qFormat/>
    <w:rsid w:val="00C50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F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F9D"/>
    <w:pPr>
      <w:spacing w:before="160"/>
      <w:jc w:val="center"/>
    </w:pPr>
    <w:rPr>
      <w:i/>
      <w:iCs/>
      <w:color w:val="404040" w:themeColor="text1" w:themeTint="BF"/>
    </w:rPr>
  </w:style>
  <w:style w:type="character" w:customStyle="1" w:styleId="QuoteChar">
    <w:name w:val="Quote Char"/>
    <w:basedOn w:val="DefaultParagraphFont"/>
    <w:link w:val="Quote"/>
    <w:uiPriority w:val="29"/>
    <w:rsid w:val="00C50F9D"/>
    <w:rPr>
      <w:i/>
      <w:iCs/>
      <w:color w:val="404040" w:themeColor="text1" w:themeTint="BF"/>
    </w:rPr>
  </w:style>
  <w:style w:type="paragraph" w:styleId="ListParagraph">
    <w:name w:val="List Paragraph"/>
    <w:basedOn w:val="Normal"/>
    <w:uiPriority w:val="34"/>
    <w:qFormat/>
    <w:rsid w:val="00C50F9D"/>
    <w:pPr>
      <w:ind w:left="720"/>
      <w:contextualSpacing/>
    </w:pPr>
  </w:style>
  <w:style w:type="character" w:styleId="IntenseEmphasis">
    <w:name w:val="Intense Emphasis"/>
    <w:basedOn w:val="DefaultParagraphFont"/>
    <w:uiPriority w:val="21"/>
    <w:qFormat/>
    <w:rsid w:val="00C50F9D"/>
    <w:rPr>
      <w:i/>
      <w:iCs/>
      <w:color w:val="0F4761" w:themeColor="accent1" w:themeShade="BF"/>
    </w:rPr>
  </w:style>
  <w:style w:type="paragraph" w:styleId="IntenseQuote">
    <w:name w:val="Intense Quote"/>
    <w:basedOn w:val="Normal"/>
    <w:next w:val="Normal"/>
    <w:link w:val="IntenseQuoteChar"/>
    <w:uiPriority w:val="30"/>
    <w:qFormat/>
    <w:rsid w:val="00C50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F9D"/>
    <w:rPr>
      <w:i/>
      <w:iCs/>
      <w:color w:val="0F4761" w:themeColor="accent1" w:themeShade="BF"/>
    </w:rPr>
  </w:style>
  <w:style w:type="character" w:styleId="IntenseReference">
    <w:name w:val="Intense Reference"/>
    <w:basedOn w:val="DefaultParagraphFont"/>
    <w:uiPriority w:val="32"/>
    <w:qFormat/>
    <w:rsid w:val="00C50F9D"/>
    <w:rPr>
      <w:b/>
      <w:bCs/>
      <w:smallCaps/>
      <w:color w:val="0F4761" w:themeColor="accent1" w:themeShade="BF"/>
      <w:spacing w:val="5"/>
    </w:rPr>
  </w:style>
  <w:style w:type="paragraph" w:styleId="NormalWeb">
    <w:name w:val="Normal (Web)"/>
    <w:basedOn w:val="Normal"/>
    <w:uiPriority w:val="99"/>
    <w:semiHidden/>
    <w:unhideWhenUsed/>
    <w:rsid w:val="001707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3</Pages>
  <Words>620</Words>
  <Characters>4249</Characters>
  <Application>Microsoft Office Word</Application>
  <DocSecurity>0</DocSecurity>
  <Lines>70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Addison Wiens</dc:creator>
  <cp:keywords/>
  <dc:description/>
  <cp:lastModifiedBy>Addison Wiens</cp:lastModifiedBy>
  <cp:revision>2</cp:revision>
  <dcterms:created xsi:type="dcterms:W3CDTF">2026-05-28T16:14:00Z</dcterms:created>
  <dcterms:modified xsi:type="dcterms:W3CDTF">2026-05-29T19:11:00Z</dcterms:modified>
</cp:coreProperties>
</file>