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7E2674"/>
          <w:sz w:val="52"/>
        </w:rPr>
        <w:t>AWIVEST Investor Portal</w:t>
      </w:r>
    </w:p>
    <w:p>
      <w:r>
        <w:rPr>
          <w:b/>
          <w:sz w:val="34"/>
        </w:rPr>
        <w:t>Developer &amp; AI Handoff Manual</w:t>
      </w:r>
    </w:p>
    <w:p>
      <w:r>
        <w:rPr>
          <w:i/>
          <w:sz w:val="24"/>
        </w:rPr>
        <w:t>Engineering reference for the next developer or AI assistant</w:t>
      </w:r>
    </w:p>
    <w:p>
      <w:r>
        <w:rPr>
          <w:sz w:val="22"/>
        </w:rPr>
        <w:t>Version 1.0  ·  September 2026</w:t>
      </w:r>
    </w:p>
    <w:p>
      <w:r>
        <w:t>This document is the technical companion to the user-facing System &amp; Navigation Manual. It describes how the AWIVEST Investor Portal is built, where things live, what has been achieved so far, the conventions to keep, and what still needs doing. It is written so that a new engineer — or an AI assistant — can pick up the project without prior context.</w:t>
      </w:r>
    </w:p>
    <w:p>
      <w:pPr>
        <w:pStyle w:val="Heading1"/>
      </w:pPr>
      <w:r>
        <w:t>1. System overview</w:t>
      </w:r>
    </w:p>
    <w:p>
      <w:r>
        <w:t>The AWIVEST Investor Portal is a secure web application for the AWIVEST investment group. Members join, get verified (KYC), contribute, track their balance, request withdrawals and file welfare claims. Staff run the group from a console: approvals, KYC review, fund records, statements, welfare, withdrawals, reports and communications.</w:t>
      </w:r>
    </w:p>
    <w:p>
      <w:pPr>
        <w:pStyle w:val="Heading2"/>
      </w:pPr>
      <w:r>
        <w:t>Stack</w:t>
      </w:r>
    </w:p>
    <w:p>
      <w:pPr>
        <w:pStyle w:val="ListBullet"/>
      </w:pPr>
      <w:r>
        <w:t>Framework: Next.js 14.2.15 (App Router, React Server Components + server actions), TypeScript.</w:t>
      </w:r>
    </w:p>
    <w:p>
      <w:pPr>
        <w:pStyle w:val="ListBullet"/>
      </w:pPr>
      <w:r>
        <w:t>Database / auth / storage: Supabase (Postgres with row-level security, Supabase Auth, private storage buckets).</w:t>
      </w:r>
    </w:p>
    <w:p>
      <w:pPr>
        <w:pStyle w:val="ListBullet"/>
      </w:pPr>
      <w:r>
        <w:t>Hosting: Vercel. Functions are pinned to Dublin (eu-west-1 / dub1) to sit next to the Supabase project.</w:t>
      </w:r>
    </w:p>
    <w:p>
      <w:pPr>
        <w:pStyle w:val="ListBullet"/>
      </w:pPr>
      <w:r>
        <w:t>Email: Resend (transactional).</w:t>
      </w:r>
    </w:p>
    <w:p>
      <w:pPr>
        <w:pStyle w:val="ListBullet"/>
      </w:pPr>
      <w:r>
        <w:t>E-signing: native draw/upload signature capture in-app, with an optional PandaDoc integration for external e-sign.</w:t>
      </w:r>
    </w:p>
    <w:p>
      <w:pPr>
        <w:pStyle w:val="ListBullet"/>
      </w:pPr>
      <w:r>
        <w:t>Payments: M-Pesa (Daraja) STK push, plus card/bank — live once credentials are configured. Money-out rail (Daraja B2C or bank API) is not yet chosen.</w:t>
      </w:r>
    </w:p>
    <w:p>
      <w:pPr>
        <w:pStyle w:val="ListBullet"/>
      </w:pPr>
      <w:r>
        <w:t>Charts: custom lightweight React chart components (Donut, AreaChart) — no heavy chart dependency.</w:t>
      </w:r>
    </w:p>
    <w:p>
      <w:pPr>
        <w:pStyle w:val="Heading1"/>
      </w:pPr>
      <w:r>
        <w:t>2. Repository &amp; environment</w:t>
      </w:r>
    </w:p>
    <w:p>
      <w:pPr>
        <w:pStyle w:val="Heading2"/>
      </w:pPr>
      <w:r>
        <w:t>Repository</w:t>
      </w:r>
    </w:p>
    <w:p>
      <w:pPr>
        <w:pStyle w:val="ListBullet"/>
      </w:pPr>
      <w:r>
        <w:t>GitHub: github.com/awiportal/membersportal (default branch: main).</w:t>
      </w:r>
    </w:p>
    <w:p>
      <w:pPr>
        <w:pStyle w:val="ListBullet"/>
      </w:pPr>
      <w:r>
        <w:t>The Next.js app lives in the web/ subdirectory. On Vercel, the project Root Directory is set to web/.</w:t>
      </w:r>
    </w:p>
    <w:p>
      <w:pPr>
        <w:pStyle w:val="ListBullet"/>
      </w:pPr>
      <w:r>
        <w:t>Supabase migrations live under supabase/migrations (timestamped .sql files).</w:t>
      </w:r>
    </w:p>
    <w:p>
      <w:pPr>
        <w:pStyle w:val="ListBullet"/>
      </w:pPr>
      <w:r>
        <w:t>User-facing manual: AWIVEST-Investor-Portal-Manual.docx at the repo root. This handoff manual sits beside it.</w:t>
      </w:r>
    </w:p>
    <w:p>
      <w:pPr>
        <w:pStyle w:val="Heading2"/>
      </w:pPr>
      <w:r>
        <w:t>Supabase project</w:t>
      </w:r>
    </w:p>
    <w:p>
      <w:pPr>
        <w:pStyle w:val="ListBullet"/>
      </w:pPr>
      <w:r>
        <w:t>Project ref: tocqmqooilxrynijvyvr  —  URL: https://tocqmqooilxrynijvyvr.supabase.co</w:t>
      </w:r>
    </w:p>
    <w:p>
      <w:pPr>
        <w:pStyle w:val="Heading2"/>
      </w:pPr>
      <w:r>
        <w:t>Environment variables (set in Vercel)</w:t>
      </w:r>
    </w:p>
    <w:p>
      <w:r>
        <w:t>Names only — never commit secret values to the repository.</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Variable</w:t>
            </w:r>
          </w:p>
        </w:tc>
        <w:tc>
          <w:tcPr>
            <w:tcW w:type="dxa" w:w="4320"/>
          </w:tcPr>
          <w:p>
            <w:r/>
            <w:r>
              <w:rPr>
                <w:b/>
                <w:sz w:val="19"/>
              </w:rPr>
              <w:t>Purpose</w:t>
            </w:r>
          </w:p>
        </w:tc>
      </w:tr>
      <w:tr>
        <w:tc>
          <w:tcPr>
            <w:tcW w:type="dxa" w:w="4320"/>
          </w:tcPr>
          <w:p>
            <w:r/>
            <w:r>
              <w:rPr>
                <w:sz w:val="19"/>
              </w:rPr>
              <w:t>NEXT_PUBLIC_SUPABASE_URL</w:t>
            </w:r>
          </w:p>
        </w:tc>
        <w:tc>
          <w:tcPr>
            <w:tcW w:type="dxa" w:w="4320"/>
          </w:tcPr>
          <w:p>
            <w:r/>
            <w:r>
              <w:rPr>
                <w:sz w:val="19"/>
              </w:rPr>
              <w:t>Supabase project URL (client + server)</w:t>
            </w:r>
          </w:p>
        </w:tc>
      </w:tr>
      <w:tr>
        <w:tc>
          <w:tcPr>
            <w:tcW w:type="dxa" w:w="4320"/>
          </w:tcPr>
          <w:p>
            <w:r/>
            <w:r>
              <w:rPr>
                <w:sz w:val="19"/>
              </w:rPr>
              <w:t>NEXT_PUBLIC_SUPABASE_ANON_KEY</w:t>
            </w:r>
          </w:p>
        </w:tc>
        <w:tc>
          <w:tcPr>
            <w:tcW w:type="dxa" w:w="4320"/>
          </w:tcPr>
          <w:p>
            <w:r/>
            <w:r>
              <w:rPr>
                <w:sz w:val="19"/>
              </w:rPr>
              <w:t>Supabase anon key for browser client</w:t>
            </w:r>
          </w:p>
        </w:tc>
      </w:tr>
      <w:tr>
        <w:tc>
          <w:tcPr>
            <w:tcW w:type="dxa" w:w="4320"/>
          </w:tcPr>
          <w:p>
            <w:r/>
            <w:r>
              <w:rPr>
                <w:sz w:val="19"/>
              </w:rPr>
              <w:t>SUPABASE_SERVICE_ROLE_KEY</w:t>
            </w:r>
          </w:p>
        </w:tc>
        <w:tc>
          <w:tcPr>
            <w:tcW w:type="dxa" w:w="4320"/>
          </w:tcPr>
          <w:p>
            <w:r/>
            <w:r>
              <w:rPr>
                <w:sz w:val="19"/>
              </w:rPr>
              <w:t>Server-side privileged key (server actions / route handlers only)</w:t>
            </w:r>
          </w:p>
        </w:tc>
      </w:tr>
      <w:tr>
        <w:tc>
          <w:tcPr>
            <w:tcW w:type="dxa" w:w="4320"/>
          </w:tcPr>
          <w:p>
            <w:r/>
            <w:r>
              <w:rPr>
                <w:sz w:val="19"/>
              </w:rPr>
              <w:t>RESEND_API_KEY</w:t>
            </w:r>
          </w:p>
        </w:tc>
        <w:tc>
          <w:tcPr>
            <w:tcW w:type="dxa" w:w="4320"/>
          </w:tcPr>
          <w:p>
            <w:r/>
            <w:r>
              <w:rPr>
                <w:sz w:val="19"/>
              </w:rPr>
              <w:t>Resend API key for transactional email</w:t>
            </w:r>
          </w:p>
        </w:tc>
      </w:tr>
      <w:tr>
        <w:tc>
          <w:tcPr>
            <w:tcW w:type="dxa" w:w="4320"/>
          </w:tcPr>
          <w:p>
            <w:r/>
            <w:r>
              <w:rPr>
                <w:sz w:val="19"/>
              </w:rPr>
              <w:t>EMAIL_FROM</w:t>
            </w:r>
          </w:p>
        </w:tc>
        <w:tc>
          <w:tcPr>
            <w:tcW w:type="dxa" w:w="4320"/>
          </w:tcPr>
          <w:p>
            <w:r/>
            <w:r>
              <w:rPr>
                <w:sz w:val="19"/>
              </w:rPr>
              <w:t>From address for outbound email (should be a verified domain sender)</w:t>
            </w:r>
          </w:p>
        </w:tc>
      </w:tr>
      <w:tr>
        <w:tc>
          <w:tcPr>
            <w:tcW w:type="dxa" w:w="4320"/>
          </w:tcPr>
          <w:p>
            <w:r/>
            <w:r>
              <w:rPr>
                <w:sz w:val="19"/>
              </w:rPr>
              <w:t>AWI_2FA_SECRET</w:t>
            </w:r>
          </w:p>
        </w:tc>
        <w:tc>
          <w:tcPr>
            <w:tcW w:type="dxa" w:w="4320"/>
          </w:tcPr>
          <w:p>
            <w:r/>
            <w:r>
              <w:rPr>
                <w:sz w:val="19"/>
              </w:rPr>
              <w:t>64-hex-char secret used to sign 2FA tokens; fail-closed if missing</w:t>
            </w:r>
          </w:p>
        </w:tc>
      </w:tr>
      <w:tr>
        <w:tc>
          <w:tcPr>
            <w:tcW w:type="dxa" w:w="4320"/>
          </w:tcPr>
          <w:p>
            <w:r/>
            <w:r>
              <w:rPr>
                <w:sz w:val="19"/>
              </w:rPr>
              <w:t>M-Pesa (Daraja) keys</w:t>
            </w:r>
          </w:p>
        </w:tc>
        <w:tc>
          <w:tcPr>
            <w:tcW w:type="dxa" w:w="4320"/>
          </w:tcPr>
          <w:p>
            <w:r/>
            <w:r>
              <w:rPr>
                <w:sz w:val="19"/>
              </w:rPr>
              <w:t>Consumer key/secret, shortcode, passkey — required to activate live payments</w:t>
            </w:r>
          </w:p>
        </w:tc>
      </w:tr>
      <w:tr>
        <w:tc>
          <w:tcPr>
            <w:tcW w:type="dxa" w:w="4320"/>
          </w:tcPr>
          <w:p>
            <w:r/>
            <w:r>
              <w:rPr>
                <w:sz w:val="19"/>
              </w:rPr>
              <w:t>PandaDoc keys</w:t>
            </w:r>
          </w:p>
        </w:tc>
        <w:tc>
          <w:tcPr>
            <w:tcW w:type="dxa" w:w="4320"/>
          </w:tcPr>
          <w:p>
            <w:r/>
            <w:r>
              <w:rPr>
                <w:sz w:val="19"/>
              </w:rPr>
              <w:t>API key + template IDs — only if external e-sign is used</w:t>
            </w:r>
          </w:p>
        </w:tc>
      </w:tr>
    </w:tbl>
    <w:p>
      <w:pPr>
        <w:pStyle w:val="Heading2"/>
      </w:pPr>
      <w:r>
        <w:t>Build &amp; verify</w:t>
      </w:r>
    </w:p>
    <w:p>
      <w:r>
        <w:rPr>
          <w:rFonts w:ascii="Consolas" w:hAnsi="Consolas"/>
          <w:sz w:val="19"/>
        </w:rPr>
        <w:t>cd web &amp;&amp; rm -rf .next &amp;&amp; npm run build</w:t>
      </w:r>
    </w:p>
    <w:p>
      <w:pPr>
        <w:pStyle w:val="ListBullet"/>
      </w:pPr>
      <w:r>
        <w:t>Green build = "Compiled successfully", 0 type errors, and 44/44 pages generated. Any "Failed to compile" or "Type error" is red.</w:t>
      </w:r>
    </w:p>
    <w:p>
      <w:pPr>
        <w:pStyle w:val="ListBullet"/>
      </w:pPr>
      <w:r>
        <w:t>CSS is processed at build time, so a stylesheet syntax error will fail the build even though it is not type-checked.</w:t>
      </w:r>
    </w:p>
    <w:p>
      <w:pPr>
        <w:pStyle w:val="Heading1"/>
      </w:pPr>
      <w:r>
        <w:t>3. Data model (key tables &amp; identifiers)</w:t>
      </w:r>
    </w:p>
    <w:p>
      <w:pPr>
        <w:pStyle w:val="Heading2"/>
      </w:pPr>
      <w:r>
        <w:t>profiles</w:t>
      </w:r>
    </w:p>
    <w:p>
      <w:pPr>
        <w:pStyle w:val="ListBullet"/>
      </w:pPr>
      <w:r>
        <w:t>One row per login. Key columns: id (uuid, = auth user id), full_name, role (member_role enum), investor_id, title (nullable, optional display title).</w:t>
      </w:r>
    </w:p>
    <w:p>
      <w:pPr>
        <w:pStyle w:val="ListBullet"/>
      </w:pPr>
      <w:r>
        <w:t>full_name is the name the app displays. Names shown on the Supabase Auth screen come from auth.users metadata and are cosmetic — not app-displayed and not editable via app tooling.</w:t>
      </w:r>
    </w:p>
    <w:p>
      <w:pPr>
        <w:pStyle w:val="Heading2"/>
      </w:pPr>
      <w:r>
        <w:t>member_finances (the fund register)</w:t>
      </w:r>
    </w:p>
    <w:p>
      <w:pPr>
        <w:pStyle w:val="ListBullet"/>
      </w:pPr>
      <w:r>
        <w:t>One row per fund position. Key columns: member_no, full_name, member_id (links a login to this record; UNIQUE), status, and the balance columns.</w:t>
      </w:r>
    </w:p>
    <w:p>
      <w:pPr>
        <w:pStyle w:val="ListBullet"/>
      </w:pPr>
      <w:r>
        <w:t>status values: active, exiting, exited, account (internal fund accounts), sample (demo/preview data).</w:t>
      </w:r>
    </w:p>
    <w:p>
      <w:pPr>
        <w:pStyle w:val="ListBullet"/>
      </w:pPr>
      <w:r>
        <w:t>Balance formula (exact): current = opening_balance_2025 + contributions_2026 + total_interest_2026 − withdrawal. Net (withdrawable) balance equals current.</w:t>
      </w:r>
    </w:p>
    <w:p>
      <w:pPr>
        <w:pStyle w:val="Heading2"/>
      </w:pPr>
      <w:r>
        <w:t>Identifiers</w:t>
      </w:r>
    </w:p>
    <w:p>
      <w:pPr>
        <w:pStyle w:val="ListBullet"/>
      </w:pPr>
      <w:r>
        <w:t>investor_id is issued as AWV-YYYY-#### via the investor_seq sequence at registration, then overwritten with the member_no when the login is linked to (claims) its fund record.</w:t>
      </w:r>
    </w:p>
    <w:p>
      <w:pPr>
        <w:pStyle w:val="ListBullet"/>
      </w:pPr>
      <w:r>
        <w:t>Delinking a fund record clears the login’s investor_id.</w:t>
      </w:r>
    </w:p>
    <w:p>
      <w:pPr>
        <w:pStyle w:val="Heading2"/>
      </w:pPr>
      <w:r>
        <w:t>Sample / internal exclusion rule (important)</w:t>
      </w:r>
    </w:p>
    <w:p>
      <w:pPr>
        <w:pStyle w:val="ListBullet"/>
      </w:pPr>
      <w:r>
        <w:t>Rows with status = sample (demo copies) and status = account (internal fund accounts) must be excluded from real member counts and total balances.</w:t>
      </w:r>
    </w:p>
    <w:p>
      <w:pPr>
        <w:pStyle w:val="ListBullet"/>
      </w:pPr>
      <w:r>
        <w:t>Every aggregation surface applies this: dashboard, reports, member statements and fund data. When adding a new aggregation, remember to filter these out (e.g. .neq('status','sample') and the fund-account exclusion).</w:t>
      </w:r>
    </w:p>
    <w:p>
      <w:pPr>
        <w:pStyle w:val="Heading1"/>
      </w:pPr>
      <w:r>
        <w:t>4. Roles &amp; access model</w:t>
      </w:r>
    </w:p>
    <w:p>
      <w:pPr>
        <w:pStyle w:val="ListBullet"/>
      </w:pPr>
      <w:r>
        <w:t>Enum member_role has four tiers. Labels: member = Investor, secretary = Secretary, admin = Admin, superadmin = Chairlady.</w:t>
      </w:r>
    </w:p>
    <w:p>
      <w:pPr>
        <w:pStyle w:val="ListBullet"/>
      </w:pPr>
      <w:r>
        <w:t>Optional display title: profiles.title, surfaced via displayRole(role, title) in lib/roles.ts — returns the title if set (e.g. "Super Admin"), otherwise the standard role label. It is cosmetic and changes no permissions. It is rendered in StaffShell (sidebar + header badge), the members browser and detail page, the roles page and the dashboard.</w:t>
      </w:r>
    </w:p>
    <w:p>
      <w:pPr>
        <w:pStyle w:val="ListBullet"/>
      </w:pPr>
      <w:r>
        <w:t>Segregated duties: routine operations sit with the Secretary; anything that moves money, changes a member’s standing, or reconfigures the system is Admin+; final approval of a member withdrawal is the Chairlady’s alone (approval and payout are deliberately separated).</w:t>
      </w:r>
    </w:p>
    <w:p>
      <w:pPr>
        <w:pStyle w:val="ListBullet"/>
      </w:pPr>
      <w:r>
        <w:t>Security: Supabase row-level security so members only see their own records; mandatory two-factor authentication for all staff console access; private storage opened only through short-lived signed URLs.</w:t>
      </w:r>
    </w:p>
    <w:p>
      <w:pPr>
        <w:pStyle w:val="Heading1"/>
      </w:pPr>
      <w:r>
        <w:t>5. Key subsystems (where things live)</w:t>
      </w:r>
    </w:p>
    <w:p>
      <w:pPr>
        <w:pStyle w:val="Heading2"/>
      </w:pPr>
      <w:r>
        <w:t>Onboarding &amp; KYC</w:t>
      </w:r>
    </w:p>
    <w:p>
      <w:pPr>
        <w:pStyle w:val="ListBullet"/>
      </w:pPr>
      <w:r>
        <w:t>Onboarding UI: app/(portal)/onboarding/OnboardingClient.tsx; server logic in onboarding/actions.ts. Steps: register → verify email → personal data → KYC upload → sign agreements → review &amp; submit.</w:t>
      </w:r>
    </w:p>
    <w:p>
      <w:pPr>
        <w:pStyle w:val="ListBullet"/>
      </w:pPr>
      <w:r>
        <w:t>KYC uploads are guarded client-side for type (PDF/JPG/PNG) and size (25 MB) and hardened server-side. KYC approval is decoupled from account approval; approved documents are locked; staff can upload/replace on a member’s behalf.</w:t>
      </w:r>
    </w:p>
    <w:p>
      <w:pPr>
        <w:pStyle w:val="Heading2"/>
      </w:pPr>
      <w:r>
        <w:t>Signatures</w:t>
      </w:r>
    </w:p>
    <w:p>
      <w:pPr>
        <w:pStyle w:val="ListBullet"/>
      </w:pPr>
      <w:r>
        <w:t>Shared component: components/SignaturePad.tsx — now a CONTROLLED hidden input (single React state) so what submits always equals what the member sees. Includes a busy state, a "Signature captured" confirmation, HEIC/decode guidance and an onCapture(hasSignature) callback.</w:t>
      </w:r>
    </w:p>
    <w:p>
      <w:pPr>
        <w:pStyle w:val="ListBullet"/>
      </w:pPr>
      <w:r>
        <w:t>Onboarding uses SignaturePad with strict validation in onboarding/actions.ts (signature must be a data:image/... string under 700000 chars). The Sign &amp; stamp button is gated (disabled) until a signature is actually captured, preventing the empty-submit race that caused the false "add your signature" error on mobile.</w:t>
      </w:r>
    </w:p>
    <w:p>
      <w:pPr>
        <w:pStyle w:val="ListBullet"/>
      </w:pPr>
      <w:r>
        <w:t>Other signing surfaces: AgreementSigner.tsx (/agreements) and FormFill.tsx (/forms) use controlled, state-backed values and do not strictly require an image. A follow-up could unify all three on the hardened SignaturePad.</w:t>
      </w:r>
    </w:p>
    <w:p>
      <w:pPr>
        <w:pStyle w:val="Heading2"/>
      </w:pPr>
      <w:r>
        <w:t>Withdrawals</w:t>
      </w:r>
    </w:p>
    <w:p>
      <w:pPr>
        <w:pStyle w:val="ListBullet"/>
      </w:pPr>
      <w:r>
        <w:t>Member request cycle + staff queue: Submitted → Under review → Approved/Returned → Paid. Secretary starts review; Chairlady approves/returns; Admin or Chairlady marks paid, which auto-posts to the member’s fund record and statement. Payout window and reason type (exit/other) are admin-controlled.</w:t>
      </w:r>
    </w:p>
    <w:p>
      <w:pPr>
        <w:pStyle w:val="Heading2"/>
      </w:pPr>
      <w:r>
        <w:t>Statements, fund data &amp; reports</w:t>
      </w:r>
    </w:p>
    <w:p>
      <w:pPr>
        <w:pStyle w:val="ListBullet"/>
      </w:pPr>
      <w:r>
        <w:t>Staff statements: staff/statements/page.tsx. Fund data console records contributions (with a fund type: contribution / membership / welfare), imports schedules, and handles withdrawals/exits. Reports export a full multi-tab fund workbook (.xlsx) in AWI brand colours with a member register table.</w:t>
      </w:r>
    </w:p>
    <w:p>
      <w:pPr>
        <w:pStyle w:val="ListBullet"/>
      </w:pPr>
      <w:r>
        <w:t>All of these apply the sample/internal-account exclusion described in section 3.</w:t>
      </w:r>
    </w:p>
    <w:p>
      <w:pPr>
        <w:pStyle w:val="Heading2"/>
      </w:pPr>
      <w:r>
        <w:t>Email</w:t>
      </w:r>
    </w:p>
    <w:p>
      <w:pPr>
        <w:pStyle w:val="ListBullet"/>
      </w:pPr>
      <w:r>
        <w:t>Transactional email via Resend through a single sendMemberEmail path (verification codes, approvals, withdrawal updates). Staff diagnostic page /staff/email-health shows RESEND/EMAIL_FROM set-status and does a live test send through the real send path (sendTestEmail server action).</w:t>
      </w:r>
    </w:p>
    <w:p>
      <w:pPr>
        <w:pStyle w:val="ListBullet"/>
      </w:pPr>
      <w:r>
        <w:t>Open item: confirm the sending domain is verified in Resend (SPF/DKIM) so real members receive mail — an unverified setup only delivers to the Resend account owner.</w:t>
      </w:r>
    </w:p>
    <w:p>
      <w:pPr>
        <w:pStyle w:val="Heading2"/>
      </w:pPr>
      <w:r>
        <w:t>Notifications</w:t>
      </w:r>
    </w:p>
    <w:p>
      <w:pPr>
        <w:pStyle w:val="ListBullet"/>
      </w:pPr>
      <w:r>
        <w:t>Real-time notification bell; published Information Center posts fan out to all users (news/events on by default).</w:t>
      </w:r>
    </w:p>
    <w:p>
      <w:pPr>
        <w:pStyle w:val="Heading2"/>
      </w:pPr>
      <w:r>
        <w:t>Security</w:t>
      </w:r>
    </w:p>
    <w:p>
      <w:pPr>
        <w:pStyle w:val="ListBullet"/>
      </w:pPr>
      <w:r>
        <w:t>Mandatory emailed sign-in code for all users + staff 2FA; fail-closed 2FA signing secret; server-side upload hardening; signed URLs for private documents; fail-open rate limiting on login/2FA endpoints; Content-Security-Policy (currently report-only — can be enforced once clean).</w:t>
      </w:r>
    </w:p>
    <w:p>
      <w:pPr>
        <w:pStyle w:val="Heading2"/>
      </w:pPr>
      <w:r>
        <w:t>Design system</w:t>
      </w:r>
    </w:p>
    <w:p>
      <w:pPr>
        <w:pStyle w:val="ListBullet"/>
      </w:pPr>
      <w:r>
        <w:t>app/globals.css defines brand variables --purple (#7e2674) / --purple2 (#a6398f) / --lime (#a6cd35) / --lime2 (#c3e05f) and shared classes (.glass, .card, .hero, .stat, .badge, .btn, .pagenav, .tabs, .tab, .input, .nav-item, .kpi).</w:t>
      </w:r>
    </w:p>
    <w:p>
      <w:pPr>
        <w:pStyle w:val="ListBullet"/>
      </w:pPr>
      <w:r>
        <w:t>Responsive: sidebar collapses to a drawer; dashboard/hero stack; tables sit in horizontal-scroll wrappers; .pagenav and .tabs are single-row swipeable at &lt;=640px. A mobile best-practices layer at the end of globals.css sets 16px form controls (no iOS zoom-on-focus), ~44px tap targets, and an overflow-x:clip guard.</w:t>
      </w:r>
    </w:p>
    <w:p>
      <w:pPr>
        <w:pStyle w:val="Heading1"/>
      </w:pPr>
      <w:r>
        <w:t>6. What has been achieved so far</w:t>
      </w:r>
    </w:p>
    <w:p>
      <w:r>
        <w:t>The portal was built incrementally across ~150 pull requests (July–September 2026). Grouped by theme:</w:t>
      </w:r>
    </w:p>
    <w:p>
      <w:pPr>
        <w:pStyle w:val="Heading2"/>
      </w:pPr>
      <w:r>
        <w:t>Foundation &amp; onboarding</w:t>
      </w:r>
    </w:p>
    <w:p>
      <w:pPr>
        <w:pStyle w:val="ListBullet"/>
      </w:pPr>
      <w:r>
        <w:t>International, multi-type registration (Stages A–D): per-type membership details and document requirements; readable sign-up errors; friendly date entry; searchable country/dial-code and date pickers.</w:t>
      </w:r>
    </w:p>
    <w:p>
      <w:pPr>
        <w:pStyle w:val="ListBullet"/>
      </w:pPr>
      <w:r>
        <w:t>Member ↔ fund-record mapping (originally by National ID at registration; later moved to admin-only mapping with member self-claim removed).</w:t>
      </w:r>
    </w:p>
    <w:p>
      <w:pPr>
        <w:pStyle w:val="ListBullet"/>
      </w:pPr>
      <w:r>
        <w:t>Loaded 48 member fund positions into member_finances; contribution ledger applied on claim.</w:t>
      </w:r>
    </w:p>
    <w:p>
      <w:pPr>
        <w:pStyle w:val="Heading2"/>
      </w:pPr>
      <w:r>
        <w:t>Member portal</w:t>
      </w:r>
    </w:p>
    <w:p>
      <w:pPr>
        <w:pStyle w:val="ListBullet"/>
      </w:pPr>
      <w:r>
        <w:t>Real-data Dashboard, Investment Portfolio, Contributions &amp; Earnings, Payments, Dividends, Statements, Opportunities, Planning Centre / Goal Tracker, Financial Profile (MSI).</w:t>
      </w:r>
    </w:p>
    <w:p>
      <w:pPr>
        <w:pStyle w:val="ListBullet"/>
      </w:pPr>
      <w:r>
        <w:t>Self-service, branded, print-ready investor statement with personalized PDF download; portfolio composition; exit-settlement view for partial payouts.</w:t>
      </w:r>
    </w:p>
    <w:p>
      <w:pPr>
        <w:pStyle w:val="ListBullet"/>
      </w:pPr>
      <w:r>
        <w:t>Compliance: Document Centre, KYC Verification, Online Forms, Agreements, Welfare enrolment &amp; claims.</w:t>
      </w:r>
    </w:p>
    <w:p>
      <w:pPr>
        <w:pStyle w:val="Heading2"/>
      </w:pPr>
      <w:r>
        <w:t>Staff console</w:t>
      </w:r>
    </w:p>
    <w:p>
      <w:pPr>
        <w:pStyle w:val="ListBullet"/>
      </w:pPr>
      <w:r>
        <w:t>Approvals &amp; Members with KPI filters and search; KYC review redesign; Forms admin; Welfare review console; Member Statements; Fund data console with live .xlsx export; Reports &amp; distribution with partner-interest breakout; Information Center; Role management.</w:t>
      </w:r>
    </w:p>
    <w:p>
      <w:pPr>
        <w:pStyle w:val="ListBullet"/>
      </w:pPr>
      <w:r>
        <w:t>Fair approval queue with wait-time visibility; staff can act on behalf of members for KYC.</w:t>
      </w:r>
    </w:p>
    <w:p>
      <w:pPr>
        <w:pStyle w:val="Heading2"/>
      </w:pPr>
      <w:r>
        <w:t>Money &amp; accuracy</w:t>
      </w:r>
    </w:p>
    <w:p>
      <w:pPr>
        <w:pStyle w:val="ListBullet"/>
      </w:pPr>
      <w:r>
        <w:t>Withdrawals ledger + record-withdrawal; exit lifecycle (mark/settle); welfare payouts; auto-posting of paid withdrawals to statements.</w:t>
      </w:r>
    </w:p>
    <w:p>
      <w:pPr>
        <w:pStyle w:val="ListBullet"/>
      </w:pPr>
      <w:r>
        <w:t>Exact-cents money handling everywhere (no rounding to whole shillings); corrected interest-by-partner columns; retired mislabeled interest columns; reconciled dashboard vs reports totals.</w:t>
      </w:r>
    </w:p>
    <w:p>
      <w:pPr>
        <w:pStyle w:val="ListBullet"/>
      </w:pPr>
      <w:r>
        <w:t>Excluded fund/sample/internal accounts from counts and totals across dashboard, reports, statements and fund data.</w:t>
      </w:r>
    </w:p>
    <w:p>
      <w:pPr>
        <w:pStyle w:val="Heading2"/>
      </w:pPr>
      <w:r>
        <w:t>Security &amp; performance</w:t>
      </w:r>
    </w:p>
    <w:p>
      <w:pPr>
        <w:pStyle w:val="ListBullet"/>
      </w:pPr>
      <w:r>
        <w:t>Mandatory sign-in codes + staff 2FA; fail-closed 2FA secret; upload hardening; signed URLs; rate limiting; report-only CSP; gated the demo-data writer out of production.</w:t>
      </w:r>
    </w:p>
    <w:p>
      <w:pPr>
        <w:pStyle w:val="ListBullet"/>
      </w:pPr>
      <w:r>
        <w:t>Per-request de-duplication of auth+profile with React cache; route-level loading skeletons; Vercel functions pinned to Dublin next to Supabase.</w:t>
      </w:r>
    </w:p>
    <w:p>
      <w:pPr>
        <w:pStyle w:val="Heading2"/>
      </w:pPr>
      <w:r>
        <w:t>This cycle (recent)</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19"/>
              </w:rPr>
              <w:t>PR</w:t>
            </w:r>
          </w:p>
        </w:tc>
        <w:tc>
          <w:tcPr>
            <w:tcW w:type="dxa" w:w="4320"/>
          </w:tcPr>
          <w:p>
            <w:r/>
            <w:r>
              <w:rPr>
                <w:b/>
                <w:sz w:val="19"/>
              </w:rPr>
              <w:t>Change</w:t>
            </w:r>
          </w:p>
        </w:tc>
      </w:tr>
      <w:tr>
        <w:tc>
          <w:tcPr>
            <w:tcW w:type="dxa" w:w="4320"/>
          </w:tcPr>
          <w:p>
            <w:r/>
            <w:r>
              <w:rPr>
                <w:sz w:val="19"/>
              </w:rPr>
              <w:t>#141</w:t>
            </w:r>
          </w:p>
        </w:tc>
        <w:tc>
          <w:tcPr>
            <w:tcW w:type="dxa" w:w="4320"/>
          </w:tcPr>
          <w:p>
            <w:r/>
            <w:r>
              <w:rPr>
                <w:sz w:val="19"/>
              </w:rPr>
              <w:t>Reports workbook export in brand colours</w:t>
            </w:r>
          </w:p>
        </w:tc>
      </w:tr>
      <w:tr>
        <w:tc>
          <w:tcPr>
            <w:tcW w:type="dxa" w:w="4320"/>
          </w:tcPr>
          <w:p>
            <w:r/>
            <w:r>
              <w:rPr>
                <w:sz w:val="19"/>
              </w:rPr>
              <w:t>#142</w:t>
            </w:r>
          </w:p>
        </w:tc>
        <w:tc>
          <w:tcPr>
            <w:tcW w:type="dxa" w:w="4320"/>
          </w:tcPr>
          <w:p>
            <w:r/>
            <w:r>
              <w:rPr>
                <w:sz w:val="19"/>
              </w:rPr>
              <w:t>Mobile: single-row swipeable section nav &amp; tab bars</w:t>
            </w:r>
          </w:p>
        </w:tc>
      </w:tr>
      <w:tr>
        <w:tc>
          <w:tcPr>
            <w:tcW w:type="dxa" w:w="4320"/>
          </w:tcPr>
          <w:p>
            <w:r/>
            <w:r>
              <w:rPr>
                <w:sz w:val="19"/>
              </w:rPr>
              <w:t>#143</w:t>
            </w:r>
          </w:p>
        </w:tc>
        <w:tc>
          <w:tcPr>
            <w:tcW w:type="dxa" w:w="4320"/>
          </w:tcPr>
          <w:p>
            <w:r/>
            <w:r>
              <w:rPr>
                <w:sz w:val="19"/>
              </w:rPr>
              <w:t>Exclude sample/preview members from counts &amp; fund totals</w:t>
            </w:r>
          </w:p>
        </w:tc>
      </w:tr>
      <w:tr>
        <w:tc>
          <w:tcPr>
            <w:tcW w:type="dxa" w:w="4320"/>
          </w:tcPr>
          <w:p>
            <w:r/>
            <w:r>
              <w:rPr>
                <w:sz w:val="19"/>
              </w:rPr>
              <w:t>#144</w:t>
            </w:r>
          </w:p>
        </w:tc>
        <w:tc>
          <w:tcPr>
            <w:tcW w:type="dxa" w:w="4320"/>
          </w:tcPr>
          <w:p>
            <w:r/>
            <w:r>
              <w:rPr>
                <w:sz w:val="19"/>
              </w:rPr>
              <w:t>Pin Vercel functions to Dublin (eu-west-1)</w:t>
            </w:r>
          </w:p>
        </w:tc>
      </w:tr>
      <w:tr>
        <w:tc>
          <w:tcPr>
            <w:tcW w:type="dxa" w:w="4320"/>
          </w:tcPr>
          <w:p>
            <w:r/>
            <w:r>
              <w:rPr>
                <w:sz w:val="19"/>
              </w:rPr>
              <w:t>#145</w:t>
            </w:r>
          </w:p>
        </w:tc>
        <w:tc>
          <w:tcPr>
            <w:tcW w:type="dxa" w:w="4320"/>
          </w:tcPr>
          <w:p>
            <w:r/>
            <w:r>
              <w:rPr>
                <w:sz w:val="19"/>
              </w:rPr>
              <w:t>Staff email-health check + one-click test send</w:t>
            </w:r>
          </w:p>
        </w:tc>
      </w:tr>
      <w:tr>
        <w:tc>
          <w:tcPr>
            <w:tcW w:type="dxa" w:w="4320"/>
          </w:tcPr>
          <w:p>
            <w:r/>
            <w:r>
              <w:rPr>
                <w:sz w:val="19"/>
              </w:rPr>
              <w:t>#146</w:t>
            </w:r>
          </w:p>
        </w:tc>
        <w:tc>
          <w:tcPr>
            <w:tcW w:type="dxa" w:w="4320"/>
          </w:tcPr>
          <w:p>
            <w:r/>
            <w:r>
              <w:rPr>
                <w:sz w:val="19"/>
              </w:rPr>
              <w:t>Statements: exclude sample rows from register count + Total balance</w:t>
            </w:r>
          </w:p>
        </w:tc>
      </w:tr>
      <w:tr>
        <w:tc>
          <w:tcPr>
            <w:tcW w:type="dxa" w:w="4320"/>
          </w:tcPr>
          <w:p>
            <w:r/>
            <w:r>
              <w:rPr>
                <w:sz w:val="19"/>
              </w:rPr>
              <w:t>#147</w:t>
            </w:r>
          </w:p>
        </w:tc>
        <w:tc>
          <w:tcPr>
            <w:tcW w:type="dxa" w:w="4320"/>
          </w:tcPr>
          <w:p>
            <w:r/>
            <w:r>
              <w:rPr>
                <w:sz w:val="19"/>
              </w:rPr>
              <w:t>Optional display title (show "Super Admin" vs "Chairlady")</w:t>
            </w:r>
          </w:p>
        </w:tc>
      </w:tr>
      <w:tr>
        <w:tc>
          <w:tcPr>
            <w:tcW w:type="dxa" w:w="4320"/>
          </w:tcPr>
          <w:p>
            <w:r/>
            <w:r>
              <w:rPr>
                <w:sz w:val="19"/>
              </w:rPr>
              <w:t>#148</w:t>
            </w:r>
          </w:p>
        </w:tc>
        <w:tc>
          <w:tcPr>
            <w:tcW w:type="dxa" w:w="4320"/>
          </w:tcPr>
          <w:p>
            <w:r/>
            <w:r>
              <w:rPr>
                <w:sz w:val="19"/>
              </w:rPr>
              <w:t>Reliable signature draw/upload capture + gated Sign button (onboarding)</w:t>
            </w:r>
          </w:p>
        </w:tc>
      </w:tr>
      <w:tr>
        <w:tc>
          <w:tcPr>
            <w:tcW w:type="dxa" w:w="4320"/>
          </w:tcPr>
          <w:p>
            <w:r/>
            <w:r>
              <w:rPr>
                <w:sz w:val="19"/>
              </w:rPr>
              <w:t>#149</w:t>
            </w:r>
          </w:p>
        </w:tc>
        <w:tc>
          <w:tcPr>
            <w:tcW w:type="dxa" w:w="4320"/>
          </w:tcPr>
          <w:p>
            <w:r/>
            <w:r>
              <w:rPr>
                <w:sz w:val="19"/>
              </w:rPr>
              <w:t>Mobile responsive best-practices layer (16px inputs, 44px tap targets, overflow guard)</w:t>
            </w:r>
          </w:p>
        </w:tc>
      </w:tr>
    </w:tbl>
    <w:p>
      <w:pPr>
        <w:pStyle w:val="Heading1"/>
      </w:pPr>
      <w:r>
        <w:t>7. Conventions &amp; workflow</w:t>
      </w:r>
    </w:p>
    <w:p>
      <w:pPr>
        <w:pStyle w:val="ListBullet"/>
      </w:pPr>
      <w:r>
        <w:t>Branch per change, then open a pull request against main; the owner merges, and Vercel deploys from main.</w:t>
      </w:r>
    </w:p>
    <w:p>
      <w:pPr>
        <w:pStyle w:val="ListBullet"/>
      </w:pPr>
      <w:r>
        <w:t>Every build must be green (44/44 pages) before opening a PR.</w:t>
      </w:r>
    </w:p>
    <w:p>
      <w:pPr>
        <w:pStyle w:val="ListBullet"/>
      </w:pPr>
      <w:r>
        <w:t>Database changes ship as timestamped migrations under supabase/migrations. A change that adds a column AND deployed code that reads it must land together (code degrades safely until the migration is applied).</w:t>
      </w:r>
    </w:p>
    <w:p>
      <w:pPr>
        <w:pStyle w:val="ListBullet"/>
      </w:pPr>
      <w:r>
        <w:t>Exact-cents standing rule: never round money for display or calculation. Keep cents everywhere.</w:t>
      </w:r>
    </w:p>
    <w:p>
      <w:pPr>
        <w:pStyle w:val="ListBullet"/>
      </w:pPr>
      <w:r>
        <w:t>Money-affecting and standing-changing actions are Admin+; withdrawal approval is Chairlady-only. Preserve segregated duties when adding features.</w:t>
      </w:r>
    </w:p>
    <w:p>
      <w:pPr>
        <w:pStyle w:val="Heading1"/>
      </w:pPr>
      <w:r>
        <w:t>8. Known gotchas / operational notes</w:t>
      </w:r>
    </w:p>
    <w:p>
      <w:pPr>
        <w:pStyle w:val="ListBullet"/>
      </w:pPr>
      <w:r>
        <w:t>The row-update tooling silently drops NULL values — it cannot write NULL. Non-null writes work. To set a column to NULL, run SQL directly in the Supabase SQL editor.</w:t>
      </w:r>
    </w:p>
    <w:p>
      <w:pPr>
        <w:pStyle w:val="ListBullet"/>
      </w:pPr>
      <w:r>
        <w:t>Display names: profiles.full_name is authoritative in-app; auth.users metadata names are cosmetic and edited only in the Supabase dashboard.</w:t>
      </w:r>
    </w:p>
    <w:p>
      <w:pPr>
        <w:pStyle w:val="ListBullet"/>
      </w:pPr>
      <w:r>
        <w:t>Mobile overflow guard uses overflow-x: clip (not hidden) so the sticky topbar keeps working.</w:t>
      </w:r>
    </w:p>
    <w:p>
      <w:pPr>
        <w:pStyle w:val="ListBullet"/>
      </w:pPr>
      <w:r>
        <w:t>Signature validation is strict only in onboarding (data:image/... under 700000 chars); large phone photos are downscaled by SignaturePad to stay under the limit.</w:t>
      </w:r>
    </w:p>
    <w:p>
      <w:pPr>
        <w:pStyle w:val="Heading1"/>
      </w:pPr>
      <w:r>
        <w:t>9. Outstanding work</w:t>
      </w:r>
    </w:p>
    <w:p>
      <w:pPr>
        <w:pStyle w:val="ListBullet"/>
      </w:pPr>
      <w:r>
        <w:t>Merge &amp; redeploy the current queue (PRs #141–#149), then apply the matching migrations.</w:t>
      </w:r>
    </w:p>
    <w:p>
      <w:pPr>
        <w:pStyle w:val="ListBullet"/>
      </w:pPr>
      <w:r>
        <w:t>Run the display-title migration/SQL: add profiles.title (text) and set the Super Admin title; the label reads "Chairlady" until both the migration and PR #147 are live.</w:t>
      </w:r>
    </w:p>
    <w:p>
      <w:pPr>
        <w:pStyle w:val="ListBullet"/>
      </w:pPr>
      <w:r>
        <w:t>Apply pending migrations (membership-mapping, security/storage, data-hygiene, payout-window, signature-capture, display-title).</w:t>
      </w:r>
    </w:p>
    <w:p>
      <w:pPr>
        <w:pStyle w:val="ListBullet"/>
      </w:pPr>
      <w:r>
        <w:t>Verify the Resend sending domain (SPF/DKIM) so real members receive email.</w:t>
      </w:r>
    </w:p>
    <w:p>
      <w:pPr>
        <w:pStyle w:val="ListBullet"/>
      </w:pPr>
      <w:r>
        <w:t>Decide the money-out payment rail (M-Pesa Daraja B2C vs bank API) and provide credentials; then wire disbursements to it.</w:t>
      </w:r>
    </w:p>
    <w:p>
      <w:pPr>
        <w:pStyle w:val="ListBullet"/>
      </w:pPr>
      <w:r>
        <w:t>Optional: enforce CSP (move from report-only), add a Vercel WAF, and async-load Font Awesome.</w:t>
      </w:r>
    </w:p>
    <w:p>
      <w:pPr>
        <w:pStyle w:val="Heading1"/>
      </w:pPr>
      <w:r>
        <w:t>10. Brand &amp; contacts</w:t>
      </w:r>
    </w:p>
    <w:p>
      <w:pPr>
        <w:pStyle w:val="ListBullet"/>
      </w:pPr>
      <w:r>
        <w:t>Website: awivest.com   ·   Email: info@awivest.com   ·   Phone: +254 748 475 347</w:t>
      </w:r>
    </w:p>
    <w:p>
      <w:pPr>
        <w:pStyle w:val="ListBullet"/>
      </w:pPr>
      <w:r>
        <w:t>Brand colours: purple #7e2674 / #a6398f, lime #a6cd35 / #c3e05f.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