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4B5563"/>
          <w:sz w:val="22"/>
        </w:rPr>
        <w:t>Bristol Workplace Parking Levy</w:t>
      </w:r>
    </w:p>
    <w:p>
      <w:pPr>
        <w:spacing w:after="80"/>
      </w:pPr>
      <w:r>
        <w:rPr>
          <w:rFonts w:ascii="Calibri" w:hAnsi="Calibri"/>
          <w:b/>
          <w:color w:val="111827"/>
          <w:sz w:val="48"/>
        </w:rPr>
        <w:t>OBC Simulation Release</w:t>
      </w:r>
    </w:p>
    <w:p>
      <w:pPr>
        <w:spacing w:after="280"/>
      </w:pPr>
      <w:r>
        <w:rPr>
          <w:rFonts w:ascii="Calibri" w:hAnsi="Calibri"/>
          <w:color w:val="4B5563"/>
          <w:sz w:val="26"/>
        </w:rPr>
        <w:t>Editable Word version generated from the Stage 33A Markdown release</w:t>
      </w:r>
    </w:p>
    <w:p>
      <w:pPr>
        <w:spacing w:after="40"/>
      </w:pPr>
      <w:r>
        <w:rPr>
          <w:rFonts w:ascii="Calibri" w:hAnsi="Calibri"/>
          <w:b/>
          <w:color w:val="111827"/>
          <w:sz w:val="21"/>
        </w:rPr>
        <w:t xml:space="preserve">Document type: </w:t>
      </w:r>
      <w:r>
        <w:rPr>
          <w:rFonts w:ascii="Calibri" w:hAnsi="Calibri"/>
          <w:color w:val="111827"/>
          <w:sz w:val="21"/>
        </w:rPr>
        <w:t>Outline Business Case simulation</w:t>
      </w:r>
    </w:p>
    <w:p>
      <w:pPr>
        <w:spacing w:after="40"/>
      </w:pPr>
      <w:r>
        <w:rPr>
          <w:rFonts w:ascii="Calibri" w:hAnsi="Calibri"/>
          <w:b/>
          <w:color w:val="111827"/>
          <w:sz w:val="21"/>
        </w:rPr>
        <w:t xml:space="preserve">Status: </w:t>
      </w:r>
      <w:r>
        <w:rPr>
          <w:rFonts w:ascii="Calibri" w:hAnsi="Calibri"/>
          <w:color w:val="111827"/>
          <w:sz w:val="21"/>
        </w:rPr>
        <w:t>Simulation-only editable DOCX</w:t>
      </w:r>
    </w:p>
    <w:p>
      <w:pPr>
        <w:spacing w:after="40"/>
      </w:pPr>
      <w:r>
        <w:rPr>
          <w:rFonts w:ascii="Calibri" w:hAnsi="Calibri"/>
          <w:b/>
          <w:color w:val="111827"/>
          <w:sz w:val="21"/>
        </w:rPr>
        <w:t xml:space="preserve">Date: </w:t>
      </w:r>
      <w:r>
        <w:rPr>
          <w:rFonts w:ascii="Calibri" w:hAnsi="Calibri"/>
          <w:color w:val="111827"/>
          <w:sz w:val="21"/>
        </w:rPr>
        <w:t>2026-06-27</w:t>
      </w:r>
    </w:p>
    <w:p>
      <w:pPr>
        <w:spacing w:after="40"/>
      </w:pPr>
      <w:r>
        <w:rPr>
          <w:rFonts w:ascii="Calibri" w:hAnsi="Calibri"/>
          <w:b/>
          <w:color w:val="111827"/>
          <w:sz w:val="21"/>
        </w:rPr>
        <w:t xml:space="preserve">Pack stage: </w:t>
      </w:r>
      <w:r>
        <w:rPr>
          <w:rFonts w:ascii="Calibri" w:hAnsi="Calibri"/>
          <w:color w:val="111827"/>
          <w:sz w:val="21"/>
        </w:rPr>
        <w:t>Stage 35A DOCX document pack</w:t>
      </w:r>
    </w:p>
    <w:tbl>
      <w:tblPr>
        <w:tblStyle w:val="TableGrid"/>
        <w:tblW w:type="auto" w:w="0"/>
        <w:tblLook w:firstColumn="1" w:firstRow="1" w:lastColumn="0" w:lastRow="0" w:noHBand="0" w:noVBand="1" w:val="04A0"/>
      </w:tblPr>
      <w:tblGrid>
        <w:gridCol w:w="9360"/>
      </w:tblGrid>
      <w:tr>
        <w:tc>
          <w:tcPr>
            <w:tcW w:type="dxa" w:w="9360"/>
            <w:shd w:fill="FFF4CC"/>
            <w:tcMar>
              <w:top w:w="120" w:type="dxa"/>
              <w:start w:w="160" w:type="dxa"/>
              <w:bottom w:w="120" w:type="dxa"/>
              <w:end w:w="160" w:type="dxa"/>
            </w:tcMar>
          </w:tcPr>
          <w:p>
            <w:pPr>
              <w:spacing w:after="60"/>
            </w:pPr>
            <w:r>
              <w:rPr>
                <w:rFonts w:ascii="Calibri" w:hAnsi="Calibri"/>
                <w:b/>
                <w:color w:val="111827"/>
                <w:sz w:val="21"/>
              </w:rPr>
              <w:t>Read this first</w:t>
            </w:r>
          </w:p>
          <w:p>
            <w:pPr>
              <w:spacing w:after="0"/>
            </w:pPr>
            <w:r>
              <w:rPr>
                <w:rFonts w:ascii="Calibri" w:hAnsi="Calibri"/>
              </w:rPr>
              <w:t>This document is part of a shareable DOCX pack generated from the public Bristol WPL simulation repository. It is not a Bristol City Council document, not legal advice, not officer advice, not consultation material, not procurement authority and not an approved OBC.</w:t>
            </w:r>
          </w:p>
        </w:tc>
      </w:tr>
    </w:tbl>
    <w:p/>
    <w:p>
      <w:pPr>
        <w:sectPr>
          <w:headerReference w:type="default" r:id="rId9"/>
          <w:footerReference w:type="default" r:id="rId10"/>
          <w:pgSz w:w="12240" w:h="15840"/>
          <w:pgMar w:top="1440" w:right="1440" w:bottom="1440" w:left="1440" w:header="706" w:footer="706" w:gutter="0"/>
          <w:cols w:space="720"/>
          <w:docGrid w:linePitch="360"/>
        </w:sectPr>
      </w:pPr>
    </w:p>
    <w:p>
      <w:r>
        <w:rPr>
          <w:rFonts w:ascii="Calibri" w:hAnsi="Calibri"/>
        </w:rPr>
        <w:t>Stage 33A simulated OBC release package. Not an approved Bristol OBC, not officer advice, not a consultation document, not WECA/MCA/DfT endorsed, not Secretary of State confirmed, not procurement authority and not for real-world reliance.</w:t>
      </w:r>
    </w:p>
    <w:p>
      <w:r>
        <w:rPr>
          <w:rFonts w:ascii="Calibri" w:hAnsi="Calibri"/>
        </w:rPr>
        <w:t>Stage 7 OBC gate remains blocked.</w:t>
      </w:r>
    </w:p>
    <w:p>
      <w:r>
        <w:rPr>
          <w:rFonts w:ascii="Calibri" w:hAnsi="Calibri"/>
        </w:rPr>
        <w:t>Status: simulation-only editable Markdown release.</w:t>
      </w:r>
    </w:p>
    <w:p>
      <w:r>
        <w:rPr>
          <w:rFonts w:ascii="Calibri" w:hAnsi="Calibri"/>
        </w:rPr>
        <w:t>Date: 2026-06-27.</w:t>
      </w:r>
    </w:p>
    <w:p>
      <w:r>
        <w:rPr>
          <w:rFonts w:ascii="Calibri" w:hAnsi="Calibri"/>
        </w:rPr>
        <w:t>Source cutoff: local evidence acquired or extracted by 2026-06-27.</w:t>
      </w:r>
    </w:p>
    <w:p>
      <w:r>
        <w:rPr>
          <w:rFonts w:ascii="Calibri" w:hAnsi="Calibri"/>
        </w:rPr>
        <w:t>Primary style source: analysis/weca-obc-fbc-exemplars/weca-style-obc-authoring-standard.md.</w:t>
      </w:r>
    </w:p>
    <w:p>
      <w:r>
        <w:rPr>
          <w:rFonts w:ascii="Calibri" w:hAnsi="Calibri"/>
        </w:rPr>
        <w:t>Release control: review/stage_gate_reports/stage-33a-obc-simulation-release-report.md.</w:t>
      </w:r>
    </w:p>
    <w:p>
      <w:pPr>
        <w:pStyle w:val="Heading2"/>
      </w:pPr>
      <w:r>
        <w:t>Notice</w:t>
      </w:r>
    </w:p>
    <w:p>
      <w:r>
        <w:rPr>
          <w:rFonts w:ascii="Calibri" w:hAnsi="Calibri"/>
        </w:rPr>
        <w:t>This document is the shipped Stage 33A simulation OBC. It is written to show what a professional Bristol WPL OBC could look like if drafted in a WECA-style Five Case Model discipline. It must not be used as a Bristol City Council report, WECA/MCA submission, DfT submission, consultation document, legal advice, finance certification, procurement approval or officer advice.</w:t>
      </w:r>
    </w:p>
    <w:p>
      <w:r>
        <w:rPr>
          <w:rFonts w:ascii="Calibri" w:hAnsi="Calibri"/>
        </w:rPr>
        <w:t>Stage 33A ships an editable simulation artefact for learning, critique and officer/cabinet navigation. It does not change the no-go position for real OBC reliance.</w:t>
      </w:r>
    </w:p>
    <w:p>
      <w:pPr>
        <w:pStyle w:val="Heading2"/>
      </w:pPr>
      <w:r>
        <w:t>Release Use</w:t>
      </w:r>
    </w:p>
    <w:tbl>
      <w:tblPr>
        <w:tblStyle w:val="TableGrid"/>
        <w:tblW w:type="auto" w:w="0"/>
        <w:tblLayout w:type="autofit"/>
        <w:tblLook w:firstColumn="1" w:firstRow="1" w:lastColumn="0" w:lastRow="0" w:noHBand="0" w:noVBand="1" w:val="04A0"/>
      </w:tblPr>
      <w:tblGrid>
        <w:gridCol w:w="4680"/>
        <w:gridCol w:w="4680"/>
      </w:tblGrid>
      <w:tr>
        <w:trPr>
          <w:tblHeader w:val="true"/>
        </w:trPr>
        <w:tc>
          <w:tcPr>
            <w:tcW w:type="dxa" w:w="4680"/>
            <w:vAlign w:val="center"/>
            <w:tcMar>
              <w:top w:w="80" w:type="dxa"/>
              <w:start w:w="120" w:type="dxa"/>
              <w:bottom w:w="80" w:type="dxa"/>
              <w:end w:w="120" w:type="dxa"/>
            </w:tcMar>
            <w:shd w:fill="F2F4F7"/>
          </w:tcPr>
          <w:p>
            <w:pPr>
              <w:spacing w:after="0"/>
            </w:pPr>
            <w:r>
              <w:rPr>
                <w:rFonts w:ascii="Calibri" w:hAnsi="Calibri"/>
                <w:b/>
                <w:sz w:val="20"/>
              </w:rPr>
              <w:t>Use</w:t>
            </w:r>
          </w:p>
        </w:tc>
        <w:tc>
          <w:tcPr>
            <w:tcW w:type="dxa" w:w="4680"/>
            <w:vAlign w:val="center"/>
            <w:tcMar>
              <w:top w:w="80" w:type="dxa"/>
              <w:start w:w="120" w:type="dxa"/>
              <w:bottom w:w="80" w:type="dxa"/>
              <w:end w:w="120" w:type="dxa"/>
            </w:tcMar>
            <w:shd w:fill="F2F4F7"/>
          </w:tcPr>
          <w:p>
            <w:pPr>
              <w:spacing w:after="0"/>
            </w:pPr>
            <w:r>
              <w:rPr>
                <w:rFonts w:ascii="Calibri" w:hAnsi="Calibri"/>
                <w:b/>
                <w:sz w:val="20"/>
              </w:rPr>
              <w:t>Status</w:t>
            </w:r>
          </w:p>
        </w:tc>
      </w:tr>
      <w:tr>
        <w:tc>
          <w:tcPr>
            <w:tcW w:type="dxa" w:w="4680"/>
            <w:vAlign w:val="center"/>
            <w:tcMar>
              <w:top w:w="80" w:type="dxa"/>
              <w:start w:w="120" w:type="dxa"/>
              <w:bottom w:w="80" w:type="dxa"/>
              <w:end w:w="120" w:type="dxa"/>
            </w:tcMar>
          </w:tcPr>
          <w:p>
            <w:pPr>
              <w:spacing w:after="0"/>
            </w:pPr>
            <w:r>
              <w:rPr>
                <w:rFonts w:ascii="Calibri" w:hAnsi="Calibri"/>
                <w:sz w:val="20"/>
              </w:rPr>
              <w:t>Read as a complete editable simulation OBC</w:t>
            </w:r>
          </w:p>
        </w:tc>
        <w:tc>
          <w:tcPr>
            <w:tcW w:type="dxa" w:w="4680"/>
            <w:vAlign w:val="center"/>
            <w:tcMar>
              <w:top w:w="80" w:type="dxa"/>
              <w:start w:w="120" w:type="dxa"/>
              <w:bottom w:w="80" w:type="dxa"/>
              <w:end w:w="120" w:type="dxa"/>
            </w:tcMar>
          </w:tcPr>
          <w:p>
            <w:pPr>
              <w:spacing w:after="0"/>
            </w:pPr>
            <w:r>
              <w:rPr>
                <w:rFonts w:ascii="Calibri" w:hAnsi="Calibri"/>
                <w:sz w:val="20"/>
              </w:rPr>
              <w:t>Allowed</w:t>
            </w:r>
          </w:p>
        </w:tc>
      </w:tr>
      <w:tr>
        <w:tc>
          <w:tcPr>
            <w:tcW w:type="dxa" w:w="4680"/>
            <w:vAlign w:val="center"/>
            <w:tcMar>
              <w:top w:w="80" w:type="dxa"/>
              <w:start w:w="120" w:type="dxa"/>
              <w:bottom w:w="80" w:type="dxa"/>
              <w:end w:w="120" w:type="dxa"/>
            </w:tcMar>
          </w:tcPr>
          <w:p>
            <w:pPr>
              <w:spacing w:after="0"/>
            </w:pPr>
            <w:r>
              <w:rPr>
                <w:rFonts w:ascii="Calibri" w:hAnsi="Calibri"/>
                <w:sz w:val="20"/>
              </w:rPr>
              <w:t>Use as a training, critique or assurance-workflow example</w:t>
            </w:r>
          </w:p>
        </w:tc>
        <w:tc>
          <w:tcPr>
            <w:tcW w:type="dxa" w:w="4680"/>
            <w:vAlign w:val="center"/>
            <w:tcMar>
              <w:top w:w="80" w:type="dxa"/>
              <w:start w:w="120" w:type="dxa"/>
              <w:bottom w:w="80" w:type="dxa"/>
              <w:end w:w="120" w:type="dxa"/>
            </w:tcMar>
          </w:tcPr>
          <w:p>
            <w:pPr>
              <w:spacing w:after="0"/>
            </w:pPr>
            <w:r>
              <w:rPr>
                <w:rFonts w:ascii="Calibri" w:hAnsi="Calibri"/>
                <w:sz w:val="20"/>
              </w:rPr>
              <w:t>Allowed</w:t>
            </w:r>
          </w:p>
        </w:tc>
      </w:tr>
      <w:tr>
        <w:tc>
          <w:tcPr>
            <w:tcW w:type="dxa" w:w="4680"/>
            <w:vAlign w:val="center"/>
            <w:tcMar>
              <w:top w:w="80" w:type="dxa"/>
              <w:start w:w="120" w:type="dxa"/>
              <w:bottom w:w="80" w:type="dxa"/>
              <w:end w:w="120" w:type="dxa"/>
            </w:tcMar>
          </w:tcPr>
          <w:p>
            <w:pPr>
              <w:spacing w:after="0"/>
            </w:pPr>
            <w:r>
              <w:rPr>
                <w:rFonts w:ascii="Calibri" w:hAnsi="Calibri"/>
                <w:sz w:val="20"/>
              </w:rPr>
              <w:t>Edit in Markdown as a future working base</w:t>
            </w:r>
          </w:p>
        </w:tc>
        <w:tc>
          <w:tcPr>
            <w:tcW w:type="dxa" w:w="4680"/>
            <w:vAlign w:val="center"/>
            <w:tcMar>
              <w:top w:w="80" w:type="dxa"/>
              <w:start w:w="120" w:type="dxa"/>
              <w:bottom w:w="80" w:type="dxa"/>
              <w:end w:w="120" w:type="dxa"/>
            </w:tcMar>
          </w:tcPr>
          <w:p>
            <w:pPr>
              <w:spacing w:after="0"/>
            </w:pPr>
            <w:r>
              <w:rPr>
                <w:rFonts w:ascii="Calibri" w:hAnsi="Calibri"/>
                <w:sz w:val="20"/>
              </w:rPr>
              <w:t>Allowed if status, citations and no-go controls are preserved</w:t>
            </w:r>
          </w:p>
        </w:tc>
      </w:tr>
      <w:tr>
        <w:tc>
          <w:tcPr>
            <w:tcW w:type="dxa" w:w="4680"/>
            <w:vAlign w:val="center"/>
            <w:tcMar>
              <w:top w:w="80" w:type="dxa"/>
              <w:start w:w="120" w:type="dxa"/>
              <w:bottom w:w="80" w:type="dxa"/>
              <w:end w:w="120" w:type="dxa"/>
            </w:tcMar>
          </w:tcPr>
          <w:p>
            <w:pPr>
              <w:spacing w:after="0"/>
            </w:pPr>
            <w:r>
              <w:rPr>
                <w:rFonts w:ascii="Calibri" w:hAnsi="Calibri"/>
                <w:sz w:val="20"/>
              </w:rPr>
              <w:t>Treat as a Bristol City Council OBC</w:t>
            </w:r>
          </w:p>
        </w:tc>
        <w:tc>
          <w:tcPr>
            <w:tcW w:type="dxa" w:w="4680"/>
            <w:vAlign w:val="center"/>
            <w:tcMar>
              <w:top w:w="80" w:type="dxa"/>
              <w:start w:w="120" w:type="dxa"/>
              <w:bottom w:w="80" w:type="dxa"/>
              <w:end w:w="120" w:type="dxa"/>
            </w:tcMar>
          </w:tcPr>
          <w:p>
            <w:pPr>
              <w:spacing w:after="0"/>
            </w:pPr>
            <w:r>
              <w:rPr>
                <w:rFonts w:ascii="Calibri" w:hAnsi="Calibri"/>
                <w:sz w:val="20"/>
              </w:rPr>
              <w:t>Not allowed</w:t>
            </w:r>
          </w:p>
        </w:tc>
      </w:tr>
      <w:tr>
        <w:tc>
          <w:tcPr>
            <w:tcW w:type="dxa" w:w="4680"/>
            <w:vAlign w:val="center"/>
            <w:tcMar>
              <w:top w:w="80" w:type="dxa"/>
              <w:start w:w="120" w:type="dxa"/>
              <w:bottom w:w="80" w:type="dxa"/>
              <w:end w:w="120" w:type="dxa"/>
            </w:tcMar>
          </w:tcPr>
          <w:p>
            <w:pPr>
              <w:spacing w:after="0"/>
            </w:pPr>
            <w:r>
              <w:rPr>
                <w:rFonts w:ascii="Calibri" w:hAnsi="Calibri"/>
                <w:sz w:val="20"/>
              </w:rPr>
              <w:t>Submit to WECA/MCA, DfT, Secretary of State or committee</w:t>
            </w:r>
          </w:p>
        </w:tc>
        <w:tc>
          <w:tcPr>
            <w:tcW w:type="dxa" w:w="4680"/>
            <w:vAlign w:val="center"/>
            <w:tcMar>
              <w:top w:w="80" w:type="dxa"/>
              <w:start w:w="120" w:type="dxa"/>
              <w:bottom w:w="80" w:type="dxa"/>
              <w:end w:w="120" w:type="dxa"/>
            </w:tcMar>
          </w:tcPr>
          <w:p>
            <w:pPr>
              <w:spacing w:after="0"/>
            </w:pPr>
            <w:r>
              <w:rPr>
                <w:rFonts w:ascii="Calibri" w:hAnsi="Calibri"/>
                <w:sz w:val="20"/>
              </w:rPr>
              <w:t>Not allowed</w:t>
            </w:r>
          </w:p>
        </w:tc>
      </w:tr>
      <w:tr>
        <w:tc>
          <w:tcPr>
            <w:tcW w:type="dxa" w:w="4680"/>
            <w:vAlign w:val="center"/>
            <w:tcMar>
              <w:top w:w="80" w:type="dxa"/>
              <w:start w:w="120" w:type="dxa"/>
              <w:bottom w:w="80" w:type="dxa"/>
              <w:end w:w="120" w:type="dxa"/>
            </w:tcMar>
          </w:tcPr>
          <w:p>
            <w:pPr>
              <w:spacing w:after="0"/>
            </w:pPr>
            <w:r>
              <w:rPr>
                <w:rFonts w:ascii="Calibri" w:hAnsi="Calibri"/>
                <w:sz w:val="20"/>
              </w:rPr>
              <w:t>Use to launch consultation, procure services, approve spend or make a WPL decision</w:t>
            </w:r>
          </w:p>
        </w:tc>
        <w:tc>
          <w:tcPr>
            <w:tcW w:type="dxa" w:w="4680"/>
            <w:vAlign w:val="center"/>
            <w:tcMar>
              <w:top w:w="80" w:type="dxa"/>
              <w:start w:w="120" w:type="dxa"/>
              <w:bottom w:w="80" w:type="dxa"/>
              <w:end w:w="120" w:type="dxa"/>
            </w:tcMar>
          </w:tcPr>
          <w:p>
            <w:pPr>
              <w:spacing w:after="0"/>
            </w:pPr>
            <w:r>
              <w:rPr>
                <w:rFonts w:ascii="Calibri" w:hAnsi="Calibri"/>
                <w:sz w:val="20"/>
              </w:rPr>
              <w:t>Not allowed</w:t>
            </w:r>
          </w:p>
        </w:tc>
      </w:tr>
    </w:tbl>
    <w:p/>
    <w:p>
      <w:r>
        <w:rPr>
          <w:rFonts w:ascii="Calibri" w:hAnsi="Calibri"/>
          <w:b/>
        </w:rPr>
        <w:t>Inference.</w:t>
      </w:r>
      <w:r>
        <w:rPr>
          <w:rFonts w:ascii="Calibri" w:hAnsi="Calibri"/>
        </w:rPr>
        <w:t xml:space="preserve"> The release is shippable only as a simulation release because ISS-0011, ISS-0042, ISS-0043, RISK-0014, RISK-0045, RISK-0046, EG-0060 and EG-0061 keep real-world reliance blocked.</w:t>
      </w:r>
    </w:p>
    <w:p>
      <w:pPr>
        <w:pStyle w:val="Heading2"/>
      </w:pPr>
      <w:r>
        <w:t>Release Contents</w:t>
      </w:r>
    </w:p>
    <w:p>
      <w:r>
        <w:rPr>
          <w:rFonts w:ascii="Calibri" w:hAnsi="Calibri"/>
        </w:rPr>
        <w:t>This release contains the full OBC body below, plus the Stage 33A control trail:</w:t>
      </w:r>
    </w:p>
    <w:p>
      <w:pPr>
        <w:pStyle w:val="ListBullet"/>
      </w:pPr>
      <w:r>
        <w:rPr>
          <w:rFonts w:ascii="Calibri" w:hAnsi="Calibri"/>
        </w:rPr>
        <w:t>business_case/obc/simulation-release/bristol-wpl-outline-business-case-simulation-release.md</w:t>
      </w:r>
    </w:p>
    <w:p>
      <w:pPr>
        <w:pStyle w:val="ListBullet"/>
      </w:pPr>
      <w:r>
        <w:rPr>
          <w:rFonts w:ascii="Calibri" w:hAnsi="Calibri"/>
        </w:rPr>
        <w:t>business_case/obc/simulation-release/README.md</w:t>
      </w:r>
    </w:p>
    <w:p>
      <w:pPr>
        <w:pStyle w:val="ListBullet"/>
      </w:pPr>
      <w:r>
        <w:rPr>
          <w:rFonts w:ascii="Calibri" w:hAnsi="Calibri"/>
        </w:rPr>
        <w:t>analysis/context/stage-33a-obc-simulation-release/stage-context.md</w:t>
      </w:r>
    </w:p>
    <w:p>
      <w:pPr>
        <w:pStyle w:val="ListBullet"/>
      </w:pPr>
      <w:r>
        <w:rPr>
          <w:rFonts w:ascii="Calibri" w:hAnsi="Calibri"/>
        </w:rPr>
        <w:t>review/stage_gate_reports/stage-33a-obc-simulation-release-report.md</w:t>
      </w:r>
    </w:p>
    <w:p>
      <w:r>
        <w:rPr>
          <w:rFonts w:ascii="Calibri" w:hAnsi="Calibri"/>
        </w:rPr>
        <w:t>The document uses five claim labels:</w:t>
      </w:r>
    </w:p>
    <w:p>
      <w:pPr>
        <w:pStyle w:val="ListBullet"/>
      </w:pPr>
      <w:r>
        <w:rPr>
          <w:rFonts w:ascii="Calibri" w:hAnsi="Calibri"/>
        </w:rPr>
        <w:t>Cited: supported by named source IDs or registers.</w:t>
      </w:r>
    </w:p>
    <w:p>
      <w:pPr>
        <w:pStyle w:val="ListBullet"/>
      </w:pPr>
      <w:r>
        <w:rPr>
          <w:rFonts w:ascii="Calibri" w:hAnsi="Calibri"/>
        </w:rPr>
        <w:t>Assumption: a working assumption requiring later evidence.</w:t>
      </w:r>
    </w:p>
    <w:p>
      <w:pPr>
        <w:pStyle w:val="ListBullet"/>
      </w:pPr>
      <w:r>
        <w:rPr>
          <w:rFonts w:ascii="Calibri" w:hAnsi="Calibri"/>
        </w:rPr>
        <w:t>Inference: a controlled conclusion from cited sources.</w:t>
      </w:r>
    </w:p>
    <w:p>
      <w:pPr>
        <w:pStyle w:val="ListBullet"/>
      </w:pPr>
      <w:r>
        <w:rPr>
          <w:rFonts w:ascii="Calibri" w:hAnsi="Calibri"/>
        </w:rPr>
        <w:t>Proposal: a suggested structure or future work item.</w:t>
      </w:r>
    </w:p>
    <w:p>
      <w:pPr>
        <w:pStyle w:val="ListBullet"/>
      </w:pPr>
      <w:r>
        <w:rPr>
          <w:rFonts w:ascii="Calibri" w:hAnsi="Calibri"/>
        </w:rPr>
        <w:t>Gap: missing evidence that must not be invented.</w:t>
      </w:r>
    </w:p>
    <w:p>
      <w:pPr>
        <w:pStyle w:val="Heading2"/>
      </w:pPr>
      <w:r>
        <w:t>Contents</w:t>
      </w:r>
    </w:p>
    <w:p>
      <w:pPr>
        <w:pStyle w:val="ListNumber"/>
      </w:pPr>
      <w:r>
        <w:rPr>
          <w:rFonts w:ascii="Calibri" w:hAnsi="Calibri"/>
        </w:rPr>
        <w:t>Executive Summary</w:t>
      </w:r>
    </w:p>
    <w:p>
      <w:pPr>
        <w:pStyle w:val="ListNumber"/>
      </w:pPr>
      <w:r>
        <w:rPr>
          <w:rFonts w:ascii="Calibri" w:hAnsi="Calibri"/>
        </w:rPr>
        <w:t>Strategic Case</w:t>
      </w:r>
    </w:p>
    <w:p>
      <w:pPr>
        <w:pStyle w:val="ListNumber"/>
      </w:pPr>
      <w:r>
        <w:rPr>
          <w:rFonts w:ascii="Calibri" w:hAnsi="Calibri"/>
        </w:rPr>
        <w:t>Economic Case</w:t>
      </w:r>
    </w:p>
    <w:p>
      <w:pPr>
        <w:pStyle w:val="ListNumber"/>
      </w:pPr>
      <w:r>
        <w:rPr>
          <w:rFonts w:ascii="Calibri" w:hAnsi="Calibri"/>
        </w:rPr>
        <w:t>Financial Case</w:t>
      </w:r>
    </w:p>
    <w:p>
      <w:pPr>
        <w:pStyle w:val="ListNumber"/>
      </w:pPr>
      <w:r>
        <w:rPr>
          <w:rFonts w:ascii="Calibri" w:hAnsi="Calibri"/>
        </w:rPr>
        <w:t>Commercial Case</w:t>
      </w:r>
    </w:p>
    <w:p>
      <w:pPr>
        <w:pStyle w:val="ListNumber"/>
      </w:pPr>
      <w:r>
        <w:rPr>
          <w:rFonts w:ascii="Calibri" w:hAnsi="Calibri"/>
        </w:rPr>
        <w:t>Management Case</w:t>
      </w:r>
    </w:p>
    <w:p>
      <w:pPr>
        <w:pStyle w:val="ListNumber"/>
      </w:pPr>
      <w:r>
        <w:rPr>
          <w:rFonts w:ascii="Calibri" w:hAnsi="Calibri"/>
        </w:rPr>
        <w:t>Conclusions And Conditions To Close</w:t>
      </w:r>
    </w:p>
    <w:p>
      <w:pPr>
        <w:pStyle w:val="ListNumber"/>
      </w:pPr>
      <w:r>
        <w:rPr>
          <w:rFonts w:ascii="Calibri" w:hAnsi="Calibri"/>
        </w:rPr>
        <w:t>Appendix: Key Source And Control Routes</w:t>
      </w:r>
    </w:p>
    <w:p>
      <w:pPr>
        <w:pStyle w:val="ListNumber"/>
      </w:pPr>
      <w:r>
        <w:rPr>
          <w:rFonts w:ascii="Calibri" w:hAnsi="Calibri"/>
        </w:rPr>
        <w:t>Detailed OBC Control Body</w:t>
      </w:r>
    </w:p>
    <w:p>
      <w:pPr>
        <w:pStyle w:val="ListNumber"/>
      </w:pPr>
      <w:r>
        <w:rPr>
          <w:rFonts w:ascii="Calibri" w:hAnsi="Calibri"/>
        </w:rPr>
        <w:t>Options And Spatial Definition</w:t>
      </w:r>
    </w:p>
    <w:p>
      <w:pPr>
        <w:pStyle w:val="ListNumber"/>
      </w:pPr>
      <w:r>
        <w:rPr>
          <w:rFonts w:ascii="Calibri" w:hAnsi="Calibri"/>
        </w:rPr>
        <w:t>Licensing, Operations And Revenue Service</w:t>
      </w:r>
    </w:p>
    <w:p>
      <w:pPr>
        <w:pStyle w:val="ListNumber"/>
      </w:pPr>
      <w:r>
        <w:rPr>
          <w:rFonts w:ascii="Calibri" w:hAnsi="Calibri"/>
        </w:rPr>
        <w:t>Assurance, Risk And Benefits Management</w:t>
      </w:r>
    </w:p>
    <w:p>
      <w:pPr>
        <w:pStyle w:val="ListNumber"/>
      </w:pPr>
      <w:r>
        <w:rPr>
          <w:rFonts w:ascii="Calibri" w:hAnsi="Calibri"/>
        </w:rPr>
        <w:t>Appendices For Future Officer Editing</w:t>
      </w:r>
    </w:p>
    <w:p>
      <w:pPr>
        <w:pStyle w:val="Heading2"/>
      </w:pPr>
      <w:r>
        <w:t>1. Executive Summary</w:t>
      </w:r>
    </w:p>
    <w:p>
      <w:r>
        <w:rPr>
          <w:rFonts w:ascii="Calibri" w:hAnsi="Calibri"/>
          <w:b/>
        </w:rPr>
        <w:t>Cited.</w:t>
      </w:r>
      <w:r>
        <w:rPr>
          <w:rFonts w:ascii="Calibri" w:hAnsi="Calibri"/>
        </w:rPr>
        <w:t xml:space="preserve"> Bristol's March 2026 WPL update records that the OBC programme was in progress, with the scheme-development and final-OBC work planned for spring 2026 (SRC-BCC-0015 lines 4276-4295 and 4306-4308). It also records that modelling, forecasting and impact assessment would be used to test revenue, congestion, air quality and economic outcomes (SRC-BCC-0015 lines 4340-4343).</w:t>
      </w:r>
    </w:p>
    <w:p>
      <w:r>
        <w:rPr>
          <w:rFonts w:ascii="Calibri" w:hAnsi="Calibri"/>
          <w:b/>
        </w:rPr>
        <w:t>Gap.</w:t>
      </w:r>
      <w:r>
        <w:rPr>
          <w:rFonts w:ascii="Calibri" w:hAnsi="Calibri"/>
        </w:rPr>
        <w:t xml:space="preserve"> This repo does not hold a completed or approved Bristol WPL OBC. It does not hold a selected boundary, charge, threshold, exemption package, operating-hours proposal, BCR, VFM category, consultation launch authority, FBC, scheme order or statutory submission.</w:t>
      </w:r>
    </w:p>
    <w:p>
      <w:r>
        <w:rPr>
          <w:rFonts w:ascii="Calibri" w:hAnsi="Calibri"/>
          <w:b/>
        </w:rPr>
        <w:t>Inference.</w:t>
      </w:r>
      <w:r>
        <w:rPr>
          <w:rFonts w:ascii="Calibri" w:hAnsi="Calibri"/>
        </w:rPr>
        <w:t xml:space="preserve"> The simulation can produce a professional OBC-shaped working draft, but the correct gate status remains no-go for reliance because ISS-0011, RISK-0014 and the Stage 7 OBC gate remain blocked in the control trail.</w:t>
      </w:r>
    </w:p>
    <w:p>
      <w:r>
        <w:rPr>
          <w:rFonts w:ascii="Calibri" w:hAnsi="Calibri"/>
          <w:b/>
        </w:rPr>
        <w:t>Cited.</w:t>
      </w:r>
      <w:r>
        <w:rPr>
          <w:rFonts w:ascii="Calibri" w:hAnsi="Calibri"/>
        </w:rPr>
        <w:t xml:space="preserve"> The September 2024 Bristol decision trail supports Stage One/OBC development and a GBP1m Clean Air Zone Fund budget (SRC-BCC-0003, SRC-BCC-0004, SRC-BCC-0015 lines 4506-4513). Future capital requirements are described as FBC-stage matters (SRC-BCC-0015 lines 4515-4520).</w:t>
      </w:r>
    </w:p>
    <w:p>
      <w:r>
        <w:rPr>
          <w:rFonts w:ascii="Calibri" w:hAnsi="Calibri"/>
          <w:b/>
        </w:rPr>
        <w:t>Inference.</w:t>
      </w:r>
      <w:r>
        <w:rPr>
          <w:rFonts w:ascii="Calibri" w:hAnsi="Calibri"/>
        </w:rPr>
        <w:t xml:space="preserve"> WECA/MCA sources are used with trigger tags strategic_context and conditional_funding_assurance_interface only, as controlled in analysis/weca-obc-fbc-exemplars/comparator-matrix.csv, governance/issues_register.csv row ISS-0002 and governance/risk_register.csv row RISK-0002. They support regional strategy, assurance-framework and package-trigger context; they do not prove WPL approval, support, objection, consent, funding, sponsorship or no-role status.</w:t>
      </w:r>
    </w:p>
    <w:p>
      <w:pPr>
        <w:pStyle w:val="Heading2"/>
      </w:pPr>
      <w:r>
        <w:t>2. Strategic Case</w:t>
      </w:r>
    </w:p>
    <w:p>
      <w:r>
        <w:rPr>
          <w:rFonts w:ascii="Calibri" w:hAnsi="Calibri"/>
          <w:b/>
        </w:rPr>
        <w:t>Cited.</w:t>
      </w:r>
      <w:r>
        <w:rPr>
          <w:rFonts w:ascii="Calibri" w:hAnsi="Calibri"/>
        </w:rPr>
        <w:t xml:space="preserve"> Bristol's public WPL framing identifies demand management and transport reinvestment objectives: reducing congestion, generating revenue for transport improvements, discouraging car commuting, promoting walking, cycling and public transport, and improving health, environment and land-use efficiency (SRC-BCC-0015 lines 4285-4288).</w:t>
      </w:r>
    </w:p>
    <w:p>
      <w:r>
        <w:rPr>
          <w:rFonts w:ascii="Calibri" w:hAnsi="Calibri"/>
          <w:b/>
        </w:rPr>
        <w:t>Cited.</w:t>
      </w:r>
      <w:r>
        <w:rPr>
          <w:rFonts w:ascii="Calibri" w:hAnsi="Calibri"/>
        </w:rPr>
        <w:t xml:space="preserve"> The same source states that WPL powers sit in the Transport Act 2000, that employers would need licences for liable workplace parking places, that net revenue must be reinvested into local transport after operating costs, and that Secretary of State approval is required before implementation (SRC-BCC-0015 lines 4351-4361).</w:t>
      </w:r>
    </w:p>
    <w:p>
      <w:r>
        <w:rPr>
          <w:rFonts w:ascii="Calibri" w:hAnsi="Calibri"/>
          <w:b/>
        </w:rPr>
        <w:t>Proposal.</w:t>
      </w:r>
      <w:r>
        <w:rPr>
          <w:rFonts w:ascii="Calibri" w:hAnsi="Calibri"/>
        </w:rPr>
        <w:t xml:space="preserve"> The strategic objectives for future review should cover reduced avoidable workplace car commuting, legally compliant local transport reinvestment, improved sustainable transport options, managed displacement/equality impacts and an enforceable licensing service.</w:t>
      </w:r>
    </w:p>
    <w:p>
      <w:r>
        <w:rPr>
          <w:rFonts w:ascii="Calibri" w:hAnsi="Calibri"/>
          <w:b/>
        </w:rPr>
        <w:t>Gap.</w:t>
      </w:r>
      <w:r>
        <w:rPr>
          <w:rFonts w:ascii="Calibri" w:hAnsi="Calibri"/>
        </w:rPr>
        <w:t xml:space="preserve"> No final Bristol problem statement, selected option, boundary, investment package, displacement mitigation or consultation-tested proposition is held. Any future strategic case must keep Bristol evidence, WECA/MCA context and Nottingham comparator lessons separate.</w:t>
      </w:r>
    </w:p>
    <w:p>
      <w:pPr>
        <w:pStyle w:val="Heading2"/>
      </w:pPr>
      <w:r>
        <w:t>3. Economic Case</w:t>
      </w:r>
    </w:p>
    <w:p>
      <w:r>
        <w:rPr>
          <w:rFonts w:ascii="Calibri" w:hAnsi="Calibri"/>
          <w:b/>
        </w:rPr>
        <w:t>Proposal.</w:t>
      </w:r>
      <w:r>
        <w:rPr>
          <w:rFonts w:ascii="Calibri" w:hAnsi="Calibri"/>
        </w:rPr>
        <w:t xml:space="preserve"> The economic case should follow Green Book, DfT transport business case and TAG discipline. It should include an OAR, ASR, ASST, model cards, appraisal tables, uncertainty analysis and reviewer sign-off before any BCR or VFM language is used.</w:t>
      </w:r>
    </w:p>
    <w:p>
      <w:r>
        <w:rPr>
          <w:rFonts w:ascii="Calibri" w:hAnsi="Calibri"/>
          <w:b/>
        </w:rPr>
        <w:t>Cited comparator pattern.</w:t>
      </w:r>
      <w:r>
        <w:rPr>
          <w:rFonts w:ascii="Calibri" w:hAnsi="Calibri"/>
        </w:rPr>
        <w:t xml:space="preserve"> The WECA FBC exemplar defines appraisal methodology, demand forecast approach, economic appraisal summary, unquantified impacts and VFM assessment as part of the Economic Case (SRC-WECA-0009 lines 1126-1157).</w:t>
      </w:r>
    </w:p>
    <w:p>
      <w:r>
        <w:rPr>
          <w:rFonts w:ascii="Calibri" w:hAnsi="Calibri"/>
          <w:b/>
        </w:rPr>
        <w:t>Gap.</w:t>
      </w:r>
      <w:r>
        <w:rPr>
          <w:rFonts w:ascii="Calibri" w:hAnsi="Calibri"/>
        </w:rPr>
        <w:t xml:space="preserve"> Bristol WPL has no repo-held agreed ASR, model output, BCR, VFM category, demand response, revenue model, boundary displacement model, CPZ/RPZ assessment or quantified benefits. Gross WPL revenue must not be treated as an economic benefit without proper appraisal treatment.</w:t>
      </w:r>
    </w:p>
    <w:p>
      <w:pPr>
        <w:pStyle w:val="Heading2"/>
      </w:pPr>
      <w:r>
        <w:t>4. Financial Case</w:t>
      </w:r>
    </w:p>
    <w:p>
      <w:r>
        <w:rPr>
          <w:rFonts w:ascii="Calibri" w:hAnsi="Calibri"/>
          <w:b/>
        </w:rPr>
        <w:t>Cited.</w:t>
      </w:r>
      <w:r>
        <w:rPr>
          <w:rFonts w:ascii="Calibri" w:hAnsi="Calibri"/>
        </w:rPr>
        <w:t xml:space="preserve"> Current Bristol evidence supports only the OBC-development budget: GBP1m funded through the Clean Air Zone Fund (SRC-BCC-0015 lines 4506-4513).</w:t>
      </w:r>
    </w:p>
    <w:p>
      <w:r>
        <w:rPr>
          <w:rFonts w:ascii="Calibri" w:hAnsi="Calibri"/>
          <w:b/>
        </w:rPr>
        <w:t>Proposal.</w:t>
      </w:r>
      <w:r>
        <w:rPr>
          <w:rFonts w:ascii="Calibri" w:hAnsi="Calibri"/>
        </w:rPr>
        <w:t xml:space="preserve"> A future Financial Case should set out price base, chargeable-space base, exemptions, compliance, operating costs, implementation costs, gross income, net proceeds, borrowing/grant interface, reserve/cashflow treatment and sensitivity tests.</w:t>
      </w:r>
    </w:p>
    <w:p>
      <w:r>
        <w:rPr>
          <w:rFonts w:ascii="Calibri" w:hAnsi="Calibri"/>
          <w:b/>
        </w:rPr>
        <w:t>Proposal.</w:t>
      </w:r>
      <w:r>
        <w:rPr>
          <w:rFonts w:ascii="Calibri" w:hAnsi="Calibri"/>
        </w:rPr>
        <w:t xml:space="preserve"> If any WPL-funded package uses WECA/MCA-administered funding or requires Combined Authority programme approval, the package and cost-line funding/assurance classification must be completed before reliance. This is controlled as conditional_funding_assurance_interface in analysis/weca-obc-fbc-exemplars/comparator-matrix.csv, with unresolved WECA/MCA role and funding-interface blockers recorded at ISS-0002, RISK-0002 and EG-0060.</w:t>
      </w:r>
    </w:p>
    <w:p>
      <w:r>
        <w:rPr>
          <w:rFonts w:ascii="Calibri" w:hAnsi="Calibri"/>
          <w:b/>
        </w:rPr>
        <w:t>Gap.</w:t>
      </w:r>
      <w:r>
        <w:rPr>
          <w:rFonts w:ascii="Calibri" w:hAnsi="Calibri"/>
        </w:rPr>
        <w:t xml:space="preserve"> No Section 151 certification, affordability approval, WECA/MCA funding approval, net-proceeds plan or implementation cost model exists in this repo.</w:t>
      </w:r>
    </w:p>
    <w:p>
      <w:pPr>
        <w:pStyle w:val="Heading2"/>
      </w:pPr>
      <w:r>
        <w:t>5. Commercial Case</w:t>
      </w:r>
    </w:p>
    <w:p>
      <w:r>
        <w:rPr>
          <w:rFonts w:ascii="Calibri" w:hAnsi="Calibri"/>
          <w:b/>
        </w:rPr>
        <w:t>Cited comparator pattern.</w:t>
      </w:r>
      <w:r>
        <w:rPr>
          <w:rFonts w:ascii="Calibri" w:hAnsi="Calibri"/>
        </w:rPr>
        <w:t xml:space="preserve"> The WECA FBC exemplar covers output specification, procurement strategy, sourcing options, payment mechanisms, risk allocation, contract length and contract management (SRC-WECA-0009 lines 1619-1645).</w:t>
      </w:r>
    </w:p>
    <w:p>
      <w:r>
        <w:rPr>
          <w:rFonts w:ascii="Calibri" w:hAnsi="Calibri"/>
          <w:b/>
        </w:rPr>
        <w:t>Proposal.</w:t>
      </w:r>
      <w:r>
        <w:rPr>
          <w:rFonts w:ascii="Calibri" w:hAnsi="Calibri"/>
        </w:rPr>
        <w:t xml:space="preserve"> A Bristol WPL Commercial Case should cover licensing, billing, employer account management, declarations, inspections, enforcement, representations, appeals support, data management, cyber, customer contact, procurement route and retained-client capability.</w:t>
      </w:r>
    </w:p>
    <w:p>
      <w:r>
        <w:rPr>
          <w:rFonts w:ascii="Calibri" w:hAnsi="Calibri"/>
          <w:b/>
        </w:rPr>
        <w:t>Gap.</w:t>
      </w:r>
      <w:r>
        <w:rPr>
          <w:rFonts w:ascii="Calibri" w:hAnsi="Calibri"/>
        </w:rPr>
        <w:t xml:space="preserve"> The repo does not hold a WPL operating model, procurement route, supplier-market evidence, system architecture, cyber review, enforcement policy or appeal workflow.</w:t>
      </w:r>
    </w:p>
    <w:p>
      <w:pPr>
        <w:pStyle w:val="Heading2"/>
      </w:pPr>
      <w:r>
        <w:t>6. Management Case</w:t>
      </w:r>
    </w:p>
    <w:p>
      <w:r>
        <w:rPr>
          <w:rFonts w:ascii="Calibri" w:hAnsi="Calibri"/>
          <w:b/>
        </w:rPr>
        <w:t>Cited.</w:t>
      </w:r>
      <w:r>
        <w:rPr>
          <w:rFonts w:ascii="Calibri" w:hAnsi="Calibri"/>
        </w:rPr>
        <w:t xml:space="preserve"> Bristol's March 2026 report describes a three-stage route: OBC, public consultation and FBC with approval, and implementation/operation (SRC-BCC-0015 lines 4290-4294). It also states that formal public consultation is proposed only if the project progresses beyond OBC and that a proposal would return to committee for approval and progression (SRC-BCC-0015 lines 4468-4481).</w:t>
      </w:r>
    </w:p>
    <w:p>
      <w:r>
        <w:rPr>
          <w:rFonts w:ascii="Calibri" w:hAnsi="Calibri"/>
          <w:b/>
        </w:rPr>
        <w:t>Cited comparator pattern.</w:t>
      </w:r>
      <w:r>
        <w:rPr>
          <w:rFonts w:ascii="Calibri" w:hAnsi="Calibri"/>
        </w:rPr>
        <w:t xml:space="preserve"> WECA-style management cases cover promoter/delivery arrangements, governance, programme, risks, dependencies, assurance, benefits realisation and monitoring (SRC-WECA-0009 lines 1787-1807). The WECA SOC comparator records assurance-framework, unitary-authority assurance, risk/issue management and benefits/evaluation controls (SRC-WECA-0008 lines 9065-9107, 9528-9555 and 9835-9899).</w:t>
      </w:r>
    </w:p>
    <w:p>
      <w:r>
        <w:rPr>
          <w:rFonts w:ascii="Calibri" w:hAnsi="Calibri"/>
          <w:b/>
        </w:rPr>
        <w:t>Gap.</w:t>
      </w:r>
      <w:r>
        <w:rPr>
          <w:rFonts w:ascii="Calibri" w:hAnsi="Calibri"/>
        </w:rPr>
        <w:t xml:space="preserve"> The repo does not settle Bristol final order-making, WECA/MCA role, DfT process, consultation launch, statutory dossier, operating model, benefits plan or delivery plan.</w:t>
      </w:r>
    </w:p>
    <w:p>
      <w:pPr>
        <w:pStyle w:val="Heading2"/>
      </w:pPr>
      <w:r>
        <w:t>7. Conclusions And Conditions To Close</w:t>
      </w:r>
    </w:p>
    <w:p>
      <w:r>
        <w:rPr>
          <w:rFonts w:ascii="Calibri" w:hAnsi="Calibri"/>
          <w:b/>
        </w:rPr>
        <w:t>Inference.</w:t>
      </w:r>
      <w:r>
        <w:rPr>
          <w:rFonts w:ascii="Calibri" w:hAnsi="Calibri"/>
        </w:rPr>
        <w:t xml:space="preserve"> The Stage 32A simulation conclusion is to retain no-go status for OBC reliance because the live control trail still records blocked or unresolved OBC, statutory, spatial, appraisal, finance, commercial, consultation and professional-review conditions.</w:t>
      </w:r>
    </w:p>
    <w:p>
      <w:r>
        <w:rPr>
          <w:rFonts w:ascii="Calibri" w:hAnsi="Calibri"/>
          <w:b/>
        </w:rPr>
        <w:t>Proposal.</w:t>
      </w:r>
      <w:r>
        <w:rPr>
          <w:rFonts w:ascii="Calibri" w:hAnsi="Calibri"/>
        </w:rPr>
        <w:t xml:space="preserve"> Conditions to close before any future reliance are:</w:t>
      </w:r>
    </w:p>
    <w:p>
      <w:pPr>
        <w:pStyle w:val="ListNumber"/>
      </w:pPr>
      <w:r>
        <w:rPr>
          <w:rFonts w:ascii="Calibri" w:hAnsi="Calibri"/>
        </w:rPr>
        <w:t>Resolve Bristol final WPL order-maker, submitter and signatory route (ISS-0001, RISK-0001).</w:t>
      </w:r>
    </w:p>
    <w:p>
      <w:pPr>
        <w:pStyle w:val="ListNumber"/>
      </w:pPr>
      <w:r>
        <w:rPr>
          <w:rFonts w:ascii="Calibri" w:hAnsi="Calibri"/>
        </w:rPr>
        <w:t>Resolve WECA/MCA role, consent/no-role and funding/assurance dependency status with formal evidence (ISS-0002, RISK-0002, EG-0060).</w:t>
      </w:r>
    </w:p>
    <w:p>
      <w:pPr>
        <w:pStyle w:val="ListNumber"/>
      </w:pPr>
      <w:r>
        <w:rPr>
          <w:rFonts w:ascii="Calibri" w:hAnsi="Calibri"/>
        </w:rPr>
        <w:t>Obtain an authoritative boundary, workplace parking inventory and displacement assessment (ISS-0003, RISK-0004).</w:t>
      </w:r>
    </w:p>
    <w:p>
      <w:pPr>
        <w:pStyle w:val="ListNumber"/>
      </w:pPr>
      <w:r>
        <w:rPr>
          <w:rFonts w:ascii="Calibri" w:hAnsi="Calibri"/>
        </w:rPr>
        <w:t>Complete OAR, ASR, ASST, model outputs, uncertainty analysis and appraisal review (ISS-0004, RISK-0005).</w:t>
      </w:r>
    </w:p>
    <w:p>
      <w:pPr>
        <w:pStyle w:val="ListNumber"/>
      </w:pPr>
      <w:r>
        <w:rPr>
          <w:rFonts w:ascii="Calibri" w:hAnsi="Calibri"/>
        </w:rPr>
        <w:t>Produce financial model, net-proceeds plan, affordability review and Section 151 review (ISS-0009, RISK-0002).</w:t>
      </w:r>
    </w:p>
    <w:p>
      <w:pPr>
        <w:pStyle w:val="ListNumber"/>
      </w:pPr>
      <w:r>
        <w:rPr>
          <w:rFonts w:ascii="Calibri" w:hAnsi="Calibri"/>
        </w:rPr>
        <w:t>Complete commercial, procurement, operating model, enforcement, appeal and data-protection controls (ISS-0006, RISK-0007).</w:t>
      </w:r>
    </w:p>
    <w:p>
      <w:pPr>
        <w:pStyle w:val="ListNumber"/>
      </w:pPr>
      <w:r>
        <w:rPr>
          <w:rFonts w:ascii="Calibri" w:hAnsi="Calibri"/>
        </w:rPr>
        <w:t>Complete equality, consultation, privacy, accessibility and response-analysis controls (ISS-0012, RISK-0015).</w:t>
      </w:r>
    </w:p>
    <w:p>
      <w:pPr>
        <w:pStyle w:val="ListNumber"/>
      </w:pPr>
      <w:r>
        <w:rPr>
          <w:rFonts w:ascii="Calibri" w:hAnsi="Calibri"/>
        </w:rPr>
        <w:t>Complete statutory dossier, scheme order, consultation statement and DfT/Secretary of State process evidence (ISS-0008, ISS-0015, RISK-0003).</w:t>
      </w:r>
    </w:p>
    <w:p>
      <w:pPr>
        <w:pStyle w:val="ListNumber"/>
      </w:pPr>
      <w:r>
        <w:rPr>
          <w:rFonts w:ascii="Calibri" w:hAnsi="Calibri"/>
        </w:rPr>
        <w:t>Replace simulation-only sign-offs with real-world professional and public-authority review before any external use (ISS-0042, RISK-0045, APP-0051, SSO-0112, SSO-0113).</w:t>
      </w:r>
    </w:p>
    <w:p>
      <w:r>
        <w:rPr>
          <w:rFonts w:ascii="Calibri" w:hAnsi="Calibri"/>
          <w:b/>
        </w:rPr>
        <w:t>Inference.</w:t>
      </w:r>
      <w:r>
        <w:rPr>
          <w:rFonts w:ascii="Calibri" w:hAnsi="Calibri"/>
        </w:rPr>
        <w:t xml:space="preserve"> Stage 32A creates a better simulation draft and a WECA-style evidence-control pattern. It does not pass Stage 7 OBC, Stage 8 consultation, Stage 11 FBC/statutory, professional assurance or real-world approval, as controlled by business_case/obc/controls/no-go-claim-register.csv, ISS-0042 and RISK-0045.</w:t>
      </w:r>
    </w:p>
    <w:p>
      <w:pPr>
        <w:pStyle w:val="Heading2"/>
      </w:pPr>
      <w:r>
        <w:t>8. Appendix: Key Source And Control Routes</w:t>
      </w:r>
    </w:p>
    <w:tbl>
      <w:tblPr>
        <w:tblStyle w:val="TableGrid"/>
        <w:tblW w:type="auto" w:w="0"/>
        <w:tblLayout w:type="autofit"/>
        <w:tblLook w:firstColumn="1" w:firstRow="1" w:lastColumn="0" w:lastRow="0" w:noHBand="0" w:noVBand="1" w:val="04A0"/>
      </w:tblPr>
      <w:tblGrid>
        <w:gridCol w:w="4680"/>
        <w:gridCol w:w="4680"/>
      </w:tblGrid>
      <w:tr>
        <w:trPr>
          <w:tblHeader w:val="true"/>
        </w:trPr>
        <w:tc>
          <w:tcPr>
            <w:tcW w:type="dxa" w:w="4680"/>
            <w:vAlign w:val="center"/>
            <w:tcMar>
              <w:top w:w="80" w:type="dxa"/>
              <w:start w:w="120" w:type="dxa"/>
              <w:bottom w:w="80" w:type="dxa"/>
              <w:end w:w="120" w:type="dxa"/>
            </w:tcMar>
            <w:shd w:fill="F2F4F7"/>
          </w:tcPr>
          <w:p>
            <w:pPr>
              <w:spacing w:after="0"/>
            </w:pPr>
            <w:r>
              <w:rPr>
                <w:rFonts w:ascii="Calibri" w:hAnsi="Calibri"/>
                <w:b/>
                <w:sz w:val="20"/>
              </w:rPr>
              <w:t>Route</w:t>
            </w:r>
          </w:p>
        </w:tc>
        <w:tc>
          <w:tcPr>
            <w:tcW w:type="dxa" w:w="4680"/>
            <w:vAlign w:val="center"/>
            <w:tcMar>
              <w:top w:w="80" w:type="dxa"/>
              <w:start w:w="120" w:type="dxa"/>
              <w:bottom w:w="80" w:type="dxa"/>
              <w:end w:w="120" w:type="dxa"/>
            </w:tcMar>
            <w:shd w:fill="F2F4F7"/>
          </w:tcPr>
          <w:p>
            <w:pPr>
              <w:spacing w:after="0"/>
            </w:pPr>
            <w:r>
              <w:rPr>
                <w:rFonts w:ascii="Calibri" w:hAnsi="Calibri"/>
                <w:b/>
                <w:sz w:val="20"/>
              </w:rPr>
              <w:t>File</w:t>
            </w:r>
          </w:p>
        </w:tc>
      </w:tr>
      <w:tr>
        <w:tc>
          <w:tcPr>
            <w:tcW w:type="dxa" w:w="4680"/>
            <w:vAlign w:val="center"/>
            <w:tcMar>
              <w:top w:w="80" w:type="dxa"/>
              <w:start w:w="120" w:type="dxa"/>
              <w:bottom w:w="80" w:type="dxa"/>
              <w:end w:w="120" w:type="dxa"/>
            </w:tcMar>
          </w:tcPr>
          <w:p>
            <w:pPr>
              <w:spacing w:after="0"/>
            </w:pPr>
            <w:r>
              <w:rPr>
                <w:rFonts w:ascii="Calibri" w:hAnsi="Calibri"/>
                <w:sz w:val="20"/>
              </w:rPr>
              <w:t>WECA exemplar register</w:t>
            </w:r>
          </w:p>
        </w:tc>
        <w:tc>
          <w:tcPr>
            <w:tcW w:type="dxa" w:w="4680"/>
            <w:vAlign w:val="center"/>
            <w:tcMar>
              <w:top w:w="80" w:type="dxa"/>
              <w:start w:w="120" w:type="dxa"/>
              <w:bottom w:w="80" w:type="dxa"/>
              <w:end w:w="120" w:type="dxa"/>
            </w:tcMar>
          </w:tcPr>
          <w:p>
            <w:pPr>
              <w:spacing w:after="0"/>
            </w:pPr>
            <w:r>
              <w:rPr>
                <w:rFonts w:ascii="Calibri" w:hAnsi="Calibri"/>
                <w:sz w:val="20"/>
              </w:rPr>
              <w:t>analysis/weca-obc-fbc-exemplars/exemplar-register.csv</w:t>
            </w:r>
          </w:p>
        </w:tc>
      </w:tr>
      <w:tr>
        <w:tc>
          <w:tcPr>
            <w:tcW w:type="dxa" w:w="4680"/>
            <w:vAlign w:val="center"/>
            <w:tcMar>
              <w:top w:w="80" w:type="dxa"/>
              <w:start w:w="120" w:type="dxa"/>
              <w:bottom w:w="80" w:type="dxa"/>
              <w:end w:w="120" w:type="dxa"/>
            </w:tcMar>
          </w:tcPr>
          <w:p>
            <w:pPr>
              <w:spacing w:after="0"/>
            </w:pPr>
            <w:r>
              <w:rPr>
                <w:rFonts w:ascii="Calibri" w:hAnsi="Calibri"/>
                <w:sz w:val="20"/>
              </w:rPr>
              <w:t>Comparator matrix</w:t>
            </w:r>
          </w:p>
        </w:tc>
        <w:tc>
          <w:tcPr>
            <w:tcW w:type="dxa" w:w="4680"/>
            <w:vAlign w:val="center"/>
            <w:tcMar>
              <w:top w:w="80" w:type="dxa"/>
              <w:start w:w="120" w:type="dxa"/>
              <w:bottom w:w="80" w:type="dxa"/>
              <w:end w:w="120" w:type="dxa"/>
            </w:tcMar>
          </w:tcPr>
          <w:p>
            <w:pPr>
              <w:spacing w:after="0"/>
            </w:pPr>
            <w:r>
              <w:rPr>
                <w:rFonts w:ascii="Calibri" w:hAnsi="Calibri"/>
                <w:sz w:val="20"/>
              </w:rPr>
              <w:t>analysis/weca-obc-fbc-exemplars/comparator-matrix.csv</w:t>
            </w:r>
          </w:p>
        </w:tc>
      </w:tr>
      <w:tr>
        <w:tc>
          <w:tcPr>
            <w:tcW w:type="dxa" w:w="4680"/>
            <w:vAlign w:val="center"/>
            <w:tcMar>
              <w:top w:w="80" w:type="dxa"/>
              <w:start w:w="120" w:type="dxa"/>
              <w:bottom w:w="80" w:type="dxa"/>
              <w:end w:w="120" w:type="dxa"/>
            </w:tcMar>
          </w:tcPr>
          <w:p>
            <w:pPr>
              <w:spacing w:after="0"/>
            </w:pPr>
            <w:r>
              <w:rPr>
                <w:rFonts w:ascii="Calibri" w:hAnsi="Calibri"/>
                <w:sz w:val="20"/>
              </w:rPr>
              <w:t>Authoring standard</w:t>
            </w:r>
          </w:p>
        </w:tc>
        <w:tc>
          <w:tcPr>
            <w:tcW w:type="dxa" w:w="4680"/>
            <w:vAlign w:val="center"/>
            <w:tcMar>
              <w:top w:w="80" w:type="dxa"/>
              <w:start w:w="120" w:type="dxa"/>
              <w:bottom w:w="80" w:type="dxa"/>
              <w:end w:w="120" w:type="dxa"/>
            </w:tcMar>
          </w:tcPr>
          <w:p>
            <w:pPr>
              <w:spacing w:after="0"/>
            </w:pPr>
            <w:r>
              <w:rPr>
                <w:rFonts w:ascii="Calibri" w:hAnsi="Calibri"/>
                <w:sz w:val="20"/>
              </w:rPr>
              <w:t>analysis/weca-obc-fbc-exemplars/weca-style-obc-authoring-standard.md</w:t>
            </w:r>
          </w:p>
        </w:tc>
      </w:tr>
      <w:tr>
        <w:tc>
          <w:tcPr>
            <w:tcW w:type="dxa" w:w="4680"/>
            <w:vAlign w:val="center"/>
            <w:tcMar>
              <w:top w:w="80" w:type="dxa"/>
              <w:start w:w="120" w:type="dxa"/>
              <w:bottom w:w="80" w:type="dxa"/>
              <w:end w:w="120" w:type="dxa"/>
            </w:tcMar>
          </w:tcPr>
          <w:p>
            <w:pPr>
              <w:spacing w:after="0"/>
            </w:pPr>
            <w:r>
              <w:rPr>
                <w:rFonts w:ascii="Calibri" w:hAnsi="Calibri"/>
                <w:sz w:val="20"/>
              </w:rPr>
              <w:t>OBC no-go claims</w:t>
            </w:r>
          </w:p>
        </w:tc>
        <w:tc>
          <w:tcPr>
            <w:tcW w:type="dxa" w:w="4680"/>
            <w:vAlign w:val="center"/>
            <w:tcMar>
              <w:top w:w="80" w:type="dxa"/>
              <w:start w:w="120" w:type="dxa"/>
              <w:bottom w:w="80" w:type="dxa"/>
              <w:end w:w="120" w:type="dxa"/>
            </w:tcMar>
          </w:tcPr>
          <w:p>
            <w:pPr>
              <w:spacing w:after="0"/>
            </w:pPr>
            <w:r>
              <w:rPr>
                <w:rFonts w:ascii="Calibri" w:hAnsi="Calibri"/>
                <w:sz w:val="20"/>
              </w:rPr>
              <w:t>business_case/obc/controls/no-go-claim-register.csv</w:t>
            </w:r>
          </w:p>
        </w:tc>
      </w:tr>
      <w:tr>
        <w:tc>
          <w:tcPr>
            <w:tcW w:type="dxa" w:w="4680"/>
            <w:vAlign w:val="center"/>
            <w:tcMar>
              <w:top w:w="80" w:type="dxa"/>
              <w:start w:w="120" w:type="dxa"/>
              <w:bottom w:w="80" w:type="dxa"/>
              <w:end w:w="120" w:type="dxa"/>
            </w:tcMar>
          </w:tcPr>
          <w:p>
            <w:pPr>
              <w:spacing w:after="0"/>
            </w:pPr>
            <w:r>
              <w:rPr>
                <w:rFonts w:ascii="Calibri" w:hAnsi="Calibri"/>
                <w:sz w:val="20"/>
              </w:rPr>
              <w:t>Source register</w:t>
            </w:r>
          </w:p>
        </w:tc>
        <w:tc>
          <w:tcPr>
            <w:tcW w:type="dxa" w:w="4680"/>
            <w:vAlign w:val="center"/>
            <w:tcMar>
              <w:top w:w="80" w:type="dxa"/>
              <w:start w:w="120" w:type="dxa"/>
              <w:bottom w:w="80" w:type="dxa"/>
              <w:end w:w="120" w:type="dxa"/>
            </w:tcMar>
          </w:tcPr>
          <w:p>
            <w:pPr>
              <w:spacing w:after="0"/>
            </w:pPr>
            <w:r>
              <w:rPr>
                <w:rFonts w:ascii="Calibri" w:hAnsi="Calibri"/>
                <w:sz w:val="20"/>
              </w:rPr>
              <w:t>evidence/source_register.csv</w:t>
            </w:r>
          </w:p>
        </w:tc>
      </w:tr>
      <w:tr>
        <w:tc>
          <w:tcPr>
            <w:tcW w:type="dxa" w:w="4680"/>
            <w:vAlign w:val="center"/>
            <w:tcMar>
              <w:top w:w="80" w:type="dxa"/>
              <w:start w:w="120" w:type="dxa"/>
              <w:bottom w:w="80" w:type="dxa"/>
              <w:end w:w="120" w:type="dxa"/>
            </w:tcMar>
          </w:tcPr>
          <w:p>
            <w:pPr>
              <w:spacing w:after="0"/>
            </w:pPr>
            <w:r>
              <w:rPr>
                <w:rFonts w:ascii="Calibri" w:hAnsi="Calibri"/>
                <w:sz w:val="20"/>
              </w:rPr>
              <w:t>Evidence gaps</w:t>
            </w:r>
          </w:p>
        </w:tc>
        <w:tc>
          <w:tcPr>
            <w:tcW w:type="dxa" w:w="4680"/>
            <w:vAlign w:val="center"/>
            <w:tcMar>
              <w:top w:w="80" w:type="dxa"/>
              <w:start w:w="120" w:type="dxa"/>
              <w:bottom w:w="80" w:type="dxa"/>
              <w:end w:w="120" w:type="dxa"/>
            </w:tcMar>
          </w:tcPr>
          <w:p>
            <w:pPr>
              <w:spacing w:after="0"/>
            </w:pPr>
            <w:r>
              <w:rPr>
                <w:rFonts w:ascii="Calibri" w:hAnsi="Calibri"/>
                <w:sz w:val="20"/>
              </w:rPr>
              <w:t>evidence/evidence_gap_register.csv</w:t>
            </w:r>
          </w:p>
        </w:tc>
      </w:tr>
      <w:tr>
        <w:tc>
          <w:tcPr>
            <w:tcW w:type="dxa" w:w="4680"/>
            <w:vAlign w:val="center"/>
            <w:tcMar>
              <w:top w:w="80" w:type="dxa"/>
              <w:start w:w="120" w:type="dxa"/>
              <w:bottom w:w="80" w:type="dxa"/>
              <w:end w:w="120" w:type="dxa"/>
            </w:tcMar>
          </w:tcPr>
          <w:p>
            <w:pPr>
              <w:spacing w:after="0"/>
            </w:pPr>
            <w:r>
              <w:rPr>
                <w:rFonts w:ascii="Calibri" w:hAnsi="Calibri"/>
                <w:sz w:val="20"/>
              </w:rPr>
              <w:t>Issues</w:t>
            </w:r>
          </w:p>
        </w:tc>
        <w:tc>
          <w:tcPr>
            <w:tcW w:type="dxa" w:w="4680"/>
            <w:vAlign w:val="center"/>
            <w:tcMar>
              <w:top w:w="80" w:type="dxa"/>
              <w:start w:w="120" w:type="dxa"/>
              <w:bottom w:w="80" w:type="dxa"/>
              <w:end w:w="120" w:type="dxa"/>
            </w:tcMar>
          </w:tcPr>
          <w:p>
            <w:pPr>
              <w:spacing w:after="0"/>
            </w:pPr>
            <w:r>
              <w:rPr>
                <w:rFonts w:ascii="Calibri" w:hAnsi="Calibri"/>
                <w:sz w:val="20"/>
              </w:rPr>
              <w:t>governance/issues_register.csv</w:t>
            </w:r>
          </w:p>
        </w:tc>
      </w:tr>
      <w:tr>
        <w:tc>
          <w:tcPr>
            <w:tcW w:type="dxa" w:w="4680"/>
            <w:vAlign w:val="center"/>
            <w:tcMar>
              <w:top w:w="80" w:type="dxa"/>
              <w:start w:w="120" w:type="dxa"/>
              <w:bottom w:w="80" w:type="dxa"/>
              <w:end w:w="120" w:type="dxa"/>
            </w:tcMar>
          </w:tcPr>
          <w:p>
            <w:pPr>
              <w:spacing w:after="0"/>
            </w:pPr>
            <w:r>
              <w:rPr>
                <w:rFonts w:ascii="Calibri" w:hAnsi="Calibri"/>
                <w:sz w:val="20"/>
              </w:rPr>
              <w:t>Risks</w:t>
            </w:r>
          </w:p>
        </w:tc>
        <w:tc>
          <w:tcPr>
            <w:tcW w:type="dxa" w:w="4680"/>
            <w:vAlign w:val="center"/>
            <w:tcMar>
              <w:top w:w="80" w:type="dxa"/>
              <w:start w:w="120" w:type="dxa"/>
              <w:bottom w:w="80" w:type="dxa"/>
              <w:end w:w="120" w:type="dxa"/>
            </w:tcMar>
          </w:tcPr>
          <w:p>
            <w:pPr>
              <w:spacing w:after="0"/>
            </w:pPr>
            <w:r>
              <w:rPr>
                <w:rFonts w:ascii="Calibri" w:hAnsi="Calibri"/>
                <w:sz w:val="20"/>
              </w:rPr>
              <w:t>governance/risk_register.csv</w:t>
            </w:r>
          </w:p>
        </w:tc>
      </w:tr>
      <w:tr>
        <w:tc>
          <w:tcPr>
            <w:tcW w:type="dxa" w:w="4680"/>
            <w:vAlign w:val="center"/>
            <w:tcMar>
              <w:top w:w="80" w:type="dxa"/>
              <w:start w:w="120" w:type="dxa"/>
              <w:bottom w:w="80" w:type="dxa"/>
              <w:end w:w="120" w:type="dxa"/>
            </w:tcMar>
          </w:tcPr>
          <w:p>
            <w:pPr>
              <w:spacing w:after="0"/>
            </w:pPr>
            <w:r>
              <w:rPr>
                <w:rFonts w:ascii="Calibri" w:hAnsi="Calibri"/>
                <w:sz w:val="20"/>
              </w:rPr>
              <w:t>Simulation sign-offs</w:t>
            </w:r>
          </w:p>
        </w:tc>
        <w:tc>
          <w:tcPr>
            <w:tcW w:type="dxa" w:w="4680"/>
            <w:vAlign w:val="center"/>
            <w:tcMar>
              <w:top w:w="80" w:type="dxa"/>
              <w:start w:w="120" w:type="dxa"/>
              <w:bottom w:w="80" w:type="dxa"/>
              <w:end w:w="120" w:type="dxa"/>
            </w:tcMar>
          </w:tcPr>
          <w:p>
            <w:pPr>
              <w:spacing w:after="0"/>
            </w:pPr>
            <w:r>
              <w:rPr>
                <w:rFonts w:ascii="Calibri" w:hAnsi="Calibri"/>
                <w:sz w:val="20"/>
              </w:rPr>
              <w:t>governance/simulation_signoff_register.csv</w:t>
            </w:r>
          </w:p>
        </w:tc>
      </w:tr>
    </w:tbl>
    <w:p/>
    <w:p>
      <w:pPr>
        <w:pStyle w:val="Heading2"/>
      </w:pPr>
      <w:r>
        <w:t>9. Detailed OBC Control Body</w:t>
      </w:r>
    </w:p>
    <w:p>
      <w:pPr>
        <w:pStyle w:val="Heading3"/>
      </w:pPr>
      <w:r>
        <w:t>9.1 Document Control</w:t>
      </w:r>
    </w:p>
    <w:tbl>
      <w:tblPr>
        <w:tblStyle w:val="TableGrid"/>
        <w:tblW w:type="auto" w:w="0"/>
        <w:tblLayout w:type="autofit"/>
        <w:tblLook w:firstColumn="1" w:firstRow="1" w:lastColumn="0" w:lastRow="0" w:noHBand="0" w:noVBand="1" w:val="04A0"/>
      </w:tblPr>
      <w:tblGrid>
        <w:gridCol w:w="4680"/>
        <w:gridCol w:w="4680"/>
      </w:tblGrid>
      <w:tr>
        <w:trPr>
          <w:tblHeader w:val="true"/>
        </w:trPr>
        <w:tc>
          <w:tcPr>
            <w:tcW w:type="dxa" w:w="4680"/>
            <w:vAlign w:val="center"/>
            <w:tcMar>
              <w:top w:w="80" w:type="dxa"/>
              <w:start w:w="120" w:type="dxa"/>
              <w:bottom w:w="80" w:type="dxa"/>
              <w:end w:w="120" w:type="dxa"/>
            </w:tcMar>
            <w:shd w:fill="F2F4F7"/>
          </w:tcPr>
          <w:p>
            <w:pPr>
              <w:spacing w:after="0"/>
            </w:pPr>
            <w:r>
              <w:rPr>
                <w:rFonts w:ascii="Calibri" w:hAnsi="Calibri"/>
                <w:b/>
                <w:sz w:val="20"/>
              </w:rPr>
              <w:t>Field</w:t>
            </w:r>
          </w:p>
        </w:tc>
        <w:tc>
          <w:tcPr>
            <w:tcW w:type="dxa" w:w="4680"/>
            <w:vAlign w:val="center"/>
            <w:tcMar>
              <w:top w:w="80" w:type="dxa"/>
              <w:start w:w="120" w:type="dxa"/>
              <w:bottom w:w="80" w:type="dxa"/>
              <w:end w:w="120" w:type="dxa"/>
            </w:tcMar>
            <w:shd w:fill="F2F4F7"/>
          </w:tcPr>
          <w:p>
            <w:pPr>
              <w:spacing w:after="0"/>
            </w:pPr>
            <w:r>
              <w:rPr>
                <w:rFonts w:ascii="Calibri" w:hAnsi="Calibri"/>
                <w:b/>
                <w:sz w:val="20"/>
              </w:rPr>
              <w:t>Simulation value</w:t>
            </w:r>
          </w:p>
        </w:tc>
      </w:tr>
      <w:tr>
        <w:tc>
          <w:tcPr>
            <w:tcW w:type="dxa" w:w="4680"/>
            <w:vAlign w:val="center"/>
            <w:tcMar>
              <w:top w:w="80" w:type="dxa"/>
              <w:start w:w="120" w:type="dxa"/>
              <w:bottom w:w="80" w:type="dxa"/>
              <w:end w:w="120" w:type="dxa"/>
            </w:tcMar>
          </w:tcPr>
          <w:p>
            <w:pPr>
              <w:spacing w:after="0"/>
            </w:pPr>
            <w:r>
              <w:rPr>
                <w:rFonts w:ascii="Calibri" w:hAnsi="Calibri"/>
                <w:sz w:val="20"/>
              </w:rPr>
              <w:t>Document owner</w:t>
            </w:r>
          </w:p>
        </w:tc>
        <w:tc>
          <w:tcPr>
            <w:tcW w:type="dxa" w:w="4680"/>
            <w:vAlign w:val="center"/>
            <w:tcMar>
              <w:top w:w="80" w:type="dxa"/>
              <w:start w:w="120" w:type="dxa"/>
              <w:bottom w:w="80" w:type="dxa"/>
              <w:end w:w="120" w:type="dxa"/>
            </w:tcMar>
          </w:tcPr>
          <w:p>
            <w:pPr>
              <w:spacing w:after="0"/>
            </w:pPr>
            <w:r>
              <w:rPr>
                <w:rFonts w:ascii="Calibri" w:hAnsi="Calibri"/>
                <w:sz w:val="20"/>
              </w:rPr>
              <w:t>Programme Orchestrator simulation role</w:t>
            </w:r>
          </w:p>
        </w:tc>
      </w:tr>
      <w:tr>
        <w:tc>
          <w:tcPr>
            <w:tcW w:type="dxa" w:w="4680"/>
            <w:vAlign w:val="center"/>
            <w:tcMar>
              <w:top w:w="80" w:type="dxa"/>
              <w:start w:w="120" w:type="dxa"/>
              <w:bottom w:w="80" w:type="dxa"/>
              <w:end w:w="120" w:type="dxa"/>
            </w:tcMar>
          </w:tcPr>
          <w:p>
            <w:pPr>
              <w:spacing w:after="0"/>
            </w:pPr>
            <w:r>
              <w:rPr>
                <w:rFonts w:ascii="Calibri" w:hAnsi="Calibri"/>
                <w:sz w:val="20"/>
              </w:rPr>
              <w:t>Promoter</w:t>
            </w:r>
          </w:p>
        </w:tc>
        <w:tc>
          <w:tcPr>
            <w:tcW w:type="dxa" w:w="4680"/>
            <w:vAlign w:val="center"/>
            <w:tcMar>
              <w:top w:w="80" w:type="dxa"/>
              <w:start w:w="120" w:type="dxa"/>
              <w:bottom w:w="80" w:type="dxa"/>
              <w:end w:w="120" w:type="dxa"/>
            </w:tcMar>
          </w:tcPr>
          <w:p>
            <w:pPr>
              <w:spacing w:after="0"/>
            </w:pPr>
            <w:r>
              <w:rPr>
                <w:rFonts w:ascii="Calibri" w:hAnsi="Calibri"/>
                <w:sz w:val="20"/>
              </w:rPr>
              <w:t>Bristol WPL simulation, not Bristol City Council</w:t>
            </w:r>
          </w:p>
        </w:tc>
      </w:tr>
      <w:tr>
        <w:tc>
          <w:tcPr>
            <w:tcW w:type="dxa" w:w="4680"/>
            <w:vAlign w:val="center"/>
            <w:tcMar>
              <w:top w:w="80" w:type="dxa"/>
              <w:start w:w="120" w:type="dxa"/>
              <w:bottom w:w="80" w:type="dxa"/>
              <w:end w:w="120" w:type="dxa"/>
            </w:tcMar>
          </w:tcPr>
          <w:p>
            <w:pPr>
              <w:spacing w:after="0"/>
            </w:pPr>
            <w:r>
              <w:rPr>
                <w:rFonts w:ascii="Calibri" w:hAnsi="Calibri"/>
                <w:sz w:val="20"/>
              </w:rPr>
              <w:t>Business-case stage</w:t>
            </w:r>
          </w:p>
        </w:tc>
        <w:tc>
          <w:tcPr>
            <w:tcW w:type="dxa" w:w="4680"/>
            <w:vAlign w:val="center"/>
            <w:tcMar>
              <w:top w:w="80" w:type="dxa"/>
              <w:start w:w="120" w:type="dxa"/>
              <w:bottom w:w="80" w:type="dxa"/>
              <w:end w:w="120" w:type="dxa"/>
            </w:tcMar>
          </w:tcPr>
          <w:p>
            <w:pPr>
              <w:spacing w:after="0"/>
            </w:pPr>
            <w:r>
              <w:rPr>
                <w:rFonts w:ascii="Calibri" w:hAnsi="Calibri"/>
                <w:sz w:val="20"/>
              </w:rPr>
              <w:t>OBC-shaped working draft, no reliance status</w:t>
            </w:r>
          </w:p>
        </w:tc>
      </w:tr>
      <w:tr>
        <w:tc>
          <w:tcPr>
            <w:tcW w:type="dxa" w:w="4680"/>
            <w:vAlign w:val="center"/>
            <w:tcMar>
              <w:top w:w="80" w:type="dxa"/>
              <w:start w:w="120" w:type="dxa"/>
              <w:bottom w:w="80" w:type="dxa"/>
              <w:end w:w="120" w:type="dxa"/>
            </w:tcMar>
          </w:tcPr>
          <w:p>
            <w:pPr>
              <w:spacing w:after="0"/>
            </w:pPr>
            <w:r>
              <w:rPr>
                <w:rFonts w:ascii="Calibri" w:hAnsi="Calibri"/>
                <w:sz w:val="20"/>
              </w:rPr>
              <w:t>Assurance route</w:t>
            </w:r>
          </w:p>
        </w:tc>
        <w:tc>
          <w:tcPr>
            <w:tcW w:type="dxa" w:w="4680"/>
            <w:vAlign w:val="center"/>
            <w:tcMar>
              <w:top w:w="80" w:type="dxa"/>
              <w:start w:w="120" w:type="dxa"/>
              <w:bottom w:w="80" w:type="dxa"/>
              <w:end w:w="120" w:type="dxa"/>
            </w:tcMar>
          </w:tcPr>
          <w:p>
            <w:pPr>
              <w:spacing w:after="0"/>
            </w:pPr>
            <w:r>
              <w:rPr>
                <w:rFonts w:ascii="Calibri" w:hAnsi="Calibri"/>
                <w:sz w:val="20"/>
              </w:rPr>
              <w:t>Stage 32A simulated review lanes only</w:t>
            </w:r>
          </w:p>
        </w:tc>
      </w:tr>
      <w:tr>
        <w:tc>
          <w:tcPr>
            <w:tcW w:type="dxa" w:w="4680"/>
            <w:vAlign w:val="center"/>
            <w:tcMar>
              <w:top w:w="80" w:type="dxa"/>
              <w:start w:w="120" w:type="dxa"/>
              <w:bottom w:w="80" w:type="dxa"/>
              <w:end w:w="120" w:type="dxa"/>
            </w:tcMar>
          </w:tcPr>
          <w:p>
            <w:pPr>
              <w:spacing w:after="0"/>
            </w:pPr>
            <w:r>
              <w:rPr>
                <w:rFonts w:ascii="Calibri" w:hAnsi="Calibri"/>
                <w:sz w:val="20"/>
              </w:rPr>
              <w:t>Distribution</w:t>
            </w:r>
          </w:p>
        </w:tc>
        <w:tc>
          <w:tcPr>
            <w:tcW w:type="dxa" w:w="4680"/>
            <w:vAlign w:val="center"/>
            <w:tcMar>
              <w:top w:w="80" w:type="dxa"/>
              <w:start w:w="120" w:type="dxa"/>
              <w:bottom w:w="80" w:type="dxa"/>
              <w:end w:w="120" w:type="dxa"/>
            </w:tcMar>
          </w:tcPr>
          <w:p>
            <w:pPr>
              <w:spacing w:after="0"/>
            </w:pPr>
            <w:r>
              <w:rPr>
                <w:rFonts w:ascii="Calibri" w:hAnsi="Calibri"/>
                <w:sz w:val="20"/>
              </w:rPr>
              <w:t>Editable Markdown inside the public repository</w:t>
            </w:r>
          </w:p>
        </w:tc>
      </w:tr>
      <w:tr>
        <w:tc>
          <w:tcPr>
            <w:tcW w:type="dxa" w:w="4680"/>
            <w:vAlign w:val="center"/>
            <w:tcMar>
              <w:top w:w="80" w:type="dxa"/>
              <w:start w:w="120" w:type="dxa"/>
              <w:bottom w:w="80" w:type="dxa"/>
              <w:end w:w="120" w:type="dxa"/>
            </w:tcMar>
          </w:tcPr>
          <w:p>
            <w:pPr>
              <w:spacing w:after="0"/>
            </w:pPr>
            <w:r>
              <w:rPr>
                <w:rFonts w:ascii="Calibri" w:hAnsi="Calibri"/>
                <w:sz w:val="20"/>
              </w:rPr>
              <w:t>Publication control</w:t>
            </w:r>
          </w:p>
        </w:tc>
        <w:tc>
          <w:tcPr>
            <w:tcW w:type="dxa" w:w="4680"/>
            <w:vAlign w:val="center"/>
            <w:tcMar>
              <w:top w:w="80" w:type="dxa"/>
              <w:start w:w="120" w:type="dxa"/>
              <w:bottom w:w="80" w:type="dxa"/>
              <w:end w:w="120" w:type="dxa"/>
            </w:tcMar>
          </w:tcPr>
          <w:p>
            <w:pPr>
              <w:spacing w:after="0"/>
            </w:pPr>
            <w:r>
              <w:rPr>
                <w:rFonts w:ascii="Calibri" w:hAnsi="Calibri"/>
                <w:sz w:val="20"/>
              </w:rPr>
              <w:t>No authored PDF; no officer-distribution PDF</w:t>
            </w:r>
          </w:p>
        </w:tc>
      </w:tr>
      <w:tr>
        <w:tc>
          <w:tcPr>
            <w:tcW w:type="dxa" w:w="4680"/>
            <w:vAlign w:val="center"/>
            <w:tcMar>
              <w:top w:w="80" w:type="dxa"/>
              <w:start w:w="120" w:type="dxa"/>
              <w:bottom w:w="80" w:type="dxa"/>
              <w:end w:w="120" w:type="dxa"/>
            </w:tcMar>
          </w:tcPr>
          <w:p>
            <w:pPr>
              <w:spacing w:after="0"/>
            </w:pPr>
            <w:r>
              <w:rPr>
                <w:rFonts w:ascii="Calibri" w:hAnsi="Calibri"/>
                <w:sz w:val="20"/>
              </w:rPr>
              <w:t>Current gate</w:t>
            </w:r>
          </w:p>
        </w:tc>
        <w:tc>
          <w:tcPr>
            <w:tcW w:type="dxa" w:w="4680"/>
            <w:vAlign w:val="center"/>
            <w:tcMar>
              <w:top w:w="80" w:type="dxa"/>
              <w:start w:w="120" w:type="dxa"/>
              <w:bottom w:w="80" w:type="dxa"/>
              <w:end w:w="120" w:type="dxa"/>
            </w:tcMar>
          </w:tcPr>
          <w:p>
            <w:pPr>
              <w:spacing w:after="0"/>
            </w:pPr>
            <w:r>
              <w:rPr>
                <w:rFonts w:ascii="Calibri" w:hAnsi="Calibri"/>
                <w:sz w:val="20"/>
              </w:rPr>
              <w:t>Stage 7 OBC gate remains blocked</w:t>
            </w:r>
          </w:p>
        </w:tc>
      </w:tr>
    </w:tbl>
    <w:p/>
    <w:p>
      <w:r>
        <w:rPr>
          <w:rFonts w:ascii="Calibri" w:hAnsi="Calibri"/>
          <w:b/>
        </w:rPr>
        <w:t>Gap.</w:t>
      </w:r>
      <w:r>
        <w:rPr>
          <w:rFonts w:ascii="Calibri" w:hAnsi="Calibri"/>
        </w:rPr>
        <w:t xml:space="preserve"> A real OBC would require accountable Bristol document ownership, governance clearance, legal review, Section 151 review, modelling review, consultation/equalities review and a decision route. Those real-world roles are not held in this repo.</w:t>
      </w:r>
    </w:p>
    <w:p>
      <w:pPr>
        <w:pStyle w:val="Heading3"/>
      </w:pPr>
      <w:r>
        <w:t>9.2 Business Need</w:t>
      </w:r>
    </w:p>
    <w:p>
      <w:r>
        <w:rPr>
          <w:rFonts w:ascii="Calibri" w:hAnsi="Calibri"/>
          <w:b/>
        </w:rPr>
        <w:t>Cited.</w:t>
      </w:r>
      <w:r>
        <w:rPr>
          <w:rFonts w:ascii="Calibri" w:hAnsi="Calibri"/>
        </w:rPr>
        <w:t xml:space="preserve"> Bristol public WPL evidence frames the scheme as demand management and transport reinvestment, with objectives linked to congestion, commuting behaviour and sustainable transport (SRC-BCC-0015 lines 4285-4288).</w:t>
      </w:r>
    </w:p>
    <w:p>
      <w:r>
        <w:rPr>
          <w:rFonts w:ascii="Calibri" w:hAnsi="Calibri"/>
          <w:b/>
        </w:rPr>
        <w:t>Cited.</w:t>
      </w:r>
      <w:r>
        <w:rPr>
          <w:rFonts w:ascii="Calibri" w:hAnsi="Calibri"/>
        </w:rPr>
        <w:t xml:space="preserve"> The March 2026 record also says the OBC work would test revenue, congestion, air quality, equality, economic impacts and other outcomes (SRC-BCC-0015 lines 4340-4343).</w:t>
      </w:r>
    </w:p>
    <w:p>
      <w:r>
        <w:rPr>
          <w:rFonts w:ascii="Calibri" w:hAnsi="Calibri"/>
          <w:b/>
        </w:rPr>
        <w:t>Inference.</w:t>
      </w:r>
      <w:r>
        <w:rPr>
          <w:rFonts w:ascii="Calibri" w:hAnsi="Calibri"/>
        </w:rPr>
        <w:t xml:space="preserve"> A future Bristol WPL OBC therefore needs to demonstrate more than technical charging feasibility. It must show why the intervention is needed, why a WPL is proportionate, how it interacts with the transport strategy, how effects are distributed, and how the licensing scheme would be delivered.</w:t>
      </w:r>
    </w:p>
    <w:p>
      <w:r>
        <w:rPr>
          <w:rFonts w:ascii="Calibri" w:hAnsi="Calibri"/>
          <w:b/>
        </w:rPr>
        <w:t>Gap.</w:t>
      </w:r>
      <w:r>
        <w:rPr>
          <w:rFonts w:ascii="Calibri" w:hAnsi="Calibri"/>
        </w:rPr>
        <w:t xml:space="preserve"> The repo has no final problem baseline, no agreed theory of change, no quantified counterfactual and no consultation-tested business need.</w:t>
      </w:r>
    </w:p>
    <w:p>
      <w:pPr>
        <w:pStyle w:val="Heading3"/>
      </w:pPr>
      <w:r>
        <w:t>9.3 Scope Of The Intervention</w:t>
      </w:r>
    </w:p>
    <w:tbl>
      <w:tblPr>
        <w:tblStyle w:val="TableGrid"/>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center"/>
            <w:tcMar>
              <w:top w:w="80" w:type="dxa"/>
              <w:start w:w="120" w:type="dxa"/>
              <w:bottom w:w="80" w:type="dxa"/>
              <w:end w:w="120" w:type="dxa"/>
            </w:tcMar>
            <w:shd w:fill="F2F4F7"/>
          </w:tcPr>
          <w:p>
            <w:pPr>
              <w:spacing w:after="0"/>
            </w:pPr>
            <w:r>
              <w:rPr>
                <w:rFonts w:ascii="Calibri" w:hAnsi="Calibri"/>
                <w:b/>
                <w:sz w:val="20"/>
              </w:rPr>
              <w:t>Scope element</w:t>
            </w:r>
          </w:p>
        </w:tc>
        <w:tc>
          <w:tcPr>
            <w:tcW w:type="dxa" w:w="3120"/>
            <w:vAlign w:val="center"/>
            <w:tcMar>
              <w:top w:w="80" w:type="dxa"/>
              <w:start w:w="120" w:type="dxa"/>
              <w:bottom w:w="80" w:type="dxa"/>
              <w:end w:w="120" w:type="dxa"/>
            </w:tcMar>
            <w:shd w:fill="F2F4F7"/>
          </w:tcPr>
          <w:p>
            <w:pPr>
              <w:spacing w:after="0"/>
            </w:pPr>
            <w:r>
              <w:rPr>
                <w:rFonts w:ascii="Calibri" w:hAnsi="Calibri"/>
                <w:b/>
                <w:sz w:val="20"/>
              </w:rPr>
              <w:t>Future OBC question</w:t>
            </w:r>
          </w:p>
        </w:tc>
        <w:tc>
          <w:tcPr>
            <w:tcW w:type="dxa" w:w="3120"/>
            <w:vAlign w:val="center"/>
            <w:tcMar>
              <w:top w:w="80" w:type="dxa"/>
              <w:start w:w="120" w:type="dxa"/>
              <w:bottom w:w="80" w:type="dxa"/>
              <w:end w:w="120" w:type="dxa"/>
            </w:tcMar>
            <w:shd w:fill="F2F4F7"/>
          </w:tcPr>
          <w:p>
            <w:pPr>
              <w:spacing w:after="0"/>
            </w:pPr>
            <w:r>
              <w:rPr>
                <w:rFonts w:ascii="Calibri" w:hAnsi="Calibri"/>
                <w:b/>
                <w:sz w:val="20"/>
              </w:rPr>
              <w:t>Current simulation status</w:t>
            </w:r>
          </w:p>
        </w:tc>
      </w:tr>
      <w:tr>
        <w:tc>
          <w:tcPr>
            <w:tcW w:type="dxa" w:w="3120"/>
            <w:vAlign w:val="center"/>
            <w:tcMar>
              <w:top w:w="80" w:type="dxa"/>
              <w:start w:w="120" w:type="dxa"/>
              <w:bottom w:w="80" w:type="dxa"/>
              <w:end w:w="120" w:type="dxa"/>
            </w:tcMar>
          </w:tcPr>
          <w:p>
            <w:pPr>
              <w:spacing w:after="0"/>
            </w:pPr>
            <w:r>
              <w:rPr>
                <w:rFonts w:ascii="Calibri" w:hAnsi="Calibri"/>
                <w:sz w:val="20"/>
              </w:rPr>
              <w:t>Charging geography</w:t>
            </w:r>
          </w:p>
        </w:tc>
        <w:tc>
          <w:tcPr>
            <w:tcW w:type="dxa" w:w="3120"/>
            <w:vAlign w:val="center"/>
            <w:tcMar>
              <w:top w:w="80" w:type="dxa"/>
              <w:start w:w="120" w:type="dxa"/>
              <w:bottom w:w="80" w:type="dxa"/>
              <w:end w:w="120" w:type="dxa"/>
            </w:tcMar>
          </w:tcPr>
          <w:p>
            <w:pPr>
              <w:spacing w:after="0"/>
            </w:pPr>
            <w:r>
              <w:rPr>
                <w:rFonts w:ascii="Calibri" w:hAnsi="Calibri"/>
                <w:sz w:val="20"/>
              </w:rPr>
              <w:t>Which workplaces and liable parking places sit inside the scheme area?</w:t>
            </w:r>
          </w:p>
        </w:tc>
        <w:tc>
          <w:tcPr>
            <w:tcW w:type="dxa" w:w="3120"/>
            <w:vAlign w:val="center"/>
            <w:tcMar>
              <w:top w:w="80" w:type="dxa"/>
              <w:start w:w="120" w:type="dxa"/>
              <w:bottom w:w="80" w:type="dxa"/>
              <w:end w:w="120" w:type="dxa"/>
            </w:tcMar>
          </w:tcPr>
          <w:p>
            <w:pPr>
              <w:spacing w:after="0"/>
            </w:pPr>
            <w:r>
              <w:rPr>
                <w:rFonts w:ascii="Calibri" w:hAnsi="Calibri"/>
                <w:sz w:val="20"/>
              </w:rPr>
              <w:t>Boundary absent</w:t>
            </w:r>
          </w:p>
        </w:tc>
      </w:tr>
      <w:tr>
        <w:tc>
          <w:tcPr>
            <w:tcW w:type="dxa" w:w="3120"/>
            <w:vAlign w:val="center"/>
            <w:tcMar>
              <w:top w:w="80" w:type="dxa"/>
              <w:start w:w="120" w:type="dxa"/>
              <w:bottom w:w="80" w:type="dxa"/>
              <w:end w:w="120" w:type="dxa"/>
            </w:tcMar>
          </w:tcPr>
          <w:p>
            <w:pPr>
              <w:spacing w:after="0"/>
            </w:pPr>
            <w:r>
              <w:rPr>
                <w:rFonts w:ascii="Calibri" w:hAnsi="Calibri"/>
                <w:sz w:val="20"/>
              </w:rPr>
              <w:t>Liable persons</w:t>
            </w:r>
          </w:p>
        </w:tc>
        <w:tc>
          <w:tcPr>
            <w:tcW w:type="dxa" w:w="3120"/>
            <w:vAlign w:val="center"/>
            <w:tcMar>
              <w:top w:w="80" w:type="dxa"/>
              <w:start w:w="120" w:type="dxa"/>
              <w:bottom w:w="80" w:type="dxa"/>
              <w:end w:w="120" w:type="dxa"/>
            </w:tcMar>
          </w:tcPr>
          <w:p>
            <w:pPr>
              <w:spacing w:after="0"/>
            </w:pPr>
            <w:r>
              <w:rPr>
                <w:rFonts w:ascii="Calibri" w:hAnsi="Calibri"/>
                <w:sz w:val="20"/>
              </w:rPr>
              <w:t>Which employers or occupiers are licence holders?</w:t>
            </w:r>
          </w:p>
        </w:tc>
        <w:tc>
          <w:tcPr>
            <w:tcW w:type="dxa" w:w="3120"/>
            <w:vAlign w:val="center"/>
            <w:tcMar>
              <w:top w:w="80" w:type="dxa"/>
              <w:start w:w="120" w:type="dxa"/>
              <w:bottom w:w="80" w:type="dxa"/>
              <w:end w:w="120" w:type="dxa"/>
            </w:tcMar>
          </w:tcPr>
          <w:p>
            <w:pPr>
              <w:spacing w:after="0"/>
            </w:pPr>
            <w:r>
              <w:rPr>
                <w:rFonts w:ascii="Calibri" w:hAnsi="Calibri"/>
                <w:sz w:val="20"/>
              </w:rPr>
              <w:t>Legal/operating detail absent</w:t>
            </w:r>
          </w:p>
        </w:tc>
      </w:tr>
      <w:tr>
        <w:tc>
          <w:tcPr>
            <w:tcW w:type="dxa" w:w="3120"/>
            <w:vAlign w:val="center"/>
            <w:tcMar>
              <w:top w:w="80" w:type="dxa"/>
              <w:start w:w="120" w:type="dxa"/>
              <w:bottom w:w="80" w:type="dxa"/>
              <w:end w:w="120" w:type="dxa"/>
            </w:tcMar>
          </w:tcPr>
          <w:p>
            <w:pPr>
              <w:spacing w:after="0"/>
            </w:pPr>
            <w:r>
              <w:rPr>
                <w:rFonts w:ascii="Calibri" w:hAnsi="Calibri"/>
                <w:sz w:val="20"/>
              </w:rPr>
              <w:t>Thresholds</w:t>
            </w:r>
          </w:p>
        </w:tc>
        <w:tc>
          <w:tcPr>
            <w:tcW w:type="dxa" w:w="3120"/>
            <w:vAlign w:val="center"/>
            <w:tcMar>
              <w:top w:w="80" w:type="dxa"/>
              <w:start w:w="120" w:type="dxa"/>
              <w:bottom w:w="80" w:type="dxa"/>
              <w:end w:w="120" w:type="dxa"/>
            </w:tcMar>
          </w:tcPr>
          <w:p>
            <w:pPr>
              <w:spacing w:after="0"/>
            </w:pPr>
            <w:r>
              <w:rPr>
                <w:rFonts w:ascii="Calibri" w:hAnsi="Calibri"/>
                <w:sz w:val="20"/>
              </w:rPr>
              <w:t>What exemption or charge threshold applies?</w:t>
            </w:r>
          </w:p>
        </w:tc>
        <w:tc>
          <w:tcPr>
            <w:tcW w:type="dxa" w:w="3120"/>
            <w:vAlign w:val="center"/>
            <w:tcMar>
              <w:top w:w="80" w:type="dxa"/>
              <w:start w:w="120" w:type="dxa"/>
              <w:bottom w:w="80" w:type="dxa"/>
              <w:end w:w="120" w:type="dxa"/>
            </w:tcMar>
          </w:tcPr>
          <w:p>
            <w:pPr>
              <w:spacing w:after="0"/>
            </w:pPr>
            <w:r>
              <w:rPr>
                <w:rFonts w:ascii="Calibri" w:hAnsi="Calibri"/>
                <w:sz w:val="20"/>
              </w:rPr>
              <w:t>Not selected</w:t>
            </w:r>
          </w:p>
        </w:tc>
      </w:tr>
      <w:tr>
        <w:tc>
          <w:tcPr>
            <w:tcW w:type="dxa" w:w="3120"/>
            <w:vAlign w:val="center"/>
            <w:tcMar>
              <w:top w:w="80" w:type="dxa"/>
              <w:start w:w="120" w:type="dxa"/>
              <w:bottom w:w="80" w:type="dxa"/>
              <w:end w:w="120" w:type="dxa"/>
            </w:tcMar>
          </w:tcPr>
          <w:p>
            <w:pPr>
              <w:spacing w:after="0"/>
            </w:pPr>
            <w:r>
              <w:rPr>
                <w:rFonts w:ascii="Calibri" w:hAnsi="Calibri"/>
                <w:sz w:val="20"/>
              </w:rPr>
              <w:t>Charge</w:t>
            </w:r>
          </w:p>
        </w:tc>
        <w:tc>
          <w:tcPr>
            <w:tcW w:type="dxa" w:w="3120"/>
            <w:vAlign w:val="center"/>
            <w:tcMar>
              <w:top w:w="80" w:type="dxa"/>
              <w:start w:w="120" w:type="dxa"/>
              <w:bottom w:w="80" w:type="dxa"/>
              <w:end w:w="120" w:type="dxa"/>
            </w:tcMar>
          </w:tcPr>
          <w:p>
            <w:pPr>
              <w:spacing w:after="0"/>
            </w:pPr>
            <w:r>
              <w:rPr>
                <w:rFonts w:ascii="Calibri" w:hAnsi="Calibri"/>
                <w:sz w:val="20"/>
              </w:rPr>
              <w:t>What annual charge and indexation approach apply?</w:t>
            </w:r>
          </w:p>
        </w:tc>
        <w:tc>
          <w:tcPr>
            <w:tcW w:type="dxa" w:w="3120"/>
            <w:vAlign w:val="center"/>
            <w:tcMar>
              <w:top w:w="80" w:type="dxa"/>
              <w:start w:w="120" w:type="dxa"/>
              <w:bottom w:w="80" w:type="dxa"/>
              <w:end w:w="120" w:type="dxa"/>
            </w:tcMar>
          </w:tcPr>
          <w:p>
            <w:pPr>
              <w:spacing w:after="0"/>
            </w:pPr>
            <w:r>
              <w:rPr>
                <w:rFonts w:ascii="Calibri" w:hAnsi="Calibri"/>
                <w:sz w:val="20"/>
              </w:rPr>
              <w:t>Not selected</w:t>
            </w:r>
          </w:p>
        </w:tc>
      </w:tr>
      <w:tr>
        <w:tc>
          <w:tcPr>
            <w:tcW w:type="dxa" w:w="3120"/>
            <w:vAlign w:val="center"/>
            <w:tcMar>
              <w:top w:w="80" w:type="dxa"/>
              <w:start w:w="120" w:type="dxa"/>
              <w:bottom w:w="80" w:type="dxa"/>
              <w:end w:w="120" w:type="dxa"/>
            </w:tcMar>
          </w:tcPr>
          <w:p>
            <w:pPr>
              <w:spacing w:after="0"/>
            </w:pPr>
            <w:r>
              <w:rPr>
                <w:rFonts w:ascii="Calibri" w:hAnsi="Calibri"/>
                <w:sz w:val="20"/>
              </w:rPr>
              <w:t>Exemptions</w:t>
            </w:r>
          </w:p>
        </w:tc>
        <w:tc>
          <w:tcPr>
            <w:tcW w:type="dxa" w:w="3120"/>
            <w:vAlign w:val="center"/>
            <w:tcMar>
              <w:top w:w="80" w:type="dxa"/>
              <w:start w:w="120" w:type="dxa"/>
              <w:bottom w:w="80" w:type="dxa"/>
              <w:end w:w="120" w:type="dxa"/>
            </w:tcMar>
          </w:tcPr>
          <w:p>
            <w:pPr>
              <w:spacing w:after="0"/>
            </w:pPr>
            <w:r>
              <w:rPr>
                <w:rFonts w:ascii="Calibri" w:hAnsi="Calibri"/>
                <w:sz w:val="20"/>
              </w:rPr>
              <w:t>Which vehicle, user, employer or site exemptions apply?</w:t>
            </w:r>
          </w:p>
        </w:tc>
        <w:tc>
          <w:tcPr>
            <w:tcW w:type="dxa" w:w="3120"/>
            <w:vAlign w:val="center"/>
            <w:tcMar>
              <w:top w:w="80" w:type="dxa"/>
              <w:start w:w="120" w:type="dxa"/>
              <w:bottom w:w="80" w:type="dxa"/>
              <w:end w:w="120" w:type="dxa"/>
            </w:tcMar>
          </w:tcPr>
          <w:p>
            <w:pPr>
              <w:spacing w:after="0"/>
            </w:pPr>
            <w:r>
              <w:rPr>
                <w:rFonts w:ascii="Calibri" w:hAnsi="Calibri"/>
                <w:sz w:val="20"/>
              </w:rPr>
              <w:t>Not selected</w:t>
            </w:r>
          </w:p>
        </w:tc>
      </w:tr>
      <w:tr>
        <w:tc>
          <w:tcPr>
            <w:tcW w:type="dxa" w:w="3120"/>
            <w:vAlign w:val="center"/>
            <w:tcMar>
              <w:top w:w="80" w:type="dxa"/>
              <w:start w:w="120" w:type="dxa"/>
              <w:bottom w:w="80" w:type="dxa"/>
              <w:end w:w="120" w:type="dxa"/>
            </w:tcMar>
          </w:tcPr>
          <w:p>
            <w:pPr>
              <w:spacing w:after="0"/>
            </w:pPr>
            <w:r>
              <w:rPr>
                <w:rFonts w:ascii="Calibri" w:hAnsi="Calibri"/>
                <w:sz w:val="20"/>
              </w:rPr>
              <w:t>Revenue use</w:t>
            </w:r>
          </w:p>
        </w:tc>
        <w:tc>
          <w:tcPr>
            <w:tcW w:type="dxa" w:w="3120"/>
            <w:vAlign w:val="center"/>
            <w:tcMar>
              <w:top w:w="80" w:type="dxa"/>
              <w:start w:w="120" w:type="dxa"/>
              <w:bottom w:w="80" w:type="dxa"/>
              <w:end w:w="120" w:type="dxa"/>
            </w:tcMar>
          </w:tcPr>
          <w:p>
            <w:pPr>
              <w:spacing w:after="0"/>
            </w:pPr>
            <w:r>
              <w:rPr>
                <w:rFonts w:ascii="Calibri" w:hAnsi="Calibri"/>
                <w:sz w:val="20"/>
              </w:rPr>
              <w:t>Which local transport policies or proposals receive net proceeds?</w:t>
            </w:r>
          </w:p>
        </w:tc>
        <w:tc>
          <w:tcPr>
            <w:tcW w:type="dxa" w:w="3120"/>
            <w:vAlign w:val="center"/>
            <w:tcMar>
              <w:top w:w="80" w:type="dxa"/>
              <w:start w:w="120" w:type="dxa"/>
              <w:bottom w:w="80" w:type="dxa"/>
              <w:end w:w="120" w:type="dxa"/>
            </w:tcMar>
          </w:tcPr>
          <w:p>
            <w:pPr>
              <w:spacing w:after="0"/>
            </w:pPr>
            <w:r>
              <w:rPr>
                <w:rFonts w:ascii="Calibri" w:hAnsi="Calibri"/>
                <w:sz w:val="20"/>
              </w:rPr>
              <w:t>Package not selected</w:t>
            </w:r>
          </w:p>
        </w:tc>
      </w:tr>
      <w:tr>
        <w:tc>
          <w:tcPr>
            <w:tcW w:type="dxa" w:w="3120"/>
            <w:vAlign w:val="center"/>
            <w:tcMar>
              <w:top w:w="80" w:type="dxa"/>
              <w:start w:w="120" w:type="dxa"/>
              <w:bottom w:w="80" w:type="dxa"/>
              <w:end w:w="120" w:type="dxa"/>
            </w:tcMar>
          </w:tcPr>
          <w:p>
            <w:pPr>
              <w:spacing w:after="0"/>
            </w:pPr>
            <w:r>
              <w:rPr>
                <w:rFonts w:ascii="Calibri" w:hAnsi="Calibri"/>
                <w:sz w:val="20"/>
              </w:rPr>
              <w:t>Enforcement</w:t>
            </w:r>
          </w:p>
        </w:tc>
        <w:tc>
          <w:tcPr>
            <w:tcW w:type="dxa" w:w="3120"/>
            <w:vAlign w:val="center"/>
            <w:tcMar>
              <w:top w:w="80" w:type="dxa"/>
              <w:start w:w="120" w:type="dxa"/>
              <w:bottom w:w="80" w:type="dxa"/>
              <w:end w:w="120" w:type="dxa"/>
            </w:tcMar>
          </w:tcPr>
          <w:p>
            <w:pPr>
              <w:spacing w:after="0"/>
            </w:pPr>
            <w:r>
              <w:rPr>
                <w:rFonts w:ascii="Calibri" w:hAnsi="Calibri"/>
                <w:sz w:val="20"/>
              </w:rPr>
              <w:t>How are declarations, inspections, penalties, appeals and debt recovery handled?</w:t>
            </w:r>
          </w:p>
        </w:tc>
        <w:tc>
          <w:tcPr>
            <w:tcW w:type="dxa" w:w="3120"/>
            <w:vAlign w:val="center"/>
            <w:tcMar>
              <w:top w:w="80" w:type="dxa"/>
              <w:start w:w="120" w:type="dxa"/>
              <w:bottom w:w="80" w:type="dxa"/>
              <w:end w:w="120" w:type="dxa"/>
            </w:tcMar>
          </w:tcPr>
          <w:p>
            <w:pPr>
              <w:spacing w:after="0"/>
            </w:pPr>
            <w:r>
              <w:rPr>
                <w:rFonts w:ascii="Calibri" w:hAnsi="Calibri"/>
                <w:sz w:val="20"/>
              </w:rPr>
              <w:t>Operating model incomplete</w:t>
            </w:r>
          </w:p>
        </w:tc>
      </w:tr>
      <w:tr>
        <w:tc>
          <w:tcPr>
            <w:tcW w:type="dxa" w:w="3120"/>
            <w:vAlign w:val="center"/>
            <w:tcMar>
              <w:top w:w="80" w:type="dxa"/>
              <w:start w:w="120" w:type="dxa"/>
              <w:bottom w:w="80" w:type="dxa"/>
              <w:end w:w="120" w:type="dxa"/>
            </w:tcMar>
          </w:tcPr>
          <w:p>
            <w:pPr>
              <w:spacing w:after="0"/>
            </w:pPr>
            <w:r>
              <w:rPr>
                <w:rFonts w:ascii="Calibri" w:hAnsi="Calibri"/>
                <w:sz w:val="20"/>
              </w:rPr>
              <w:t>Mitigation</w:t>
            </w:r>
          </w:p>
        </w:tc>
        <w:tc>
          <w:tcPr>
            <w:tcW w:type="dxa" w:w="3120"/>
            <w:vAlign w:val="center"/>
            <w:tcMar>
              <w:top w:w="80" w:type="dxa"/>
              <w:start w:w="120" w:type="dxa"/>
              <w:bottom w:w="80" w:type="dxa"/>
              <w:end w:w="120" w:type="dxa"/>
            </w:tcMar>
          </w:tcPr>
          <w:p>
            <w:pPr>
              <w:spacing w:after="0"/>
            </w:pPr>
            <w:r>
              <w:rPr>
                <w:rFonts w:ascii="Calibri" w:hAnsi="Calibri"/>
                <w:sz w:val="20"/>
              </w:rPr>
              <w:t>How are displacement, equality and small-business risks handled?</w:t>
            </w:r>
          </w:p>
        </w:tc>
        <w:tc>
          <w:tcPr>
            <w:tcW w:type="dxa" w:w="3120"/>
            <w:vAlign w:val="center"/>
            <w:tcMar>
              <w:top w:w="80" w:type="dxa"/>
              <w:start w:w="120" w:type="dxa"/>
              <w:bottom w:w="80" w:type="dxa"/>
              <w:end w:w="120" w:type="dxa"/>
            </w:tcMar>
          </w:tcPr>
          <w:p>
            <w:pPr>
              <w:spacing w:after="0"/>
            </w:pPr>
            <w:r>
              <w:rPr>
                <w:rFonts w:ascii="Calibri" w:hAnsi="Calibri"/>
                <w:sz w:val="20"/>
              </w:rPr>
              <w:t>Evidence absent</w:t>
            </w:r>
          </w:p>
        </w:tc>
      </w:tr>
    </w:tbl>
    <w:p/>
    <w:p>
      <w:r>
        <w:rPr>
          <w:rFonts w:ascii="Calibri" w:hAnsi="Calibri"/>
          <w:b/>
        </w:rPr>
        <w:t>Gap.</w:t>
      </w:r>
      <w:r>
        <w:rPr>
          <w:rFonts w:ascii="Calibri" w:hAnsi="Calibri"/>
        </w:rPr>
        <w:t xml:space="preserve"> These elements are not optional details. They define the scheme. Without them, the OBC can only state a framework for future assessment.</w:t>
      </w:r>
    </w:p>
    <w:p>
      <w:pPr>
        <w:pStyle w:val="Heading2"/>
      </w:pPr>
      <w:r>
        <w:t>10. Options And Spatial Definition</w:t>
      </w:r>
    </w:p>
    <w:p>
      <w:pPr>
        <w:pStyle w:val="Heading3"/>
      </w:pPr>
      <w:r>
        <w:t>10.1 Longlist Framework</w:t>
      </w:r>
    </w:p>
    <w:p>
      <w:r>
        <w:rPr>
          <w:rFonts w:ascii="Calibri" w:hAnsi="Calibri"/>
          <w:b/>
        </w:rPr>
        <w:t>Proposal.</w:t>
      </w:r>
      <w:r>
        <w:rPr>
          <w:rFonts w:ascii="Calibri" w:hAnsi="Calibri"/>
        </w:rPr>
        <w:t xml:space="preserve"> A future OBC should start from a longlist that includes:</w:t>
      </w:r>
    </w:p>
    <w:p>
      <w:pPr>
        <w:pStyle w:val="ListBullet"/>
      </w:pPr>
      <w:r>
        <w:rPr>
          <w:rFonts w:ascii="Calibri" w:hAnsi="Calibri"/>
        </w:rPr>
        <w:t>do minimum: existing transport and parking policies without a WPL;</w:t>
      </w:r>
    </w:p>
    <w:p>
      <w:pPr>
        <w:pStyle w:val="ListBullet"/>
      </w:pPr>
      <w:r>
        <w:rPr>
          <w:rFonts w:ascii="Calibri" w:hAnsi="Calibri"/>
        </w:rPr>
        <w:t>non-WPL demand-management measures;</w:t>
      </w:r>
    </w:p>
    <w:p>
      <w:pPr>
        <w:pStyle w:val="ListBullet"/>
      </w:pPr>
      <w:r>
        <w:rPr>
          <w:rFonts w:ascii="Calibri" w:hAnsi="Calibri"/>
        </w:rPr>
        <w:t>parking-management measures outside a WPL licensing scheme;</w:t>
      </w:r>
    </w:p>
    <w:p>
      <w:pPr>
        <w:pStyle w:val="ListBullet"/>
      </w:pPr>
      <w:r>
        <w:rPr>
          <w:rFonts w:ascii="Calibri" w:hAnsi="Calibri"/>
        </w:rPr>
        <w:t>WPL city-wide variants;</w:t>
      </w:r>
    </w:p>
    <w:p>
      <w:pPr>
        <w:pStyle w:val="ListBullet"/>
      </w:pPr>
      <w:r>
        <w:rPr>
          <w:rFonts w:ascii="Calibri" w:hAnsi="Calibri"/>
        </w:rPr>
        <w:t>WPL area-based variants;</w:t>
      </w:r>
    </w:p>
    <w:p>
      <w:pPr>
        <w:pStyle w:val="ListBullet"/>
      </w:pPr>
      <w:r>
        <w:rPr>
          <w:rFonts w:ascii="Calibri" w:hAnsi="Calibri"/>
        </w:rPr>
        <w:t>WPL variants with different thresholds, exemptions, charges and operating hours;</w:t>
      </w:r>
    </w:p>
    <w:p>
      <w:pPr>
        <w:pStyle w:val="ListBullet"/>
      </w:pPr>
      <w:r>
        <w:rPr>
          <w:rFonts w:ascii="Calibri" w:hAnsi="Calibri"/>
        </w:rPr>
        <w:t>phased implementation variants;</w:t>
      </w:r>
    </w:p>
    <w:p>
      <w:pPr>
        <w:pStyle w:val="ListBullet"/>
      </w:pPr>
      <w:r>
        <w:rPr>
          <w:rFonts w:ascii="Calibri" w:hAnsi="Calibri"/>
        </w:rPr>
        <w:t>alternative transport-investment package variants.</w:t>
      </w:r>
    </w:p>
    <w:p>
      <w:r>
        <w:rPr>
          <w:rFonts w:ascii="Calibri" w:hAnsi="Calibri"/>
          <w:b/>
        </w:rPr>
        <w:t>Cited comparator pattern.</w:t>
      </w:r>
      <w:r>
        <w:rPr>
          <w:rFonts w:ascii="Calibri" w:hAnsi="Calibri"/>
        </w:rPr>
        <w:t xml:space="preserve"> The WECA SOC comparator records options and work packages at early maturity and uses that material to inform later OBC development (SRC-WECA-0008 lines 538-565).</w:t>
      </w:r>
    </w:p>
    <w:p>
      <w:r>
        <w:rPr>
          <w:rFonts w:ascii="Calibri" w:hAnsi="Calibri"/>
          <w:b/>
        </w:rPr>
        <w:t>Gap.</w:t>
      </w:r>
      <w:r>
        <w:rPr>
          <w:rFonts w:ascii="Calibri" w:hAnsi="Calibri"/>
        </w:rPr>
        <w:t xml:space="preserve"> No Bristol WPL longlist, shortlist, sift criteria, spatial option set or preferred-way-forward is held.</w:t>
      </w:r>
    </w:p>
    <w:p>
      <w:pPr>
        <w:pStyle w:val="Heading3"/>
      </w:pPr>
      <w:r>
        <w:t>10.2 Shortlist And Sift Criteria</w:t>
      </w:r>
    </w:p>
    <w:tbl>
      <w:tblPr>
        <w:tblStyle w:val="TableGrid"/>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center"/>
            <w:tcMar>
              <w:top w:w="80" w:type="dxa"/>
              <w:start w:w="120" w:type="dxa"/>
              <w:bottom w:w="80" w:type="dxa"/>
              <w:end w:w="120" w:type="dxa"/>
            </w:tcMar>
            <w:shd w:fill="F2F4F7"/>
          </w:tcPr>
          <w:p>
            <w:pPr>
              <w:spacing w:after="0"/>
            </w:pPr>
            <w:r>
              <w:rPr>
                <w:rFonts w:ascii="Calibri" w:hAnsi="Calibri"/>
                <w:b/>
                <w:sz w:val="20"/>
              </w:rPr>
              <w:t>Criterion</w:t>
            </w:r>
          </w:p>
        </w:tc>
        <w:tc>
          <w:tcPr>
            <w:tcW w:type="dxa" w:w="3120"/>
            <w:vAlign w:val="center"/>
            <w:tcMar>
              <w:top w:w="80" w:type="dxa"/>
              <w:start w:w="120" w:type="dxa"/>
              <w:bottom w:w="80" w:type="dxa"/>
              <w:end w:w="120" w:type="dxa"/>
            </w:tcMar>
            <w:shd w:fill="F2F4F7"/>
          </w:tcPr>
          <w:p>
            <w:pPr>
              <w:spacing w:after="0"/>
            </w:pPr>
            <w:r>
              <w:rPr>
                <w:rFonts w:ascii="Calibri" w:hAnsi="Calibri"/>
                <w:b/>
                <w:sz w:val="20"/>
              </w:rPr>
              <w:t>Why it matters for WPL</w:t>
            </w:r>
          </w:p>
        </w:tc>
        <w:tc>
          <w:tcPr>
            <w:tcW w:type="dxa" w:w="3120"/>
            <w:vAlign w:val="center"/>
            <w:tcMar>
              <w:top w:w="80" w:type="dxa"/>
              <w:start w:w="120" w:type="dxa"/>
              <w:bottom w:w="80" w:type="dxa"/>
              <w:end w:w="120" w:type="dxa"/>
            </w:tcMar>
            <w:shd w:fill="F2F4F7"/>
          </w:tcPr>
          <w:p>
            <w:pPr>
              <w:spacing w:after="0"/>
            </w:pPr>
            <w:r>
              <w:rPr>
                <w:rFonts w:ascii="Calibri" w:hAnsi="Calibri"/>
                <w:b/>
                <w:sz w:val="20"/>
              </w:rPr>
              <w:t>Evidence needed</w:t>
            </w:r>
          </w:p>
        </w:tc>
      </w:tr>
      <w:tr>
        <w:tc>
          <w:tcPr>
            <w:tcW w:type="dxa" w:w="3120"/>
            <w:vAlign w:val="center"/>
            <w:tcMar>
              <w:top w:w="80" w:type="dxa"/>
              <w:start w:w="120" w:type="dxa"/>
              <w:bottom w:w="80" w:type="dxa"/>
              <w:end w:w="120" w:type="dxa"/>
            </w:tcMar>
          </w:tcPr>
          <w:p>
            <w:pPr>
              <w:spacing w:after="0"/>
            </w:pPr>
            <w:r>
              <w:rPr>
                <w:rFonts w:ascii="Calibri" w:hAnsi="Calibri"/>
                <w:sz w:val="20"/>
              </w:rPr>
              <w:t>Strategic fit</w:t>
            </w:r>
          </w:p>
        </w:tc>
        <w:tc>
          <w:tcPr>
            <w:tcW w:type="dxa" w:w="3120"/>
            <w:vAlign w:val="center"/>
            <w:tcMar>
              <w:top w:w="80" w:type="dxa"/>
              <w:start w:w="120" w:type="dxa"/>
              <w:bottom w:w="80" w:type="dxa"/>
              <w:end w:w="120" w:type="dxa"/>
            </w:tcMar>
          </w:tcPr>
          <w:p>
            <w:pPr>
              <w:spacing w:after="0"/>
            </w:pPr>
            <w:r>
              <w:rPr>
                <w:rFonts w:ascii="Calibri" w:hAnsi="Calibri"/>
                <w:sz w:val="20"/>
              </w:rPr>
              <w:t>WPL must address a transport problem, not just raise money</w:t>
            </w:r>
          </w:p>
        </w:tc>
        <w:tc>
          <w:tcPr>
            <w:tcW w:type="dxa" w:w="3120"/>
            <w:vAlign w:val="center"/>
            <w:tcMar>
              <w:top w:w="80" w:type="dxa"/>
              <w:start w:w="120" w:type="dxa"/>
              <w:bottom w:w="80" w:type="dxa"/>
              <w:end w:w="120" w:type="dxa"/>
            </w:tcMar>
          </w:tcPr>
          <w:p>
            <w:pPr>
              <w:spacing w:after="0"/>
            </w:pPr>
            <w:r>
              <w:rPr>
                <w:rFonts w:ascii="Calibri" w:hAnsi="Calibri"/>
                <w:sz w:val="20"/>
              </w:rPr>
              <w:t>Problem baseline, objectives, policy alignment</w:t>
            </w:r>
          </w:p>
        </w:tc>
      </w:tr>
      <w:tr>
        <w:tc>
          <w:tcPr>
            <w:tcW w:type="dxa" w:w="3120"/>
            <w:vAlign w:val="center"/>
            <w:tcMar>
              <w:top w:w="80" w:type="dxa"/>
              <w:start w:w="120" w:type="dxa"/>
              <w:bottom w:w="80" w:type="dxa"/>
              <w:end w:w="120" w:type="dxa"/>
            </w:tcMar>
          </w:tcPr>
          <w:p>
            <w:pPr>
              <w:spacing w:after="0"/>
            </w:pPr>
            <w:r>
              <w:rPr>
                <w:rFonts w:ascii="Calibri" w:hAnsi="Calibri"/>
                <w:sz w:val="20"/>
              </w:rPr>
              <w:t>Legal deliverability</w:t>
            </w:r>
          </w:p>
        </w:tc>
        <w:tc>
          <w:tcPr>
            <w:tcW w:type="dxa" w:w="3120"/>
            <w:vAlign w:val="center"/>
            <w:tcMar>
              <w:top w:w="80" w:type="dxa"/>
              <w:start w:w="120" w:type="dxa"/>
              <w:bottom w:w="80" w:type="dxa"/>
              <w:end w:w="120" w:type="dxa"/>
            </w:tcMar>
          </w:tcPr>
          <w:p>
            <w:pPr>
              <w:spacing w:after="0"/>
            </w:pPr>
            <w:r>
              <w:rPr>
                <w:rFonts w:ascii="Calibri" w:hAnsi="Calibri"/>
                <w:sz w:val="20"/>
              </w:rPr>
              <w:t>The licensing scheme must be within statutory powers and process</w:t>
            </w:r>
          </w:p>
        </w:tc>
        <w:tc>
          <w:tcPr>
            <w:tcW w:type="dxa" w:w="3120"/>
            <w:vAlign w:val="center"/>
            <w:tcMar>
              <w:top w:w="80" w:type="dxa"/>
              <w:start w:w="120" w:type="dxa"/>
              <w:bottom w:w="80" w:type="dxa"/>
              <w:end w:w="120" w:type="dxa"/>
            </w:tcMar>
          </w:tcPr>
          <w:p>
            <w:pPr>
              <w:spacing w:after="0"/>
            </w:pPr>
            <w:r>
              <w:rPr>
                <w:rFonts w:ascii="Calibri" w:hAnsi="Calibri"/>
                <w:sz w:val="20"/>
              </w:rPr>
              <w:t>Legal compliance matrix and decision route</w:t>
            </w:r>
          </w:p>
        </w:tc>
      </w:tr>
      <w:tr>
        <w:tc>
          <w:tcPr>
            <w:tcW w:type="dxa" w:w="3120"/>
            <w:vAlign w:val="center"/>
            <w:tcMar>
              <w:top w:w="80" w:type="dxa"/>
              <w:start w:w="120" w:type="dxa"/>
              <w:bottom w:w="80" w:type="dxa"/>
              <w:end w:w="120" w:type="dxa"/>
            </w:tcMar>
          </w:tcPr>
          <w:p>
            <w:pPr>
              <w:spacing w:after="0"/>
            </w:pPr>
            <w:r>
              <w:rPr>
                <w:rFonts w:ascii="Calibri" w:hAnsi="Calibri"/>
                <w:sz w:val="20"/>
              </w:rPr>
              <w:t>Spatial coherence</w:t>
            </w:r>
          </w:p>
        </w:tc>
        <w:tc>
          <w:tcPr>
            <w:tcW w:type="dxa" w:w="3120"/>
            <w:vAlign w:val="center"/>
            <w:tcMar>
              <w:top w:w="80" w:type="dxa"/>
              <w:start w:w="120" w:type="dxa"/>
              <w:bottom w:w="80" w:type="dxa"/>
              <w:end w:w="120" w:type="dxa"/>
            </w:tcMar>
          </w:tcPr>
          <w:p>
            <w:pPr>
              <w:spacing w:after="0"/>
            </w:pPr>
            <w:r>
              <w:rPr>
                <w:rFonts w:ascii="Calibri" w:hAnsi="Calibri"/>
                <w:sz w:val="20"/>
              </w:rPr>
              <w:t>Boundary must be administrable, enforceable and fair</w:t>
            </w:r>
          </w:p>
        </w:tc>
        <w:tc>
          <w:tcPr>
            <w:tcW w:type="dxa" w:w="3120"/>
            <w:vAlign w:val="center"/>
            <w:tcMar>
              <w:top w:w="80" w:type="dxa"/>
              <w:start w:w="120" w:type="dxa"/>
              <w:bottom w:w="80" w:type="dxa"/>
              <w:end w:w="120" w:type="dxa"/>
            </w:tcMar>
          </w:tcPr>
          <w:p>
            <w:pPr>
              <w:spacing w:after="0"/>
            </w:pPr>
            <w:r>
              <w:rPr>
                <w:rFonts w:ascii="Calibri" w:hAnsi="Calibri"/>
                <w:sz w:val="20"/>
              </w:rPr>
              <w:t>GIS boundary, parking inventory, edge-effect analysis</w:t>
            </w:r>
          </w:p>
        </w:tc>
      </w:tr>
      <w:tr>
        <w:tc>
          <w:tcPr>
            <w:tcW w:type="dxa" w:w="3120"/>
            <w:vAlign w:val="center"/>
            <w:tcMar>
              <w:top w:w="80" w:type="dxa"/>
              <w:start w:w="120" w:type="dxa"/>
              <w:bottom w:w="80" w:type="dxa"/>
              <w:end w:w="120" w:type="dxa"/>
            </w:tcMar>
          </w:tcPr>
          <w:p>
            <w:pPr>
              <w:spacing w:after="0"/>
            </w:pPr>
            <w:r>
              <w:rPr>
                <w:rFonts w:ascii="Calibri" w:hAnsi="Calibri"/>
                <w:sz w:val="20"/>
              </w:rPr>
              <w:t>Economic performance</w:t>
            </w:r>
          </w:p>
        </w:tc>
        <w:tc>
          <w:tcPr>
            <w:tcW w:type="dxa" w:w="3120"/>
            <w:vAlign w:val="center"/>
            <w:tcMar>
              <w:top w:w="80" w:type="dxa"/>
              <w:start w:w="120" w:type="dxa"/>
              <w:bottom w:w="80" w:type="dxa"/>
              <w:end w:w="120" w:type="dxa"/>
            </w:tcMar>
          </w:tcPr>
          <w:p>
            <w:pPr>
              <w:spacing w:after="0"/>
            </w:pPr>
            <w:r>
              <w:rPr>
                <w:rFonts w:ascii="Calibri" w:hAnsi="Calibri"/>
                <w:sz w:val="20"/>
              </w:rPr>
              <w:t>Costs, benefits, transfers and uncertainty need robust appraisal</w:t>
            </w:r>
          </w:p>
        </w:tc>
        <w:tc>
          <w:tcPr>
            <w:tcW w:type="dxa" w:w="3120"/>
            <w:vAlign w:val="center"/>
            <w:tcMar>
              <w:top w:w="80" w:type="dxa"/>
              <w:start w:w="120" w:type="dxa"/>
              <w:bottom w:w="80" w:type="dxa"/>
              <w:end w:w="120" w:type="dxa"/>
            </w:tcMar>
          </w:tcPr>
          <w:p>
            <w:pPr>
              <w:spacing w:after="0"/>
            </w:pPr>
            <w:r>
              <w:rPr>
                <w:rFonts w:ascii="Calibri" w:hAnsi="Calibri"/>
                <w:sz w:val="20"/>
              </w:rPr>
              <w:t>OAR, ASR, ASST, models and sensitivity analysis</w:t>
            </w:r>
          </w:p>
        </w:tc>
      </w:tr>
      <w:tr>
        <w:tc>
          <w:tcPr>
            <w:tcW w:type="dxa" w:w="3120"/>
            <w:vAlign w:val="center"/>
            <w:tcMar>
              <w:top w:w="80" w:type="dxa"/>
              <w:start w:w="120" w:type="dxa"/>
              <w:bottom w:w="80" w:type="dxa"/>
              <w:end w:w="120" w:type="dxa"/>
            </w:tcMar>
          </w:tcPr>
          <w:p>
            <w:pPr>
              <w:spacing w:after="0"/>
            </w:pPr>
            <w:r>
              <w:rPr>
                <w:rFonts w:ascii="Calibri" w:hAnsi="Calibri"/>
                <w:sz w:val="20"/>
              </w:rPr>
              <w:t>Financial affordability</w:t>
            </w:r>
          </w:p>
        </w:tc>
        <w:tc>
          <w:tcPr>
            <w:tcW w:type="dxa" w:w="3120"/>
            <w:vAlign w:val="center"/>
            <w:tcMar>
              <w:top w:w="80" w:type="dxa"/>
              <w:start w:w="120" w:type="dxa"/>
              <w:bottom w:w="80" w:type="dxa"/>
              <w:end w:w="120" w:type="dxa"/>
            </w:tcMar>
          </w:tcPr>
          <w:p>
            <w:pPr>
              <w:spacing w:after="0"/>
            </w:pPr>
            <w:r>
              <w:rPr>
                <w:rFonts w:ascii="Calibri" w:hAnsi="Calibri"/>
                <w:sz w:val="20"/>
              </w:rPr>
              <w:t>Net proceeds and costs need credible accounting</w:t>
            </w:r>
          </w:p>
        </w:tc>
        <w:tc>
          <w:tcPr>
            <w:tcW w:type="dxa" w:w="3120"/>
            <w:vAlign w:val="center"/>
            <w:tcMar>
              <w:top w:w="80" w:type="dxa"/>
              <w:start w:w="120" w:type="dxa"/>
              <w:bottom w:w="80" w:type="dxa"/>
              <w:end w:w="120" w:type="dxa"/>
            </w:tcMar>
          </w:tcPr>
          <w:p>
            <w:pPr>
              <w:spacing w:after="0"/>
            </w:pPr>
            <w:r>
              <w:rPr>
                <w:rFonts w:ascii="Calibri" w:hAnsi="Calibri"/>
                <w:sz w:val="20"/>
              </w:rPr>
              <w:t>Finance model, S151 review, cashflow</w:t>
            </w:r>
          </w:p>
        </w:tc>
      </w:tr>
      <w:tr>
        <w:tc>
          <w:tcPr>
            <w:tcW w:type="dxa" w:w="3120"/>
            <w:vAlign w:val="center"/>
            <w:tcMar>
              <w:top w:w="80" w:type="dxa"/>
              <w:start w:w="120" w:type="dxa"/>
              <w:bottom w:w="80" w:type="dxa"/>
              <w:end w:w="120" w:type="dxa"/>
            </w:tcMar>
          </w:tcPr>
          <w:p>
            <w:pPr>
              <w:spacing w:after="0"/>
            </w:pPr>
            <w:r>
              <w:rPr>
                <w:rFonts w:ascii="Calibri" w:hAnsi="Calibri"/>
                <w:sz w:val="20"/>
              </w:rPr>
              <w:t>Commercial deliverability</w:t>
            </w:r>
          </w:p>
        </w:tc>
        <w:tc>
          <w:tcPr>
            <w:tcW w:type="dxa" w:w="3120"/>
            <w:vAlign w:val="center"/>
            <w:tcMar>
              <w:top w:w="80" w:type="dxa"/>
              <w:start w:w="120" w:type="dxa"/>
              <w:bottom w:w="80" w:type="dxa"/>
              <w:end w:w="120" w:type="dxa"/>
            </w:tcMar>
          </w:tcPr>
          <w:p>
            <w:pPr>
              <w:spacing w:after="0"/>
            </w:pPr>
            <w:r>
              <w:rPr>
                <w:rFonts w:ascii="Calibri" w:hAnsi="Calibri"/>
                <w:sz w:val="20"/>
              </w:rPr>
              <w:t>Systems and services must be procurable and operable</w:t>
            </w:r>
          </w:p>
        </w:tc>
        <w:tc>
          <w:tcPr>
            <w:tcW w:type="dxa" w:w="3120"/>
            <w:vAlign w:val="center"/>
            <w:tcMar>
              <w:top w:w="80" w:type="dxa"/>
              <w:start w:w="120" w:type="dxa"/>
              <w:bottom w:w="80" w:type="dxa"/>
              <w:end w:w="120" w:type="dxa"/>
            </w:tcMar>
          </w:tcPr>
          <w:p>
            <w:pPr>
              <w:spacing w:after="0"/>
            </w:pPr>
            <w:r>
              <w:rPr>
                <w:rFonts w:ascii="Calibri" w:hAnsi="Calibri"/>
                <w:sz w:val="20"/>
              </w:rPr>
              <w:t>Market, procurement and operating model evidence</w:t>
            </w:r>
          </w:p>
        </w:tc>
      </w:tr>
      <w:tr>
        <w:tc>
          <w:tcPr>
            <w:tcW w:type="dxa" w:w="3120"/>
            <w:vAlign w:val="center"/>
            <w:tcMar>
              <w:top w:w="80" w:type="dxa"/>
              <w:start w:w="120" w:type="dxa"/>
              <w:bottom w:w="80" w:type="dxa"/>
              <w:end w:w="120" w:type="dxa"/>
            </w:tcMar>
          </w:tcPr>
          <w:p>
            <w:pPr>
              <w:spacing w:after="0"/>
            </w:pPr>
            <w:r>
              <w:rPr>
                <w:rFonts w:ascii="Calibri" w:hAnsi="Calibri"/>
                <w:sz w:val="20"/>
              </w:rPr>
              <w:t>Public acceptability</w:t>
            </w:r>
          </w:p>
        </w:tc>
        <w:tc>
          <w:tcPr>
            <w:tcW w:type="dxa" w:w="3120"/>
            <w:vAlign w:val="center"/>
            <w:tcMar>
              <w:top w:w="80" w:type="dxa"/>
              <w:start w:w="120" w:type="dxa"/>
              <w:bottom w:w="80" w:type="dxa"/>
              <w:end w:w="120" w:type="dxa"/>
            </w:tcMar>
          </w:tcPr>
          <w:p>
            <w:pPr>
              <w:spacing w:after="0"/>
            </w:pPr>
            <w:r>
              <w:rPr>
                <w:rFonts w:ascii="Calibri" w:hAnsi="Calibri"/>
                <w:sz w:val="20"/>
              </w:rPr>
              <w:t>Employers, workers and residents must be heard</w:t>
            </w:r>
          </w:p>
        </w:tc>
        <w:tc>
          <w:tcPr>
            <w:tcW w:type="dxa" w:w="3120"/>
            <w:vAlign w:val="center"/>
            <w:tcMar>
              <w:top w:w="80" w:type="dxa"/>
              <w:start w:w="120" w:type="dxa"/>
              <w:bottom w:w="80" w:type="dxa"/>
              <w:end w:w="120" w:type="dxa"/>
            </w:tcMar>
          </w:tcPr>
          <w:p>
            <w:pPr>
              <w:spacing w:after="0"/>
            </w:pPr>
            <w:r>
              <w:rPr>
                <w:rFonts w:ascii="Calibri" w:hAnsi="Calibri"/>
                <w:sz w:val="20"/>
              </w:rPr>
              <w:t>Consultation plan, EqIA, stakeholder evidence</w:t>
            </w:r>
          </w:p>
        </w:tc>
      </w:tr>
      <w:tr>
        <w:tc>
          <w:tcPr>
            <w:tcW w:type="dxa" w:w="3120"/>
            <w:vAlign w:val="center"/>
            <w:tcMar>
              <w:top w:w="80" w:type="dxa"/>
              <w:start w:w="120" w:type="dxa"/>
              <w:bottom w:w="80" w:type="dxa"/>
              <w:end w:w="120" w:type="dxa"/>
            </w:tcMar>
          </w:tcPr>
          <w:p>
            <w:pPr>
              <w:spacing w:after="0"/>
            </w:pPr>
            <w:r>
              <w:rPr>
                <w:rFonts w:ascii="Calibri" w:hAnsi="Calibri"/>
                <w:sz w:val="20"/>
              </w:rPr>
              <w:t>Displacement risk</w:t>
            </w:r>
          </w:p>
        </w:tc>
        <w:tc>
          <w:tcPr>
            <w:tcW w:type="dxa" w:w="3120"/>
            <w:vAlign w:val="center"/>
            <w:tcMar>
              <w:top w:w="80" w:type="dxa"/>
              <w:start w:w="120" w:type="dxa"/>
              <w:bottom w:w="80" w:type="dxa"/>
              <w:end w:w="120" w:type="dxa"/>
            </w:tcMar>
          </w:tcPr>
          <w:p>
            <w:pPr>
              <w:spacing w:after="0"/>
            </w:pPr>
            <w:r>
              <w:rPr>
                <w:rFonts w:ascii="Calibri" w:hAnsi="Calibri"/>
                <w:sz w:val="20"/>
              </w:rPr>
              <w:t>Parking may move into residential or uncontrolled streets</w:t>
            </w:r>
          </w:p>
        </w:tc>
        <w:tc>
          <w:tcPr>
            <w:tcW w:type="dxa" w:w="3120"/>
            <w:vAlign w:val="center"/>
            <w:tcMar>
              <w:top w:w="80" w:type="dxa"/>
              <w:start w:w="120" w:type="dxa"/>
              <w:bottom w:w="80" w:type="dxa"/>
              <w:end w:w="120" w:type="dxa"/>
            </w:tcMar>
          </w:tcPr>
          <w:p>
            <w:pPr>
              <w:spacing w:after="0"/>
            </w:pPr>
            <w:r>
              <w:rPr>
                <w:rFonts w:ascii="Calibri" w:hAnsi="Calibri"/>
                <w:sz w:val="20"/>
              </w:rPr>
              <w:t>Baseline parking surveys and mitigation options</w:t>
            </w:r>
          </w:p>
        </w:tc>
      </w:tr>
    </w:tbl>
    <w:p/>
    <w:p>
      <w:r>
        <w:rPr>
          <w:rFonts w:ascii="Calibri" w:hAnsi="Calibri"/>
          <w:b/>
        </w:rPr>
        <w:t>Gap.</w:t>
      </w:r>
      <w:r>
        <w:rPr>
          <w:rFonts w:ascii="Calibri" w:hAnsi="Calibri"/>
        </w:rPr>
        <w:t xml:space="preserve"> The current repository does not contain the datasets or review outcomes needed to score these criteria.</w:t>
      </w:r>
    </w:p>
    <w:p>
      <w:pPr>
        <w:pStyle w:val="Heading3"/>
      </w:pPr>
      <w:r>
        <w:t>10.3 Boundary And Parking Inventory</w:t>
      </w:r>
    </w:p>
    <w:p>
      <w:r>
        <w:rPr>
          <w:rFonts w:ascii="Calibri" w:hAnsi="Calibri"/>
          <w:b/>
        </w:rPr>
        <w:t>Proposal.</w:t>
      </w:r>
      <w:r>
        <w:rPr>
          <w:rFonts w:ascii="Calibri" w:hAnsi="Calibri"/>
        </w:rPr>
        <w:t xml:space="preserve"> The spatial case should include an editable boundary schedule and GIS package with:</w:t>
      </w:r>
    </w:p>
    <w:p>
      <w:pPr>
        <w:pStyle w:val="ListBullet"/>
      </w:pPr>
      <w:r>
        <w:rPr>
          <w:rFonts w:ascii="Calibri" w:hAnsi="Calibri"/>
        </w:rPr>
        <w:t>charging-area polygons;</w:t>
      </w:r>
    </w:p>
    <w:p>
      <w:pPr>
        <w:pStyle w:val="ListBullet"/>
      </w:pPr>
      <w:r>
        <w:rPr>
          <w:rFonts w:ascii="Calibri" w:hAnsi="Calibri"/>
        </w:rPr>
        <w:t>edge streets and split-site rules;</w:t>
      </w:r>
    </w:p>
    <w:p>
      <w:pPr>
        <w:pStyle w:val="ListBullet"/>
      </w:pPr>
      <w:r>
        <w:rPr>
          <w:rFonts w:ascii="Calibri" w:hAnsi="Calibri"/>
        </w:rPr>
        <w:t>workplace site references;</w:t>
      </w:r>
    </w:p>
    <w:p>
      <w:pPr>
        <w:pStyle w:val="ListBullet"/>
      </w:pPr>
      <w:r>
        <w:rPr>
          <w:rFonts w:ascii="Calibri" w:hAnsi="Calibri"/>
        </w:rPr>
        <w:t>liable and exempt parking-place classification;</w:t>
      </w:r>
    </w:p>
    <w:p>
      <w:pPr>
        <w:pStyle w:val="ListBullet"/>
      </w:pPr>
      <w:r>
        <w:rPr>
          <w:rFonts w:ascii="Calibri" w:hAnsi="Calibri"/>
        </w:rPr>
        <w:t>employer/site survey evidence;</w:t>
      </w:r>
    </w:p>
    <w:p>
      <w:pPr>
        <w:pStyle w:val="ListBullet"/>
      </w:pPr>
      <w:r>
        <w:rPr>
          <w:rFonts w:ascii="Calibri" w:hAnsi="Calibri"/>
        </w:rPr>
        <w:t>controlled-parking, residents-parking and unrestricted-street baseline;</w:t>
      </w:r>
    </w:p>
    <w:p>
      <w:pPr>
        <w:pStyle w:val="ListBullet"/>
      </w:pPr>
      <w:r>
        <w:rPr>
          <w:rFonts w:ascii="Calibri" w:hAnsi="Calibri"/>
        </w:rPr>
        <w:t>enforcement geography and inspection routes;</w:t>
      </w:r>
    </w:p>
    <w:p>
      <w:pPr>
        <w:pStyle w:val="ListBullet"/>
      </w:pPr>
      <w:r>
        <w:rPr>
          <w:rFonts w:ascii="Calibri" w:hAnsi="Calibri"/>
        </w:rPr>
        <w:t>equality and accessibility sensitive locations;</w:t>
      </w:r>
    </w:p>
    <w:p>
      <w:pPr>
        <w:pStyle w:val="ListBullet"/>
      </w:pPr>
      <w:r>
        <w:rPr>
          <w:rFonts w:ascii="Calibri" w:hAnsi="Calibri"/>
        </w:rPr>
        <w:t>public transport, walking and cycling accessibility layers;</w:t>
      </w:r>
    </w:p>
    <w:p>
      <w:pPr>
        <w:pStyle w:val="ListBullet"/>
      </w:pPr>
      <w:r>
        <w:rPr>
          <w:rFonts w:ascii="Calibri" w:hAnsi="Calibri"/>
        </w:rPr>
        <w:t>audit trail from raw sources to final inventory.</w:t>
      </w:r>
    </w:p>
    <w:p>
      <w:r>
        <w:rPr>
          <w:rFonts w:ascii="Calibri" w:hAnsi="Calibri"/>
          <w:b/>
        </w:rPr>
        <w:t>Gap.</w:t>
      </w:r>
      <w:r>
        <w:rPr>
          <w:rFonts w:ascii="Calibri" w:hAnsi="Calibri"/>
        </w:rPr>
        <w:t xml:space="preserve"> No authoritative boundary or workplace parking inventory exists. Stage 4A controls define what is needed through analysis/spatial/stage-4a-boundary-and-parking-inventory-control-package.md, ISS-0003 and RISK-0004, but they do not create the data.</w:t>
      </w:r>
    </w:p>
    <w:p>
      <w:pPr>
        <w:pStyle w:val="Heading3"/>
      </w:pPr>
      <w:r>
        <w:t>10.4 Nottingham Transferability</w:t>
      </w:r>
    </w:p>
    <w:p>
      <w:r>
        <w:rPr>
          <w:rFonts w:ascii="Calibri" w:hAnsi="Calibri"/>
          <w:b/>
        </w:rPr>
        <w:t>Inference.</w:t>
      </w:r>
      <w:r>
        <w:rPr>
          <w:rFonts w:ascii="Calibri" w:hAnsi="Calibri"/>
        </w:rPr>
        <w:t xml:space="preserve"> Nottingham remains the only implemented UK WPL precedent captured in the repo, but Stage 18A treats Nottingham as lessons and transferability questions only (docs/officer/nottingham-and-comparator-lessons.md, governance/pitfalls_register.csv row PIT-0039, RISK-0006, RISK-0009).</w:t>
      </w:r>
    </w:p>
    <w:p>
      <w:r>
        <w:rPr>
          <w:rFonts w:ascii="Calibri" w:hAnsi="Calibri"/>
          <w:b/>
        </w:rPr>
        <w:t>Proposal.</w:t>
      </w:r>
      <w:r>
        <w:rPr>
          <w:rFonts w:ascii="Calibri" w:hAnsi="Calibri"/>
        </w:rPr>
        <w:t xml:space="preserve"> The future Bristol OBC should include a specific displacement subsection covering employment areas, residential streets, CPZ/RPZ interaction, enforcement capacity and mitigation sequencing.</w:t>
      </w:r>
    </w:p>
    <w:p>
      <w:r>
        <w:rPr>
          <w:rFonts w:ascii="Calibri" w:hAnsi="Calibri"/>
          <w:b/>
        </w:rPr>
        <w:t>Gap.</w:t>
      </w:r>
      <w:r>
        <w:rPr>
          <w:rFonts w:ascii="Calibri" w:hAnsi="Calibri"/>
        </w:rPr>
        <w:t xml:space="preserve"> Nottingham's experience cannot be copied into Bristol forecasts. Bristol needs its own boundary, street baseline, employer segmentation, survey evidence and mitigation-cost evidence.</w:t>
      </w:r>
    </w:p>
    <w:p>
      <w:pPr>
        <w:pStyle w:val="Heading2"/>
      </w:pPr>
      <w:r>
        <w:t>11. Licensing, Operations And Revenue Service</w:t>
      </w:r>
    </w:p>
    <w:p>
      <w:pPr>
        <w:pStyle w:val="Heading3"/>
      </w:pPr>
      <w:r>
        <w:t>11.1 Licensing Scheme Design</w:t>
      </w:r>
    </w:p>
    <w:p>
      <w:r>
        <w:rPr>
          <w:rFonts w:ascii="Calibri" w:hAnsi="Calibri"/>
          <w:b/>
        </w:rPr>
        <w:t>Cited.</w:t>
      </w:r>
      <w:r>
        <w:rPr>
          <w:rFonts w:ascii="Calibri" w:hAnsi="Calibri"/>
        </w:rPr>
        <w:t xml:space="preserve"> Bristol public evidence states that employers would need a licence for liable workplace parking places and that charges may be levied for licensing workplace parking places (SRC-BCC-0015 lines 4351-4358).</w:t>
      </w:r>
    </w:p>
    <w:p>
      <w:r>
        <w:rPr>
          <w:rFonts w:ascii="Calibri" w:hAnsi="Calibri"/>
          <w:b/>
        </w:rPr>
        <w:t>Proposal.</w:t>
      </w:r>
      <w:r>
        <w:rPr>
          <w:rFonts w:ascii="Calibri" w:hAnsi="Calibri"/>
        </w:rPr>
        <w:t xml:space="preserve"> The future OBC licensing design should define:</w:t>
      </w:r>
    </w:p>
    <w:p>
      <w:pPr>
        <w:pStyle w:val="ListBullet"/>
      </w:pPr>
      <w:r>
        <w:rPr>
          <w:rFonts w:ascii="Calibri" w:hAnsi="Calibri"/>
        </w:rPr>
        <w:t>liable workplace parking place;</w:t>
      </w:r>
    </w:p>
    <w:p>
      <w:pPr>
        <w:pStyle w:val="ListBullet"/>
      </w:pPr>
      <w:r>
        <w:rPr>
          <w:rFonts w:ascii="Calibri" w:hAnsi="Calibri"/>
        </w:rPr>
        <w:t>licence holder;</w:t>
      </w:r>
    </w:p>
    <w:p>
      <w:pPr>
        <w:pStyle w:val="ListBullet"/>
      </w:pPr>
      <w:r>
        <w:rPr>
          <w:rFonts w:ascii="Calibri" w:hAnsi="Calibri"/>
        </w:rPr>
        <w:t>application and renewal cycle;</w:t>
      </w:r>
    </w:p>
    <w:p>
      <w:pPr>
        <w:pStyle w:val="ListBullet"/>
      </w:pPr>
      <w:r>
        <w:rPr>
          <w:rFonts w:ascii="Calibri" w:hAnsi="Calibri"/>
        </w:rPr>
        <w:t>declaration and evidence requirements;</w:t>
      </w:r>
    </w:p>
    <w:p>
      <w:pPr>
        <w:pStyle w:val="ListBullet"/>
      </w:pPr>
      <w:r>
        <w:rPr>
          <w:rFonts w:ascii="Calibri" w:hAnsi="Calibri"/>
        </w:rPr>
        <w:t>change-of-circumstance route;</w:t>
      </w:r>
    </w:p>
    <w:p>
      <w:pPr>
        <w:pStyle w:val="ListBullet"/>
      </w:pPr>
      <w:r>
        <w:rPr>
          <w:rFonts w:ascii="Calibri" w:hAnsi="Calibri"/>
        </w:rPr>
        <w:t>exemptions and discounts;</w:t>
      </w:r>
    </w:p>
    <w:p>
      <w:pPr>
        <w:pStyle w:val="ListBullet"/>
      </w:pPr>
      <w:r>
        <w:rPr>
          <w:rFonts w:ascii="Calibri" w:hAnsi="Calibri"/>
        </w:rPr>
        <w:t>inspection powers and evidence handling;</w:t>
      </w:r>
    </w:p>
    <w:p>
      <w:pPr>
        <w:pStyle w:val="ListBullet"/>
      </w:pPr>
      <w:r>
        <w:rPr>
          <w:rFonts w:ascii="Calibri" w:hAnsi="Calibri"/>
        </w:rPr>
        <w:t>penalty and enforcement process;</w:t>
      </w:r>
    </w:p>
    <w:p>
      <w:pPr>
        <w:pStyle w:val="ListBullet"/>
      </w:pPr>
      <w:r>
        <w:rPr>
          <w:rFonts w:ascii="Calibri" w:hAnsi="Calibri"/>
        </w:rPr>
        <w:t>representations, appeals support and complaint route;</w:t>
      </w:r>
    </w:p>
    <w:p>
      <w:pPr>
        <w:pStyle w:val="ListBullet"/>
      </w:pPr>
      <w:r>
        <w:rPr>
          <w:rFonts w:ascii="Calibri" w:hAnsi="Calibri"/>
        </w:rPr>
        <w:t>payment, refunds and debt management;</w:t>
      </w:r>
    </w:p>
    <w:p>
      <w:pPr>
        <w:pStyle w:val="ListBullet"/>
      </w:pPr>
      <w:r>
        <w:rPr>
          <w:rFonts w:ascii="Calibri" w:hAnsi="Calibri"/>
        </w:rPr>
        <w:t>data retention, privacy and cyber controls;</w:t>
      </w:r>
    </w:p>
    <w:p>
      <w:pPr>
        <w:pStyle w:val="ListBullet"/>
      </w:pPr>
      <w:r>
        <w:rPr>
          <w:rFonts w:ascii="Calibri" w:hAnsi="Calibri"/>
        </w:rPr>
        <w:t>accessibility and assisted-digital arrangements.</w:t>
      </w:r>
    </w:p>
    <w:p>
      <w:r>
        <w:rPr>
          <w:rFonts w:ascii="Calibri" w:hAnsi="Calibri"/>
          <w:b/>
        </w:rPr>
        <w:t>Gap.</w:t>
      </w:r>
      <w:r>
        <w:rPr>
          <w:rFonts w:ascii="Calibri" w:hAnsi="Calibri"/>
        </w:rPr>
        <w:t xml:space="preserve"> The current repo does not hold a complete licensing policy, operating procedure, IT system design, privacy notice, DPIA or enforcement policy.</w:t>
      </w:r>
    </w:p>
    <w:p>
      <w:pPr>
        <w:pStyle w:val="Heading3"/>
      </w:pPr>
      <w:r>
        <w:t>11.2 Revenue And Net Proceeds</w:t>
      </w:r>
    </w:p>
    <w:p>
      <w:r>
        <w:rPr>
          <w:rFonts w:ascii="Calibri" w:hAnsi="Calibri"/>
          <w:b/>
        </w:rPr>
        <w:t>Cited.</w:t>
      </w:r>
      <w:r>
        <w:rPr>
          <w:rFonts w:ascii="Calibri" w:hAnsi="Calibri"/>
        </w:rPr>
        <w:t xml:space="preserve"> Bristol public evidence states that all net revenue must be reinvested into local transport after operating costs (SRC-BCC-0015 lines 4358-4361).</w:t>
      </w:r>
    </w:p>
    <w:p>
      <w:r>
        <w:rPr>
          <w:rFonts w:ascii="Calibri" w:hAnsi="Calibri"/>
          <w:b/>
        </w:rPr>
        <w:t>Proposal.</w:t>
      </w:r>
      <w:r>
        <w:rPr>
          <w:rFonts w:ascii="Calibri" w:hAnsi="Calibri"/>
        </w:rPr>
        <w:t xml:space="preserve"> A future Financial Case should separate:</w:t>
      </w:r>
    </w:p>
    <w:p>
      <w:pPr>
        <w:pStyle w:val="ListBullet"/>
      </w:pPr>
      <w:r>
        <w:rPr>
          <w:rFonts w:ascii="Calibri" w:hAnsi="Calibri"/>
        </w:rPr>
        <w:t>gross charge income;</w:t>
      </w:r>
    </w:p>
    <w:p>
      <w:pPr>
        <w:pStyle w:val="ListBullet"/>
      </w:pPr>
      <w:r>
        <w:rPr>
          <w:rFonts w:ascii="Calibri" w:hAnsi="Calibri"/>
        </w:rPr>
        <w:t>expected compliance and non-payment assumptions;</w:t>
      </w:r>
    </w:p>
    <w:p>
      <w:pPr>
        <w:pStyle w:val="ListBullet"/>
      </w:pPr>
      <w:r>
        <w:rPr>
          <w:rFonts w:ascii="Calibri" w:hAnsi="Calibri"/>
        </w:rPr>
        <w:t>operating costs;</w:t>
      </w:r>
    </w:p>
    <w:p>
      <w:pPr>
        <w:pStyle w:val="ListBullet"/>
      </w:pPr>
      <w:r>
        <w:rPr>
          <w:rFonts w:ascii="Calibri" w:hAnsi="Calibri"/>
        </w:rPr>
        <w:t>implementation costs;</w:t>
      </w:r>
    </w:p>
    <w:p>
      <w:pPr>
        <w:pStyle w:val="ListBullet"/>
      </w:pPr>
      <w:r>
        <w:rPr>
          <w:rFonts w:ascii="Calibri" w:hAnsi="Calibri"/>
        </w:rPr>
        <w:t>enforcement and appeals costs;</w:t>
      </w:r>
    </w:p>
    <w:p>
      <w:pPr>
        <w:pStyle w:val="ListBullet"/>
      </w:pPr>
      <w:r>
        <w:rPr>
          <w:rFonts w:ascii="Calibri" w:hAnsi="Calibri"/>
        </w:rPr>
        <w:t>reserves and bad-debt treatment;</w:t>
      </w:r>
    </w:p>
    <w:p>
      <w:pPr>
        <w:pStyle w:val="ListBullet"/>
      </w:pPr>
      <w:r>
        <w:rPr>
          <w:rFonts w:ascii="Calibri" w:hAnsi="Calibri"/>
        </w:rPr>
        <w:t>net proceeds;</w:t>
      </w:r>
    </w:p>
    <w:p>
      <w:pPr>
        <w:pStyle w:val="ListBullet"/>
      </w:pPr>
      <w:r>
        <w:rPr>
          <w:rFonts w:ascii="Calibri" w:hAnsi="Calibri"/>
        </w:rPr>
        <w:t>local transport programme allocation;</w:t>
      </w:r>
    </w:p>
    <w:p>
      <w:pPr>
        <w:pStyle w:val="ListBullet"/>
      </w:pPr>
      <w:r>
        <w:rPr>
          <w:rFonts w:ascii="Calibri" w:hAnsi="Calibri"/>
        </w:rPr>
        <w:t>borrowing or grant interactions;</w:t>
      </w:r>
    </w:p>
    <w:p>
      <w:pPr>
        <w:pStyle w:val="ListBullet"/>
      </w:pPr>
      <w:r>
        <w:rPr>
          <w:rFonts w:ascii="Calibri" w:hAnsi="Calibri"/>
        </w:rPr>
        <w:t>sensitivity to boundary, charge, exemptions and employer behaviour.</w:t>
      </w:r>
    </w:p>
    <w:p>
      <w:r>
        <w:rPr>
          <w:rFonts w:ascii="Calibri" w:hAnsi="Calibri"/>
          <w:b/>
        </w:rPr>
        <w:t>Gap.</w:t>
      </w:r>
      <w:r>
        <w:rPr>
          <w:rFonts w:ascii="Calibri" w:hAnsi="Calibri"/>
        </w:rPr>
        <w:t xml:space="preserve"> No chargeable-space inventory, charge, compliance forecast, operating-cost forecast, net-proceeds plan or fund-accounting treatment exists. No number in this simulation is decision-grade.</w:t>
      </w:r>
    </w:p>
    <w:p>
      <w:pPr>
        <w:pStyle w:val="Heading3"/>
      </w:pPr>
      <w:r>
        <w:t>11.3 Commercial And Procurement Strategy</w:t>
      </w:r>
    </w:p>
    <w:p>
      <w:r>
        <w:rPr>
          <w:rFonts w:ascii="Calibri" w:hAnsi="Calibri"/>
          <w:b/>
        </w:rPr>
        <w:t>Cited comparator pattern.</w:t>
      </w:r>
      <w:r>
        <w:rPr>
          <w:rFonts w:ascii="Calibri" w:hAnsi="Calibri"/>
        </w:rPr>
        <w:t xml:space="preserve"> The WECA FBC exemplar covers output specification, procurement strategy, sourcing options, payment mechanisms, risk allocation, contract length and contract management (SRC-WECA-0009 lines 1619-1645).</w:t>
      </w:r>
    </w:p>
    <w:p>
      <w:r>
        <w:rPr>
          <w:rFonts w:ascii="Calibri" w:hAnsi="Calibri"/>
          <w:b/>
        </w:rPr>
        <w:t>Proposal.</w:t>
      </w:r>
      <w:r>
        <w:rPr>
          <w:rFonts w:ascii="Calibri" w:hAnsi="Calibri"/>
        </w:rPr>
        <w:t xml:space="preserve"> The WPL Commercial Case should test at least three delivery models:</w:t>
      </w:r>
    </w:p>
    <w:tbl>
      <w:tblPr>
        <w:tblStyle w:val="TableGrid"/>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center"/>
            <w:tcMar>
              <w:top w:w="80" w:type="dxa"/>
              <w:start w:w="120" w:type="dxa"/>
              <w:bottom w:w="80" w:type="dxa"/>
              <w:end w:w="120" w:type="dxa"/>
            </w:tcMar>
            <w:shd w:fill="F2F4F7"/>
          </w:tcPr>
          <w:p>
            <w:pPr>
              <w:spacing w:after="0"/>
            </w:pPr>
            <w:r>
              <w:rPr>
                <w:rFonts w:ascii="Calibri" w:hAnsi="Calibri"/>
                <w:b/>
                <w:sz w:val="20"/>
              </w:rPr>
              <w:t>Delivery model</w:t>
            </w:r>
          </w:p>
        </w:tc>
        <w:tc>
          <w:tcPr>
            <w:tcW w:type="dxa" w:w="3120"/>
            <w:vAlign w:val="center"/>
            <w:tcMar>
              <w:top w:w="80" w:type="dxa"/>
              <w:start w:w="120" w:type="dxa"/>
              <w:bottom w:w="80" w:type="dxa"/>
              <w:end w:w="120" w:type="dxa"/>
            </w:tcMar>
            <w:shd w:fill="F2F4F7"/>
          </w:tcPr>
          <w:p>
            <w:pPr>
              <w:spacing w:after="0"/>
            </w:pPr>
            <w:r>
              <w:rPr>
                <w:rFonts w:ascii="Calibri" w:hAnsi="Calibri"/>
                <w:b/>
                <w:sz w:val="20"/>
              </w:rPr>
              <w:t>Possible scope</w:t>
            </w:r>
          </w:p>
        </w:tc>
        <w:tc>
          <w:tcPr>
            <w:tcW w:type="dxa" w:w="3120"/>
            <w:vAlign w:val="center"/>
            <w:tcMar>
              <w:top w:w="80" w:type="dxa"/>
              <w:start w:w="120" w:type="dxa"/>
              <w:bottom w:w="80" w:type="dxa"/>
              <w:end w:w="120" w:type="dxa"/>
            </w:tcMar>
            <w:shd w:fill="F2F4F7"/>
          </w:tcPr>
          <w:p>
            <w:pPr>
              <w:spacing w:after="0"/>
            </w:pPr>
            <w:r>
              <w:rPr>
                <w:rFonts w:ascii="Calibri" w:hAnsi="Calibri"/>
                <w:b/>
                <w:sz w:val="20"/>
              </w:rPr>
              <w:t>Main control question</w:t>
            </w:r>
          </w:p>
        </w:tc>
      </w:tr>
      <w:tr>
        <w:tc>
          <w:tcPr>
            <w:tcW w:type="dxa" w:w="3120"/>
            <w:vAlign w:val="center"/>
            <w:tcMar>
              <w:top w:w="80" w:type="dxa"/>
              <w:start w:w="120" w:type="dxa"/>
              <w:bottom w:w="80" w:type="dxa"/>
              <w:end w:w="120" w:type="dxa"/>
            </w:tcMar>
          </w:tcPr>
          <w:p>
            <w:pPr>
              <w:spacing w:after="0"/>
            </w:pPr>
            <w:r>
              <w:rPr>
                <w:rFonts w:ascii="Calibri" w:hAnsi="Calibri"/>
                <w:sz w:val="20"/>
              </w:rPr>
              <w:t>In-house with procured platform</w:t>
            </w:r>
          </w:p>
        </w:tc>
        <w:tc>
          <w:tcPr>
            <w:tcW w:type="dxa" w:w="3120"/>
            <w:vAlign w:val="center"/>
            <w:tcMar>
              <w:top w:w="80" w:type="dxa"/>
              <w:start w:w="120" w:type="dxa"/>
              <w:bottom w:w="80" w:type="dxa"/>
              <w:end w:w="120" w:type="dxa"/>
            </w:tcMar>
          </w:tcPr>
          <w:p>
            <w:pPr>
              <w:spacing w:after="0"/>
            </w:pPr>
            <w:r>
              <w:rPr>
                <w:rFonts w:ascii="Calibri" w:hAnsi="Calibri"/>
                <w:sz w:val="20"/>
              </w:rPr>
              <w:t>Council retains service, buys licensing/payment/case-management tools</w:t>
            </w:r>
          </w:p>
        </w:tc>
        <w:tc>
          <w:tcPr>
            <w:tcW w:type="dxa" w:w="3120"/>
            <w:vAlign w:val="center"/>
            <w:tcMar>
              <w:top w:w="80" w:type="dxa"/>
              <w:start w:w="120" w:type="dxa"/>
              <w:bottom w:w="80" w:type="dxa"/>
              <w:end w:w="120" w:type="dxa"/>
            </w:tcMar>
          </w:tcPr>
          <w:p>
            <w:pPr>
              <w:spacing w:after="0"/>
            </w:pPr>
            <w:r>
              <w:rPr>
                <w:rFonts w:ascii="Calibri" w:hAnsi="Calibri"/>
                <w:sz w:val="20"/>
              </w:rPr>
              <w:t>Can retained capability manage volume, compliance and cyber risk?</w:t>
            </w:r>
          </w:p>
        </w:tc>
      </w:tr>
      <w:tr>
        <w:tc>
          <w:tcPr>
            <w:tcW w:type="dxa" w:w="3120"/>
            <w:vAlign w:val="center"/>
            <w:tcMar>
              <w:top w:w="80" w:type="dxa"/>
              <w:start w:w="120" w:type="dxa"/>
              <w:bottom w:w="80" w:type="dxa"/>
              <w:end w:w="120" w:type="dxa"/>
            </w:tcMar>
          </w:tcPr>
          <w:p>
            <w:pPr>
              <w:spacing w:after="0"/>
            </w:pPr>
            <w:r>
              <w:rPr>
                <w:rFonts w:ascii="Calibri" w:hAnsi="Calibri"/>
                <w:sz w:val="20"/>
              </w:rPr>
              <w:t>Managed service</w:t>
            </w:r>
          </w:p>
        </w:tc>
        <w:tc>
          <w:tcPr>
            <w:tcW w:type="dxa" w:w="3120"/>
            <w:vAlign w:val="center"/>
            <w:tcMar>
              <w:top w:w="80" w:type="dxa"/>
              <w:start w:w="120" w:type="dxa"/>
              <w:bottom w:w="80" w:type="dxa"/>
              <w:end w:w="120" w:type="dxa"/>
            </w:tcMar>
          </w:tcPr>
          <w:p>
            <w:pPr>
              <w:spacing w:after="0"/>
            </w:pPr>
            <w:r>
              <w:rPr>
                <w:rFonts w:ascii="Calibri" w:hAnsi="Calibri"/>
                <w:sz w:val="20"/>
              </w:rPr>
              <w:t>Supplier operates platform and customer/admin processes under council control</w:t>
            </w:r>
          </w:p>
        </w:tc>
        <w:tc>
          <w:tcPr>
            <w:tcW w:type="dxa" w:w="3120"/>
            <w:vAlign w:val="center"/>
            <w:tcMar>
              <w:top w:w="80" w:type="dxa"/>
              <w:start w:w="120" w:type="dxa"/>
              <w:bottom w:w="80" w:type="dxa"/>
              <w:end w:w="120" w:type="dxa"/>
            </w:tcMar>
          </w:tcPr>
          <w:p>
            <w:pPr>
              <w:spacing w:after="0"/>
            </w:pPr>
            <w:r>
              <w:rPr>
                <w:rFonts w:ascii="Calibri" w:hAnsi="Calibri"/>
                <w:sz w:val="20"/>
              </w:rPr>
              <w:t>How are discretion, enforcement, data and accountability protected?</w:t>
            </w:r>
          </w:p>
        </w:tc>
      </w:tr>
      <w:tr>
        <w:tc>
          <w:tcPr>
            <w:tcW w:type="dxa" w:w="3120"/>
            <w:vAlign w:val="center"/>
            <w:tcMar>
              <w:top w:w="80" w:type="dxa"/>
              <w:start w:w="120" w:type="dxa"/>
              <w:bottom w:w="80" w:type="dxa"/>
              <w:end w:w="120" w:type="dxa"/>
            </w:tcMar>
          </w:tcPr>
          <w:p>
            <w:pPr>
              <w:spacing w:after="0"/>
            </w:pPr>
            <w:r>
              <w:rPr>
                <w:rFonts w:ascii="Calibri" w:hAnsi="Calibri"/>
                <w:sz w:val="20"/>
              </w:rPr>
              <w:t>Hybrid</w:t>
            </w:r>
          </w:p>
        </w:tc>
        <w:tc>
          <w:tcPr>
            <w:tcW w:type="dxa" w:w="3120"/>
            <w:vAlign w:val="center"/>
            <w:tcMar>
              <w:top w:w="80" w:type="dxa"/>
              <w:start w:w="120" w:type="dxa"/>
              <w:bottom w:w="80" w:type="dxa"/>
              <w:end w:w="120" w:type="dxa"/>
            </w:tcMar>
          </w:tcPr>
          <w:p>
            <w:pPr>
              <w:spacing w:after="0"/>
            </w:pPr>
            <w:r>
              <w:rPr>
                <w:rFonts w:ascii="Calibri" w:hAnsi="Calibri"/>
                <w:sz w:val="20"/>
              </w:rPr>
              <w:t>Council retains policy/enforcement decisions, supplier provides platform and support</w:t>
            </w:r>
          </w:p>
        </w:tc>
        <w:tc>
          <w:tcPr>
            <w:tcW w:type="dxa" w:w="3120"/>
            <w:vAlign w:val="center"/>
            <w:tcMar>
              <w:top w:w="80" w:type="dxa"/>
              <w:start w:w="120" w:type="dxa"/>
              <w:bottom w:w="80" w:type="dxa"/>
              <w:end w:w="120" w:type="dxa"/>
            </w:tcMar>
          </w:tcPr>
          <w:p>
            <w:pPr>
              <w:spacing w:after="0"/>
            </w:pPr>
            <w:r>
              <w:rPr>
                <w:rFonts w:ascii="Calibri" w:hAnsi="Calibri"/>
                <w:sz w:val="20"/>
              </w:rPr>
              <w:t>Which risks sit with the council and which transfer to supplier?</w:t>
            </w:r>
          </w:p>
        </w:tc>
      </w:tr>
    </w:tbl>
    <w:p/>
    <w:p>
      <w:r>
        <w:rPr>
          <w:rFonts w:ascii="Calibri" w:hAnsi="Calibri"/>
          <w:b/>
        </w:rPr>
        <w:t>Gap.</w:t>
      </w:r>
      <w:r>
        <w:rPr>
          <w:rFonts w:ascii="Calibri" w:hAnsi="Calibri"/>
        </w:rPr>
        <w:t xml:space="preserve"> No supplier-market evidence, procurement route, specification, contract model, value-for-money procurement analysis or retained-client capability assessment exists.</w:t>
      </w:r>
    </w:p>
    <w:p>
      <w:pPr>
        <w:pStyle w:val="Heading2"/>
      </w:pPr>
      <w:r>
        <w:t>12. Assurance, Risk And Benefits Management</w:t>
      </w:r>
    </w:p>
    <w:p>
      <w:pPr>
        <w:pStyle w:val="Heading3"/>
      </w:pPr>
      <w:r>
        <w:t>12.1 Governance And Decision Route</w:t>
      </w:r>
    </w:p>
    <w:p>
      <w:r>
        <w:rPr>
          <w:rFonts w:ascii="Calibri" w:hAnsi="Calibri"/>
          <w:b/>
        </w:rPr>
        <w:t>Cited.</w:t>
      </w:r>
      <w:r>
        <w:rPr>
          <w:rFonts w:ascii="Calibri" w:hAnsi="Calibri"/>
        </w:rPr>
        <w:t xml:space="preserve"> Bristol evidence records a three-stage WPL route: OBC, public consultation and FBC with approval, and implementation/operation (SRC-BCC-0015 lines 4290-4294). It also records that formal consultation is proposed only if the project progresses beyond OBC and returns to committee (SRC-BCC-0015 lines 4468-4481).</w:t>
      </w:r>
    </w:p>
    <w:p>
      <w:r>
        <w:rPr>
          <w:rFonts w:ascii="Calibri" w:hAnsi="Calibri"/>
          <w:b/>
        </w:rPr>
        <w:t>Cited comparator pattern.</w:t>
      </w:r>
      <w:r>
        <w:rPr>
          <w:rFonts w:ascii="Calibri" w:hAnsi="Calibri"/>
        </w:rPr>
        <w:t xml:space="preserve"> Bristol and WECA-facing examples use conditional OBC/FBC routing and approval language for other transport projects (SRC-BCC-0036 lines 215-220, 279-285, 431-448).</w:t>
      </w:r>
    </w:p>
    <w:p>
      <w:r>
        <w:rPr>
          <w:rFonts w:ascii="Calibri" w:hAnsi="Calibri"/>
          <w:b/>
        </w:rPr>
        <w:t>Gap.</w:t>
      </w:r>
      <w:r>
        <w:rPr>
          <w:rFonts w:ascii="Calibri" w:hAnsi="Calibri"/>
        </w:rPr>
        <w:t xml:space="preserve"> Final WPL order-maker, statutory submitter, Monitoring Officer route, Section 151 route, WECA/MCA role and DfT process remain unresolved.</w:t>
      </w:r>
    </w:p>
    <w:p>
      <w:pPr>
        <w:pStyle w:val="Heading3"/>
      </w:pPr>
      <w:r>
        <w:t>12.2 Programme Plan</w:t>
      </w:r>
    </w:p>
    <w:p>
      <w:r>
        <w:rPr>
          <w:rFonts w:ascii="Calibri" w:hAnsi="Calibri"/>
          <w:b/>
        </w:rPr>
        <w:t>Proposal.</w:t>
      </w:r>
      <w:r>
        <w:rPr>
          <w:rFonts w:ascii="Calibri" w:hAnsi="Calibri"/>
        </w:rPr>
        <w:t xml:space="preserve"> A future OBC programme should show:</w:t>
      </w:r>
    </w:p>
    <w:p>
      <w:pPr>
        <w:pStyle w:val="ListBullet"/>
      </w:pPr>
      <w:r>
        <w:rPr>
          <w:rFonts w:ascii="Calibri" w:hAnsi="Calibri"/>
        </w:rPr>
        <w:t>evidence and modelling completion;</w:t>
      </w:r>
    </w:p>
    <w:p>
      <w:pPr>
        <w:pStyle w:val="ListBullet"/>
      </w:pPr>
      <w:r>
        <w:rPr>
          <w:rFonts w:ascii="Calibri" w:hAnsi="Calibri"/>
        </w:rPr>
        <w:t>OBC assurance and decision route;</w:t>
      </w:r>
    </w:p>
    <w:p>
      <w:pPr>
        <w:pStyle w:val="ListBullet"/>
      </w:pPr>
      <w:r>
        <w:rPr>
          <w:rFonts w:ascii="Calibri" w:hAnsi="Calibri"/>
        </w:rPr>
        <w:t>consultation preparation and authority route;</w:t>
      </w:r>
    </w:p>
    <w:p>
      <w:pPr>
        <w:pStyle w:val="ListBullet"/>
      </w:pPr>
      <w:r>
        <w:rPr>
          <w:rFonts w:ascii="Calibri" w:hAnsi="Calibri"/>
        </w:rPr>
        <w:t>public consultation period and analysis;</w:t>
      </w:r>
    </w:p>
    <w:p>
      <w:pPr>
        <w:pStyle w:val="ListBullet"/>
      </w:pPr>
      <w:r>
        <w:rPr>
          <w:rFonts w:ascii="Calibri" w:hAnsi="Calibri"/>
        </w:rPr>
        <w:t>FBC and statutory dossier production;</w:t>
      </w:r>
    </w:p>
    <w:p>
      <w:pPr>
        <w:pStyle w:val="ListBullet"/>
      </w:pPr>
      <w:r>
        <w:rPr>
          <w:rFonts w:ascii="Calibri" w:hAnsi="Calibri"/>
        </w:rPr>
        <w:t>scheme order drafting;</w:t>
      </w:r>
    </w:p>
    <w:p>
      <w:pPr>
        <w:pStyle w:val="ListBullet"/>
      </w:pPr>
      <w:r>
        <w:rPr>
          <w:rFonts w:ascii="Calibri" w:hAnsi="Calibri"/>
        </w:rPr>
        <w:t>Secretary of State confirmation route;</w:t>
      </w:r>
    </w:p>
    <w:p>
      <w:pPr>
        <w:pStyle w:val="ListBullet"/>
      </w:pPr>
      <w:r>
        <w:rPr>
          <w:rFonts w:ascii="Calibri" w:hAnsi="Calibri"/>
        </w:rPr>
        <w:t>procurement and mobilisation;</w:t>
      </w:r>
    </w:p>
    <w:p>
      <w:pPr>
        <w:pStyle w:val="ListBullet"/>
      </w:pPr>
      <w:r>
        <w:rPr>
          <w:rFonts w:ascii="Calibri" w:hAnsi="Calibri"/>
        </w:rPr>
        <w:t>licensing-system build and testing;</w:t>
      </w:r>
    </w:p>
    <w:p>
      <w:pPr>
        <w:pStyle w:val="ListBullet"/>
      </w:pPr>
      <w:r>
        <w:rPr>
          <w:rFonts w:ascii="Calibri" w:hAnsi="Calibri"/>
        </w:rPr>
        <w:t>employer onboarding;</w:t>
      </w:r>
    </w:p>
    <w:p>
      <w:pPr>
        <w:pStyle w:val="ListBullet"/>
      </w:pPr>
      <w:r>
        <w:rPr>
          <w:rFonts w:ascii="Calibri" w:hAnsi="Calibri"/>
        </w:rPr>
        <w:t>enforcement readiness;</w:t>
      </w:r>
    </w:p>
    <w:p>
      <w:pPr>
        <w:pStyle w:val="ListBullet"/>
      </w:pPr>
      <w:r>
        <w:rPr>
          <w:rFonts w:ascii="Calibri" w:hAnsi="Calibri"/>
        </w:rPr>
        <w:t>monitoring and evaluation baseline.</w:t>
      </w:r>
    </w:p>
    <w:p>
      <w:r>
        <w:rPr>
          <w:rFonts w:ascii="Calibri" w:hAnsi="Calibri"/>
          <w:b/>
        </w:rPr>
        <w:t>Gap.</w:t>
      </w:r>
      <w:r>
        <w:rPr>
          <w:rFonts w:ascii="Calibri" w:hAnsi="Calibri"/>
        </w:rPr>
        <w:t xml:space="preserve"> This simulation has no approved programme, no spend authority, no procurement authority and no implementation date.</w:t>
      </w:r>
    </w:p>
    <w:p>
      <w:pPr>
        <w:pStyle w:val="Heading3"/>
      </w:pPr>
      <w:r>
        <w:t>12.3 Risk Register Summary</w:t>
      </w:r>
    </w:p>
    <w:p>
      <w:r>
        <w:rPr>
          <w:rFonts w:ascii="Calibri" w:hAnsi="Calibri"/>
          <w:b/>
        </w:rPr>
        <w:t>Cited.</w:t>
      </w:r>
      <w:r>
        <w:rPr>
          <w:rFonts w:ascii="Calibri" w:hAnsi="Calibri"/>
        </w:rPr>
        <w:t xml:space="preserve"> The following summary is drawn from governance/issues_register.csv and governance/risk_register.csv; it is a navigation aid and does not replace the live registers.</w:t>
      </w:r>
    </w:p>
    <w:tbl>
      <w:tblPr>
        <w:tblStyle w:val="TableGrid"/>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center"/>
            <w:tcMar>
              <w:top w:w="80" w:type="dxa"/>
              <w:start w:w="120" w:type="dxa"/>
              <w:bottom w:w="80" w:type="dxa"/>
              <w:end w:w="120" w:type="dxa"/>
            </w:tcMar>
            <w:shd w:fill="F2F4F7"/>
          </w:tcPr>
          <w:p>
            <w:pPr>
              <w:spacing w:after="0"/>
            </w:pPr>
            <w:r>
              <w:rPr>
                <w:rFonts w:ascii="Calibri" w:hAnsi="Calibri"/>
                <w:b/>
                <w:sz w:val="20"/>
              </w:rPr>
              <w:t>Risk area</w:t>
            </w:r>
          </w:p>
        </w:tc>
        <w:tc>
          <w:tcPr>
            <w:tcW w:type="dxa" w:w="3120"/>
            <w:vAlign w:val="center"/>
            <w:tcMar>
              <w:top w:w="80" w:type="dxa"/>
              <w:start w:w="120" w:type="dxa"/>
              <w:bottom w:w="80" w:type="dxa"/>
              <w:end w:w="120" w:type="dxa"/>
            </w:tcMar>
            <w:shd w:fill="F2F4F7"/>
          </w:tcPr>
          <w:p>
            <w:pPr>
              <w:spacing w:after="0"/>
            </w:pPr>
            <w:r>
              <w:rPr>
                <w:rFonts w:ascii="Calibri" w:hAnsi="Calibri"/>
                <w:b/>
                <w:sz w:val="20"/>
              </w:rPr>
              <w:t>Current status</w:t>
            </w:r>
          </w:p>
        </w:tc>
        <w:tc>
          <w:tcPr>
            <w:tcW w:type="dxa" w:w="3120"/>
            <w:vAlign w:val="center"/>
            <w:tcMar>
              <w:top w:w="80" w:type="dxa"/>
              <w:start w:w="120" w:type="dxa"/>
              <w:bottom w:w="80" w:type="dxa"/>
              <w:end w:w="120" w:type="dxa"/>
            </w:tcMar>
            <w:shd w:fill="F2F4F7"/>
          </w:tcPr>
          <w:p>
            <w:pPr>
              <w:spacing w:after="0"/>
            </w:pPr>
            <w:r>
              <w:rPr>
                <w:rFonts w:ascii="Calibri" w:hAnsi="Calibri"/>
                <w:b/>
                <w:sz w:val="20"/>
              </w:rPr>
              <w:t>Control route</w:t>
            </w:r>
          </w:p>
        </w:tc>
      </w:tr>
      <w:tr>
        <w:tc>
          <w:tcPr>
            <w:tcW w:type="dxa" w:w="3120"/>
            <w:vAlign w:val="center"/>
            <w:tcMar>
              <w:top w:w="80" w:type="dxa"/>
              <w:start w:w="120" w:type="dxa"/>
              <w:bottom w:w="80" w:type="dxa"/>
              <w:end w:w="120" w:type="dxa"/>
            </w:tcMar>
          </w:tcPr>
          <w:p>
            <w:pPr>
              <w:spacing w:after="0"/>
            </w:pPr>
            <w:r>
              <w:rPr>
                <w:rFonts w:ascii="Calibri" w:hAnsi="Calibri"/>
                <w:sz w:val="20"/>
              </w:rPr>
              <w:t>Bristol statutory route</w:t>
            </w:r>
          </w:p>
        </w:tc>
        <w:tc>
          <w:tcPr>
            <w:tcW w:type="dxa" w:w="3120"/>
            <w:vAlign w:val="center"/>
            <w:tcMar>
              <w:top w:w="80" w:type="dxa"/>
              <w:start w:w="120" w:type="dxa"/>
              <w:bottom w:w="80" w:type="dxa"/>
              <w:end w:w="120" w:type="dxa"/>
            </w:tcMar>
          </w:tcPr>
          <w:p>
            <w:pPr>
              <w:spacing w:after="0"/>
            </w:pPr>
            <w:r>
              <w:rPr>
                <w:rFonts w:ascii="Calibri" w:hAnsi="Calibri"/>
                <w:sz w:val="20"/>
              </w:rPr>
              <w:t>P0 unresolved</w:t>
            </w:r>
          </w:p>
        </w:tc>
        <w:tc>
          <w:tcPr>
            <w:tcW w:type="dxa" w:w="3120"/>
            <w:vAlign w:val="center"/>
            <w:tcMar>
              <w:top w:w="80" w:type="dxa"/>
              <w:start w:w="120" w:type="dxa"/>
              <w:bottom w:w="80" w:type="dxa"/>
              <w:end w:w="120" w:type="dxa"/>
            </w:tcMar>
          </w:tcPr>
          <w:p>
            <w:pPr>
              <w:spacing w:after="0"/>
            </w:pPr>
            <w:r>
              <w:rPr>
                <w:rFonts w:ascii="Calibri" w:hAnsi="Calibri"/>
                <w:sz w:val="20"/>
              </w:rPr>
              <w:t>ISS-0001, RISK-0001</w:t>
            </w:r>
          </w:p>
        </w:tc>
      </w:tr>
      <w:tr>
        <w:tc>
          <w:tcPr>
            <w:tcW w:type="dxa" w:w="3120"/>
            <w:vAlign w:val="center"/>
            <w:tcMar>
              <w:top w:w="80" w:type="dxa"/>
              <w:start w:w="120" w:type="dxa"/>
              <w:bottom w:w="80" w:type="dxa"/>
              <w:end w:w="120" w:type="dxa"/>
            </w:tcMar>
          </w:tcPr>
          <w:p>
            <w:pPr>
              <w:spacing w:after="0"/>
            </w:pPr>
            <w:r>
              <w:rPr>
                <w:rFonts w:ascii="Calibri" w:hAnsi="Calibri"/>
                <w:sz w:val="20"/>
              </w:rPr>
              <w:t>WECA/MCA role and funding interface</w:t>
            </w:r>
          </w:p>
        </w:tc>
        <w:tc>
          <w:tcPr>
            <w:tcW w:type="dxa" w:w="3120"/>
            <w:vAlign w:val="center"/>
            <w:tcMar>
              <w:top w:w="80" w:type="dxa"/>
              <w:start w:w="120" w:type="dxa"/>
              <w:bottom w:w="80" w:type="dxa"/>
              <w:end w:w="120" w:type="dxa"/>
            </w:tcMar>
          </w:tcPr>
          <w:p>
            <w:pPr>
              <w:spacing w:after="0"/>
            </w:pPr>
            <w:r>
              <w:rPr>
                <w:rFonts w:ascii="Calibri" w:hAnsi="Calibri"/>
                <w:sz w:val="20"/>
              </w:rPr>
              <w:t>P0 unresolved</w:t>
            </w:r>
          </w:p>
        </w:tc>
        <w:tc>
          <w:tcPr>
            <w:tcW w:type="dxa" w:w="3120"/>
            <w:vAlign w:val="center"/>
            <w:tcMar>
              <w:top w:w="80" w:type="dxa"/>
              <w:start w:w="120" w:type="dxa"/>
              <w:bottom w:w="80" w:type="dxa"/>
              <w:end w:w="120" w:type="dxa"/>
            </w:tcMar>
          </w:tcPr>
          <w:p>
            <w:pPr>
              <w:spacing w:after="0"/>
            </w:pPr>
            <w:r>
              <w:rPr>
                <w:rFonts w:ascii="Calibri" w:hAnsi="Calibri"/>
                <w:sz w:val="20"/>
              </w:rPr>
              <w:t>ISS-0002, RISK-0002</w:t>
            </w:r>
          </w:p>
        </w:tc>
      </w:tr>
      <w:tr>
        <w:tc>
          <w:tcPr>
            <w:tcW w:type="dxa" w:w="3120"/>
            <w:vAlign w:val="center"/>
            <w:tcMar>
              <w:top w:w="80" w:type="dxa"/>
              <w:start w:w="120" w:type="dxa"/>
              <w:bottom w:w="80" w:type="dxa"/>
              <w:end w:w="120" w:type="dxa"/>
            </w:tcMar>
          </w:tcPr>
          <w:p>
            <w:pPr>
              <w:spacing w:after="0"/>
            </w:pPr>
            <w:r>
              <w:rPr>
                <w:rFonts w:ascii="Calibri" w:hAnsi="Calibri"/>
                <w:sz w:val="20"/>
              </w:rPr>
              <w:t>DfT WPL-specific process</w:t>
            </w:r>
          </w:p>
        </w:tc>
        <w:tc>
          <w:tcPr>
            <w:tcW w:type="dxa" w:w="3120"/>
            <w:vAlign w:val="center"/>
            <w:tcMar>
              <w:top w:w="80" w:type="dxa"/>
              <w:start w:w="120" w:type="dxa"/>
              <w:bottom w:w="80" w:type="dxa"/>
              <w:end w:w="120" w:type="dxa"/>
            </w:tcMar>
          </w:tcPr>
          <w:p>
            <w:pPr>
              <w:spacing w:after="0"/>
            </w:pPr>
            <w:r>
              <w:rPr>
                <w:rFonts w:ascii="Calibri" w:hAnsi="Calibri"/>
                <w:sz w:val="20"/>
              </w:rPr>
              <w:t>P1 unresolved</w:t>
            </w:r>
          </w:p>
        </w:tc>
        <w:tc>
          <w:tcPr>
            <w:tcW w:type="dxa" w:w="3120"/>
            <w:vAlign w:val="center"/>
            <w:tcMar>
              <w:top w:w="80" w:type="dxa"/>
              <w:start w:w="120" w:type="dxa"/>
              <w:bottom w:w="80" w:type="dxa"/>
              <w:end w:w="120" w:type="dxa"/>
            </w:tcMar>
          </w:tcPr>
          <w:p>
            <w:pPr>
              <w:spacing w:after="0"/>
            </w:pPr>
            <w:r>
              <w:rPr>
                <w:rFonts w:ascii="Calibri" w:hAnsi="Calibri"/>
                <w:sz w:val="20"/>
              </w:rPr>
              <w:t>ISS-0008, RISK-0003</w:t>
            </w:r>
          </w:p>
        </w:tc>
      </w:tr>
      <w:tr>
        <w:tc>
          <w:tcPr>
            <w:tcW w:type="dxa" w:w="3120"/>
            <w:vAlign w:val="center"/>
            <w:tcMar>
              <w:top w:w="80" w:type="dxa"/>
              <w:start w:w="120" w:type="dxa"/>
              <w:bottom w:w="80" w:type="dxa"/>
              <w:end w:w="120" w:type="dxa"/>
            </w:tcMar>
          </w:tcPr>
          <w:p>
            <w:pPr>
              <w:spacing w:after="0"/>
            </w:pPr>
            <w:r>
              <w:rPr>
                <w:rFonts w:ascii="Calibri" w:hAnsi="Calibri"/>
                <w:sz w:val="20"/>
              </w:rPr>
              <w:t>Boundary and inventory</w:t>
            </w:r>
          </w:p>
        </w:tc>
        <w:tc>
          <w:tcPr>
            <w:tcW w:type="dxa" w:w="3120"/>
            <w:vAlign w:val="center"/>
            <w:tcMar>
              <w:top w:w="80" w:type="dxa"/>
              <w:start w:w="120" w:type="dxa"/>
              <w:bottom w:w="80" w:type="dxa"/>
              <w:end w:w="120" w:type="dxa"/>
            </w:tcMar>
          </w:tcPr>
          <w:p>
            <w:pPr>
              <w:spacing w:after="0"/>
            </w:pPr>
            <w:r>
              <w:rPr>
                <w:rFonts w:ascii="Calibri" w:hAnsi="Calibri"/>
                <w:sz w:val="20"/>
              </w:rPr>
              <w:t>P0 unresolved</w:t>
            </w:r>
          </w:p>
        </w:tc>
        <w:tc>
          <w:tcPr>
            <w:tcW w:type="dxa" w:w="3120"/>
            <w:vAlign w:val="center"/>
            <w:tcMar>
              <w:top w:w="80" w:type="dxa"/>
              <w:start w:w="120" w:type="dxa"/>
              <w:bottom w:w="80" w:type="dxa"/>
              <w:end w:w="120" w:type="dxa"/>
            </w:tcMar>
          </w:tcPr>
          <w:p>
            <w:pPr>
              <w:spacing w:after="0"/>
            </w:pPr>
            <w:r>
              <w:rPr>
                <w:rFonts w:ascii="Calibri" w:hAnsi="Calibri"/>
                <w:sz w:val="20"/>
              </w:rPr>
              <w:t>ISS-0003, RISK-0004</w:t>
            </w:r>
          </w:p>
        </w:tc>
      </w:tr>
      <w:tr>
        <w:tc>
          <w:tcPr>
            <w:tcW w:type="dxa" w:w="3120"/>
            <w:vAlign w:val="center"/>
            <w:tcMar>
              <w:top w:w="80" w:type="dxa"/>
              <w:start w:w="120" w:type="dxa"/>
              <w:bottom w:w="80" w:type="dxa"/>
              <w:end w:w="120" w:type="dxa"/>
            </w:tcMar>
          </w:tcPr>
          <w:p>
            <w:pPr>
              <w:spacing w:after="0"/>
            </w:pPr>
            <w:r>
              <w:rPr>
                <w:rFonts w:ascii="Calibri" w:hAnsi="Calibri"/>
                <w:sz w:val="20"/>
              </w:rPr>
              <w:t>Appraisal and modelling</w:t>
            </w:r>
          </w:p>
        </w:tc>
        <w:tc>
          <w:tcPr>
            <w:tcW w:type="dxa" w:w="3120"/>
            <w:vAlign w:val="center"/>
            <w:tcMar>
              <w:top w:w="80" w:type="dxa"/>
              <w:start w:w="120" w:type="dxa"/>
              <w:bottom w:w="80" w:type="dxa"/>
              <w:end w:w="120" w:type="dxa"/>
            </w:tcMar>
          </w:tcPr>
          <w:p>
            <w:pPr>
              <w:spacing w:after="0"/>
            </w:pPr>
            <w:r>
              <w:rPr>
                <w:rFonts w:ascii="Calibri" w:hAnsi="Calibri"/>
                <w:sz w:val="20"/>
              </w:rPr>
              <w:t>P0 unresolved</w:t>
            </w:r>
          </w:p>
        </w:tc>
        <w:tc>
          <w:tcPr>
            <w:tcW w:type="dxa" w:w="3120"/>
            <w:vAlign w:val="center"/>
            <w:tcMar>
              <w:top w:w="80" w:type="dxa"/>
              <w:start w:w="120" w:type="dxa"/>
              <w:bottom w:w="80" w:type="dxa"/>
              <w:end w:w="120" w:type="dxa"/>
            </w:tcMar>
          </w:tcPr>
          <w:p>
            <w:pPr>
              <w:spacing w:after="0"/>
            </w:pPr>
            <w:r>
              <w:rPr>
                <w:rFonts w:ascii="Calibri" w:hAnsi="Calibri"/>
                <w:sz w:val="20"/>
              </w:rPr>
              <w:t>ISS-0004, RISK-0005</w:t>
            </w:r>
          </w:p>
        </w:tc>
      </w:tr>
      <w:tr>
        <w:tc>
          <w:tcPr>
            <w:tcW w:type="dxa" w:w="3120"/>
            <w:vAlign w:val="center"/>
            <w:tcMar>
              <w:top w:w="80" w:type="dxa"/>
              <w:start w:w="120" w:type="dxa"/>
              <w:bottom w:w="80" w:type="dxa"/>
              <w:end w:w="120" w:type="dxa"/>
            </w:tcMar>
          </w:tcPr>
          <w:p>
            <w:pPr>
              <w:spacing w:after="0"/>
            </w:pPr>
            <w:r>
              <w:rPr>
                <w:rFonts w:ascii="Calibri" w:hAnsi="Calibri"/>
                <w:sz w:val="20"/>
              </w:rPr>
              <w:t>Nottingham displacement transfer</w:t>
            </w:r>
          </w:p>
        </w:tc>
        <w:tc>
          <w:tcPr>
            <w:tcW w:type="dxa" w:w="3120"/>
            <w:vAlign w:val="center"/>
            <w:tcMar>
              <w:top w:w="80" w:type="dxa"/>
              <w:start w:w="120" w:type="dxa"/>
              <w:bottom w:w="80" w:type="dxa"/>
              <w:end w:w="120" w:type="dxa"/>
            </w:tcMar>
          </w:tcPr>
          <w:p>
            <w:pPr>
              <w:spacing w:after="0"/>
            </w:pPr>
            <w:r>
              <w:rPr>
                <w:rFonts w:ascii="Calibri" w:hAnsi="Calibri"/>
                <w:sz w:val="20"/>
              </w:rPr>
              <w:t>P1 unresolved</w:t>
            </w:r>
          </w:p>
        </w:tc>
        <w:tc>
          <w:tcPr>
            <w:tcW w:type="dxa" w:w="3120"/>
            <w:vAlign w:val="center"/>
            <w:tcMar>
              <w:top w:w="80" w:type="dxa"/>
              <w:start w:w="120" w:type="dxa"/>
              <w:bottom w:w="80" w:type="dxa"/>
              <w:end w:w="120" w:type="dxa"/>
            </w:tcMar>
          </w:tcPr>
          <w:p>
            <w:pPr>
              <w:spacing w:after="0"/>
            </w:pPr>
            <w:r>
              <w:rPr>
                <w:rFonts w:ascii="Calibri" w:hAnsi="Calibri"/>
                <w:sz w:val="20"/>
              </w:rPr>
              <w:t>ISS-0005, RISK-0006, RISK-0009</w:t>
            </w:r>
          </w:p>
        </w:tc>
      </w:tr>
      <w:tr>
        <w:tc>
          <w:tcPr>
            <w:tcW w:type="dxa" w:w="3120"/>
            <w:vAlign w:val="center"/>
            <w:tcMar>
              <w:top w:w="80" w:type="dxa"/>
              <w:start w:w="120" w:type="dxa"/>
              <w:bottom w:w="80" w:type="dxa"/>
              <w:end w:w="120" w:type="dxa"/>
            </w:tcMar>
          </w:tcPr>
          <w:p>
            <w:pPr>
              <w:spacing w:after="0"/>
            </w:pPr>
            <w:r>
              <w:rPr>
                <w:rFonts w:ascii="Calibri" w:hAnsi="Calibri"/>
                <w:sz w:val="20"/>
              </w:rPr>
              <w:t>Consultation launch</w:t>
            </w:r>
          </w:p>
        </w:tc>
        <w:tc>
          <w:tcPr>
            <w:tcW w:type="dxa" w:w="3120"/>
            <w:vAlign w:val="center"/>
            <w:tcMar>
              <w:top w:w="80" w:type="dxa"/>
              <w:start w:w="120" w:type="dxa"/>
              <w:bottom w:w="80" w:type="dxa"/>
              <w:end w:w="120" w:type="dxa"/>
            </w:tcMar>
          </w:tcPr>
          <w:p>
            <w:pPr>
              <w:spacing w:after="0"/>
            </w:pPr>
            <w:r>
              <w:rPr>
                <w:rFonts w:ascii="Calibri" w:hAnsi="Calibri"/>
                <w:sz w:val="20"/>
              </w:rPr>
              <w:t>P1/P0 unresolved</w:t>
            </w:r>
          </w:p>
        </w:tc>
        <w:tc>
          <w:tcPr>
            <w:tcW w:type="dxa" w:w="3120"/>
            <w:vAlign w:val="center"/>
            <w:tcMar>
              <w:top w:w="80" w:type="dxa"/>
              <w:start w:w="120" w:type="dxa"/>
              <w:bottom w:w="80" w:type="dxa"/>
              <w:end w:w="120" w:type="dxa"/>
            </w:tcMar>
          </w:tcPr>
          <w:p>
            <w:pPr>
              <w:spacing w:after="0"/>
            </w:pPr>
            <w:r>
              <w:rPr>
                <w:rFonts w:ascii="Calibri" w:hAnsi="Calibri"/>
                <w:sz w:val="20"/>
              </w:rPr>
              <w:t>ISS-0012, RISK-0015</w:t>
            </w:r>
          </w:p>
        </w:tc>
      </w:tr>
      <w:tr>
        <w:tc>
          <w:tcPr>
            <w:tcW w:type="dxa" w:w="3120"/>
            <w:vAlign w:val="center"/>
            <w:tcMar>
              <w:top w:w="80" w:type="dxa"/>
              <w:start w:w="120" w:type="dxa"/>
              <w:bottom w:w="80" w:type="dxa"/>
              <w:end w:w="120" w:type="dxa"/>
            </w:tcMar>
          </w:tcPr>
          <w:p>
            <w:pPr>
              <w:spacing w:after="0"/>
            </w:pPr>
            <w:r>
              <w:rPr>
                <w:rFonts w:ascii="Calibri" w:hAnsi="Calibri"/>
                <w:sz w:val="20"/>
              </w:rPr>
              <w:t>OBC reliance</w:t>
            </w:r>
          </w:p>
        </w:tc>
        <w:tc>
          <w:tcPr>
            <w:tcW w:type="dxa" w:w="3120"/>
            <w:vAlign w:val="center"/>
            <w:tcMar>
              <w:top w:w="80" w:type="dxa"/>
              <w:start w:w="120" w:type="dxa"/>
              <w:bottom w:w="80" w:type="dxa"/>
              <w:end w:w="120" w:type="dxa"/>
            </w:tcMar>
          </w:tcPr>
          <w:p>
            <w:pPr>
              <w:spacing w:after="0"/>
            </w:pPr>
            <w:r>
              <w:rPr>
                <w:rFonts w:ascii="Calibri" w:hAnsi="Calibri"/>
                <w:sz w:val="20"/>
              </w:rPr>
              <w:t>P0 blocked</w:t>
            </w:r>
          </w:p>
        </w:tc>
        <w:tc>
          <w:tcPr>
            <w:tcW w:type="dxa" w:w="3120"/>
            <w:vAlign w:val="center"/>
            <w:tcMar>
              <w:top w:w="80" w:type="dxa"/>
              <w:start w:w="120" w:type="dxa"/>
              <w:bottom w:w="80" w:type="dxa"/>
              <w:end w:w="120" w:type="dxa"/>
            </w:tcMar>
          </w:tcPr>
          <w:p>
            <w:pPr>
              <w:spacing w:after="0"/>
            </w:pPr>
            <w:r>
              <w:rPr>
                <w:rFonts w:ascii="Calibri" w:hAnsi="Calibri"/>
                <w:sz w:val="20"/>
              </w:rPr>
              <w:t>ISS-0011, RISK-0014</w:t>
            </w:r>
          </w:p>
        </w:tc>
      </w:tr>
      <w:tr>
        <w:tc>
          <w:tcPr>
            <w:tcW w:type="dxa" w:w="3120"/>
            <w:vAlign w:val="center"/>
            <w:tcMar>
              <w:top w:w="80" w:type="dxa"/>
              <w:start w:w="120" w:type="dxa"/>
              <w:bottom w:w="80" w:type="dxa"/>
              <w:end w:w="120" w:type="dxa"/>
            </w:tcMar>
          </w:tcPr>
          <w:p>
            <w:pPr>
              <w:spacing w:after="0"/>
            </w:pPr>
            <w:r>
              <w:rPr>
                <w:rFonts w:ascii="Calibri" w:hAnsi="Calibri"/>
                <w:sz w:val="20"/>
              </w:rPr>
              <w:t>Stage 32A overclaim</w:t>
            </w:r>
          </w:p>
        </w:tc>
        <w:tc>
          <w:tcPr>
            <w:tcW w:type="dxa" w:w="3120"/>
            <w:vAlign w:val="center"/>
            <w:tcMar>
              <w:top w:w="80" w:type="dxa"/>
              <w:start w:w="120" w:type="dxa"/>
              <w:bottom w:w="80" w:type="dxa"/>
              <w:end w:w="120" w:type="dxa"/>
            </w:tcMar>
          </w:tcPr>
          <w:p>
            <w:pPr>
              <w:spacing w:after="0"/>
            </w:pPr>
            <w:r>
              <w:rPr>
                <w:rFonts w:ascii="Calibri" w:hAnsi="Calibri"/>
                <w:sz w:val="20"/>
              </w:rPr>
              <w:t>P1 controlled open</w:t>
            </w:r>
          </w:p>
        </w:tc>
        <w:tc>
          <w:tcPr>
            <w:tcW w:type="dxa" w:w="3120"/>
            <w:vAlign w:val="center"/>
            <w:tcMar>
              <w:top w:w="80" w:type="dxa"/>
              <w:start w:w="120" w:type="dxa"/>
              <w:bottom w:w="80" w:type="dxa"/>
              <w:end w:w="120" w:type="dxa"/>
            </w:tcMar>
          </w:tcPr>
          <w:p>
            <w:pPr>
              <w:spacing w:after="0"/>
            </w:pPr>
            <w:r>
              <w:rPr>
                <w:rFonts w:ascii="Calibri" w:hAnsi="Calibri"/>
                <w:sz w:val="20"/>
              </w:rPr>
              <w:t>ISS-0042, RISK-0045</w:t>
            </w:r>
          </w:p>
        </w:tc>
      </w:tr>
    </w:tbl>
    <w:p/>
    <w:p>
      <w:pPr>
        <w:pStyle w:val="Heading3"/>
      </w:pPr>
      <w:r>
        <w:t>12.4 Benefits And Evaluation</w:t>
      </w:r>
    </w:p>
    <w:p>
      <w:r>
        <w:rPr>
          <w:rFonts w:ascii="Calibri" w:hAnsi="Calibri"/>
          <w:b/>
        </w:rPr>
        <w:t>Cited comparator pattern.</w:t>
      </w:r>
      <w:r>
        <w:rPr>
          <w:rFonts w:ascii="Calibri" w:hAnsi="Calibri"/>
        </w:rPr>
        <w:t xml:space="preserve"> WECA SOC material records benefits realisation, evaluation and monitoring planning as part of later OBC work (SRC-WECA-0008 lines 9835-9899).</w:t>
      </w:r>
    </w:p>
    <w:p>
      <w:r>
        <w:rPr>
          <w:rFonts w:ascii="Calibri" w:hAnsi="Calibri"/>
          <w:b/>
        </w:rPr>
        <w:t>Proposal.</w:t>
      </w:r>
      <w:r>
        <w:rPr>
          <w:rFonts w:ascii="Calibri" w:hAnsi="Calibri"/>
        </w:rPr>
        <w:t xml:space="preserve"> Future benefits should be separated into:</w:t>
      </w:r>
    </w:p>
    <w:p>
      <w:pPr>
        <w:pStyle w:val="ListBullet"/>
      </w:pPr>
      <w:r>
        <w:rPr>
          <w:rFonts w:ascii="Calibri" w:hAnsi="Calibri"/>
        </w:rPr>
        <w:t>transport network performance;</w:t>
      </w:r>
    </w:p>
    <w:p>
      <w:pPr>
        <w:pStyle w:val="ListBullet"/>
      </w:pPr>
      <w:r>
        <w:rPr>
          <w:rFonts w:ascii="Calibri" w:hAnsi="Calibri"/>
        </w:rPr>
        <w:t>mode shift and travel behaviour;</w:t>
      </w:r>
    </w:p>
    <w:p>
      <w:pPr>
        <w:pStyle w:val="ListBullet"/>
      </w:pPr>
      <w:r>
        <w:rPr>
          <w:rFonts w:ascii="Calibri" w:hAnsi="Calibri"/>
        </w:rPr>
        <w:t>public transport, walking and cycling uptake;</w:t>
      </w:r>
    </w:p>
    <w:p>
      <w:pPr>
        <w:pStyle w:val="ListBullet"/>
      </w:pPr>
      <w:r>
        <w:rPr>
          <w:rFonts w:ascii="Calibri" w:hAnsi="Calibri"/>
        </w:rPr>
        <w:t>carbon, air-quality and health effects;</w:t>
      </w:r>
    </w:p>
    <w:p>
      <w:pPr>
        <w:pStyle w:val="ListBullet"/>
      </w:pPr>
      <w:r>
        <w:rPr>
          <w:rFonts w:ascii="Calibri" w:hAnsi="Calibri"/>
        </w:rPr>
        <w:t>local economy and employer impacts;</w:t>
      </w:r>
    </w:p>
    <w:p>
      <w:pPr>
        <w:pStyle w:val="ListBullet"/>
      </w:pPr>
      <w:r>
        <w:rPr>
          <w:rFonts w:ascii="Calibri" w:hAnsi="Calibri"/>
        </w:rPr>
        <w:t>parking displacement and mitigation performance;</w:t>
      </w:r>
    </w:p>
    <w:p>
      <w:pPr>
        <w:pStyle w:val="ListBullet"/>
      </w:pPr>
      <w:r>
        <w:rPr>
          <w:rFonts w:ascii="Calibri" w:hAnsi="Calibri"/>
        </w:rPr>
        <w:t>revenue allocation and delivery of transport schemes;</w:t>
      </w:r>
    </w:p>
    <w:p>
      <w:pPr>
        <w:pStyle w:val="ListBullet"/>
      </w:pPr>
      <w:r>
        <w:rPr>
          <w:rFonts w:ascii="Calibri" w:hAnsi="Calibri"/>
        </w:rPr>
        <w:t>service performance and compliance;</w:t>
      </w:r>
    </w:p>
    <w:p>
      <w:pPr>
        <w:pStyle w:val="ListBullet"/>
      </w:pPr>
      <w:r>
        <w:rPr>
          <w:rFonts w:ascii="Calibri" w:hAnsi="Calibri"/>
        </w:rPr>
        <w:t>equality and distributional outcomes.</w:t>
      </w:r>
    </w:p>
    <w:p>
      <w:r>
        <w:rPr>
          <w:rFonts w:ascii="Calibri" w:hAnsi="Calibri"/>
          <w:b/>
        </w:rPr>
        <w:t>Gap.</w:t>
      </w:r>
      <w:r>
        <w:rPr>
          <w:rFonts w:ascii="Calibri" w:hAnsi="Calibri"/>
        </w:rPr>
        <w:t xml:space="preserve"> No benefits baseline, benefits map, logic model, monitoring plan, evaluation plan or quantified benefits table exists.</w:t>
      </w:r>
    </w:p>
    <w:p>
      <w:pPr>
        <w:pStyle w:val="Heading2"/>
      </w:pPr>
      <w:r>
        <w:t>13. Appendices For Future Officer Editing</w:t>
      </w:r>
    </w:p>
    <w:p>
      <w:pPr>
        <w:pStyle w:val="Heading3"/>
      </w:pPr>
      <w:r>
        <w:t>Appendix A: Minimum Evidence Pack</w:t>
      </w:r>
    </w:p>
    <w:tbl>
      <w:tblPr>
        <w:tblStyle w:val="TableGrid"/>
        <w:tblW w:type="auto" w:w="0"/>
        <w:tblLayout w:type="autofit"/>
        <w:tblLook w:firstColumn="1" w:firstRow="1" w:lastColumn="0" w:lastRow="0" w:noHBand="0" w:noVBand="1" w:val="04A0"/>
      </w:tblPr>
      <w:tblGrid>
        <w:gridCol w:w="4680"/>
        <w:gridCol w:w="4680"/>
      </w:tblGrid>
      <w:tr>
        <w:trPr>
          <w:tblHeader w:val="true"/>
        </w:trPr>
        <w:tc>
          <w:tcPr>
            <w:tcW w:type="dxa" w:w="4680"/>
            <w:vAlign w:val="center"/>
            <w:tcMar>
              <w:top w:w="80" w:type="dxa"/>
              <w:start w:w="120" w:type="dxa"/>
              <w:bottom w:w="80" w:type="dxa"/>
              <w:end w:w="120" w:type="dxa"/>
            </w:tcMar>
            <w:shd w:fill="F2F4F7"/>
          </w:tcPr>
          <w:p>
            <w:pPr>
              <w:spacing w:after="0"/>
            </w:pPr>
            <w:r>
              <w:rPr>
                <w:rFonts w:ascii="Calibri" w:hAnsi="Calibri"/>
                <w:b/>
                <w:sz w:val="20"/>
              </w:rPr>
              <w:t>Evidence pack</w:t>
            </w:r>
          </w:p>
        </w:tc>
        <w:tc>
          <w:tcPr>
            <w:tcW w:type="dxa" w:w="4680"/>
            <w:vAlign w:val="center"/>
            <w:tcMar>
              <w:top w:w="80" w:type="dxa"/>
              <w:start w:w="120" w:type="dxa"/>
              <w:bottom w:w="80" w:type="dxa"/>
              <w:end w:w="120" w:type="dxa"/>
            </w:tcMar>
            <w:shd w:fill="F2F4F7"/>
          </w:tcPr>
          <w:p>
            <w:pPr>
              <w:spacing w:after="0"/>
            </w:pPr>
            <w:r>
              <w:rPr>
                <w:rFonts w:ascii="Calibri" w:hAnsi="Calibri"/>
                <w:b/>
                <w:sz w:val="20"/>
              </w:rPr>
              <w:t>Required before reliance</w:t>
            </w:r>
          </w:p>
        </w:tc>
      </w:tr>
      <w:tr>
        <w:tc>
          <w:tcPr>
            <w:tcW w:type="dxa" w:w="4680"/>
            <w:vAlign w:val="center"/>
            <w:tcMar>
              <w:top w:w="80" w:type="dxa"/>
              <w:start w:w="120" w:type="dxa"/>
              <w:bottom w:w="80" w:type="dxa"/>
              <w:end w:w="120" w:type="dxa"/>
            </w:tcMar>
          </w:tcPr>
          <w:p>
            <w:pPr>
              <w:spacing w:after="0"/>
            </w:pPr>
            <w:r>
              <w:rPr>
                <w:rFonts w:ascii="Calibri" w:hAnsi="Calibri"/>
                <w:sz w:val="20"/>
              </w:rPr>
              <w:t>Legal and governance</w:t>
            </w:r>
          </w:p>
        </w:tc>
        <w:tc>
          <w:tcPr>
            <w:tcW w:type="dxa" w:w="4680"/>
            <w:vAlign w:val="center"/>
            <w:tcMar>
              <w:top w:w="80" w:type="dxa"/>
              <w:start w:w="120" w:type="dxa"/>
              <w:bottom w:w="80" w:type="dxa"/>
              <w:end w:w="120" w:type="dxa"/>
            </w:tcMar>
          </w:tcPr>
          <w:p>
            <w:pPr>
              <w:spacing w:after="0"/>
            </w:pPr>
            <w:r>
              <w:rPr>
                <w:rFonts w:ascii="Calibri" w:hAnsi="Calibri"/>
                <w:sz w:val="20"/>
              </w:rPr>
              <w:t>Statutory powers, order-maker, submitter, signatory, DfT route, WECA/MCA role</w:t>
            </w:r>
          </w:p>
        </w:tc>
      </w:tr>
      <w:tr>
        <w:tc>
          <w:tcPr>
            <w:tcW w:type="dxa" w:w="4680"/>
            <w:vAlign w:val="center"/>
            <w:tcMar>
              <w:top w:w="80" w:type="dxa"/>
              <w:start w:w="120" w:type="dxa"/>
              <w:bottom w:w="80" w:type="dxa"/>
              <w:end w:w="120" w:type="dxa"/>
            </w:tcMar>
          </w:tcPr>
          <w:p>
            <w:pPr>
              <w:spacing w:after="0"/>
            </w:pPr>
            <w:r>
              <w:rPr>
                <w:rFonts w:ascii="Calibri" w:hAnsi="Calibri"/>
                <w:sz w:val="20"/>
              </w:rPr>
              <w:t>Spatial</w:t>
            </w:r>
          </w:p>
        </w:tc>
        <w:tc>
          <w:tcPr>
            <w:tcW w:type="dxa" w:w="4680"/>
            <w:vAlign w:val="center"/>
            <w:tcMar>
              <w:top w:w="80" w:type="dxa"/>
              <w:start w:w="120" w:type="dxa"/>
              <w:bottom w:w="80" w:type="dxa"/>
              <w:end w:w="120" w:type="dxa"/>
            </w:tcMar>
          </w:tcPr>
          <w:p>
            <w:pPr>
              <w:spacing w:after="0"/>
            </w:pPr>
            <w:r>
              <w:rPr>
                <w:rFonts w:ascii="Calibri" w:hAnsi="Calibri"/>
                <w:sz w:val="20"/>
              </w:rPr>
              <w:t>Boundary, workplace parking inventory, edge analysis, controlled parking baseline</w:t>
            </w:r>
          </w:p>
        </w:tc>
      </w:tr>
      <w:tr>
        <w:tc>
          <w:tcPr>
            <w:tcW w:type="dxa" w:w="4680"/>
            <w:vAlign w:val="center"/>
            <w:tcMar>
              <w:top w:w="80" w:type="dxa"/>
              <w:start w:w="120" w:type="dxa"/>
              <w:bottom w:w="80" w:type="dxa"/>
              <w:end w:w="120" w:type="dxa"/>
            </w:tcMar>
          </w:tcPr>
          <w:p>
            <w:pPr>
              <w:spacing w:after="0"/>
            </w:pPr>
            <w:r>
              <w:rPr>
                <w:rFonts w:ascii="Calibri" w:hAnsi="Calibri"/>
                <w:sz w:val="20"/>
              </w:rPr>
              <w:t>Appraisal</w:t>
            </w:r>
          </w:p>
        </w:tc>
        <w:tc>
          <w:tcPr>
            <w:tcW w:type="dxa" w:w="4680"/>
            <w:vAlign w:val="center"/>
            <w:tcMar>
              <w:top w:w="80" w:type="dxa"/>
              <w:start w:w="120" w:type="dxa"/>
              <w:bottom w:w="80" w:type="dxa"/>
              <w:end w:w="120" w:type="dxa"/>
            </w:tcMar>
          </w:tcPr>
          <w:p>
            <w:pPr>
              <w:spacing w:after="0"/>
            </w:pPr>
            <w:r>
              <w:rPr>
                <w:rFonts w:ascii="Calibri" w:hAnsi="Calibri"/>
                <w:sz w:val="20"/>
              </w:rPr>
              <w:t>OAR, ASR, ASST, model cards, demand and displacement models, BCR/VFM analysis</w:t>
            </w:r>
          </w:p>
        </w:tc>
      </w:tr>
      <w:tr>
        <w:tc>
          <w:tcPr>
            <w:tcW w:type="dxa" w:w="4680"/>
            <w:vAlign w:val="center"/>
            <w:tcMar>
              <w:top w:w="80" w:type="dxa"/>
              <w:start w:w="120" w:type="dxa"/>
              <w:bottom w:w="80" w:type="dxa"/>
              <w:end w:w="120" w:type="dxa"/>
            </w:tcMar>
          </w:tcPr>
          <w:p>
            <w:pPr>
              <w:spacing w:after="0"/>
            </w:pPr>
            <w:r>
              <w:rPr>
                <w:rFonts w:ascii="Calibri" w:hAnsi="Calibri"/>
                <w:sz w:val="20"/>
              </w:rPr>
              <w:t>Finance</w:t>
            </w:r>
          </w:p>
        </w:tc>
        <w:tc>
          <w:tcPr>
            <w:tcW w:type="dxa" w:w="4680"/>
            <w:vAlign w:val="center"/>
            <w:tcMar>
              <w:top w:w="80" w:type="dxa"/>
              <w:start w:w="120" w:type="dxa"/>
              <w:bottom w:w="80" w:type="dxa"/>
              <w:end w:w="120" w:type="dxa"/>
            </w:tcMar>
          </w:tcPr>
          <w:p>
            <w:pPr>
              <w:spacing w:after="0"/>
            </w:pPr>
            <w:r>
              <w:rPr>
                <w:rFonts w:ascii="Calibri" w:hAnsi="Calibri"/>
                <w:sz w:val="20"/>
              </w:rPr>
              <w:t>Charge base, costs, revenue, net proceeds, affordability, S151 review</w:t>
            </w:r>
          </w:p>
        </w:tc>
      </w:tr>
      <w:tr>
        <w:tc>
          <w:tcPr>
            <w:tcW w:type="dxa" w:w="4680"/>
            <w:vAlign w:val="center"/>
            <w:tcMar>
              <w:top w:w="80" w:type="dxa"/>
              <w:start w:w="120" w:type="dxa"/>
              <w:bottom w:w="80" w:type="dxa"/>
              <w:end w:w="120" w:type="dxa"/>
            </w:tcMar>
          </w:tcPr>
          <w:p>
            <w:pPr>
              <w:spacing w:after="0"/>
            </w:pPr>
            <w:r>
              <w:rPr>
                <w:rFonts w:ascii="Calibri" w:hAnsi="Calibri"/>
                <w:sz w:val="20"/>
              </w:rPr>
              <w:t>Commercial</w:t>
            </w:r>
          </w:p>
        </w:tc>
        <w:tc>
          <w:tcPr>
            <w:tcW w:type="dxa" w:w="4680"/>
            <w:vAlign w:val="center"/>
            <w:tcMar>
              <w:top w:w="80" w:type="dxa"/>
              <w:start w:w="120" w:type="dxa"/>
              <w:bottom w:w="80" w:type="dxa"/>
              <w:end w:w="120" w:type="dxa"/>
            </w:tcMar>
          </w:tcPr>
          <w:p>
            <w:pPr>
              <w:spacing w:after="0"/>
            </w:pPr>
            <w:r>
              <w:rPr>
                <w:rFonts w:ascii="Calibri" w:hAnsi="Calibri"/>
                <w:sz w:val="20"/>
              </w:rPr>
              <w:t>Delivery model, procurement route, market evidence, contract strategy</w:t>
            </w:r>
          </w:p>
        </w:tc>
      </w:tr>
      <w:tr>
        <w:tc>
          <w:tcPr>
            <w:tcW w:type="dxa" w:w="4680"/>
            <w:vAlign w:val="center"/>
            <w:tcMar>
              <w:top w:w="80" w:type="dxa"/>
              <w:start w:w="120" w:type="dxa"/>
              <w:bottom w:w="80" w:type="dxa"/>
              <w:end w:w="120" w:type="dxa"/>
            </w:tcMar>
          </w:tcPr>
          <w:p>
            <w:pPr>
              <w:spacing w:after="0"/>
            </w:pPr>
            <w:r>
              <w:rPr>
                <w:rFonts w:ascii="Calibri" w:hAnsi="Calibri"/>
                <w:sz w:val="20"/>
              </w:rPr>
              <w:t>Operations</w:t>
            </w:r>
          </w:p>
        </w:tc>
        <w:tc>
          <w:tcPr>
            <w:tcW w:type="dxa" w:w="4680"/>
            <w:vAlign w:val="center"/>
            <w:tcMar>
              <w:top w:w="80" w:type="dxa"/>
              <w:start w:w="120" w:type="dxa"/>
              <w:bottom w:w="80" w:type="dxa"/>
              <w:end w:w="120" w:type="dxa"/>
            </w:tcMar>
          </w:tcPr>
          <w:p>
            <w:pPr>
              <w:spacing w:after="0"/>
            </w:pPr>
            <w:r>
              <w:rPr>
                <w:rFonts w:ascii="Calibri" w:hAnsi="Calibri"/>
                <w:sz w:val="20"/>
              </w:rPr>
              <w:t>Licensing, billing, enforcement, appeals, data, cyber, customer support</w:t>
            </w:r>
          </w:p>
        </w:tc>
      </w:tr>
      <w:tr>
        <w:tc>
          <w:tcPr>
            <w:tcW w:type="dxa" w:w="4680"/>
            <w:vAlign w:val="center"/>
            <w:tcMar>
              <w:top w:w="80" w:type="dxa"/>
              <w:start w:w="120" w:type="dxa"/>
              <w:bottom w:w="80" w:type="dxa"/>
              <w:end w:w="120" w:type="dxa"/>
            </w:tcMar>
          </w:tcPr>
          <w:p>
            <w:pPr>
              <w:spacing w:after="0"/>
            </w:pPr>
            <w:r>
              <w:rPr>
                <w:rFonts w:ascii="Calibri" w:hAnsi="Calibri"/>
                <w:sz w:val="20"/>
              </w:rPr>
              <w:t>Consultation and equalities</w:t>
            </w:r>
          </w:p>
        </w:tc>
        <w:tc>
          <w:tcPr>
            <w:tcW w:type="dxa" w:w="4680"/>
            <w:vAlign w:val="center"/>
            <w:tcMar>
              <w:top w:w="80" w:type="dxa"/>
              <w:start w:w="120" w:type="dxa"/>
              <w:bottom w:w="80" w:type="dxa"/>
              <w:end w:w="120" w:type="dxa"/>
            </w:tcMar>
          </w:tcPr>
          <w:p>
            <w:pPr>
              <w:spacing w:after="0"/>
            </w:pPr>
            <w:r>
              <w:rPr>
                <w:rFonts w:ascii="Calibri" w:hAnsi="Calibri"/>
                <w:sz w:val="20"/>
              </w:rPr>
              <w:t>Consultation plan, EqIA, privacy, accessibility, stakeholder analysis</w:t>
            </w:r>
          </w:p>
        </w:tc>
      </w:tr>
      <w:tr>
        <w:tc>
          <w:tcPr>
            <w:tcW w:type="dxa" w:w="4680"/>
            <w:vAlign w:val="center"/>
            <w:tcMar>
              <w:top w:w="80" w:type="dxa"/>
              <w:start w:w="120" w:type="dxa"/>
              <w:bottom w:w="80" w:type="dxa"/>
              <w:end w:w="120" w:type="dxa"/>
            </w:tcMar>
          </w:tcPr>
          <w:p>
            <w:pPr>
              <w:spacing w:after="0"/>
            </w:pPr>
            <w:r>
              <w:rPr>
                <w:rFonts w:ascii="Calibri" w:hAnsi="Calibri"/>
                <w:sz w:val="20"/>
              </w:rPr>
              <w:t>Statutory dossier</w:t>
            </w:r>
          </w:p>
        </w:tc>
        <w:tc>
          <w:tcPr>
            <w:tcW w:type="dxa" w:w="4680"/>
            <w:vAlign w:val="center"/>
            <w:tcMar>
              <w:top w:w="80" w:type="dxa"/>
              <w:start w:w="120" w:type="dxa"/>
              <w:bottom w:w="80" w:type="dxa"/>
              <w:end w:w="120" w:type="dxa"/>
            </w:tcMar>
          </w:tcPr>
          <w:p>
            <w:pPr>
              <w:spacing w:after="0"/>
            </w:pPr>
            <w:r>
              <w:rPr>
                <w:rFonts w:ascii="Calibri" w:hAnsi="Calibri"/>
                <w:sz w:val="20"/>
              </w:rPr>
              <w:t>Scheme order, consultation statement, confirmation route and supporting evidence</w:t>
            </w:r>
          </w:p>
        </w:tc>
      </w:tr>
    </w:tbl>
    <w:p/>
    <w:p>
      <w:pPr>
        <w:pStyle w:val="Heading3"/>
      </w:pPr>
      <w:r>
        <w:t>Appendix B: Future Officer Comment Boxes</w:t>
      </w:r>
    </w:p>
    <w:tbl>
      <w:tblPr>
        <w:tblStyle w:val="TableGrid"/>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center"/>
            <w:tcMar>
              <w:top w:w="80" w:type="dxa"/>
              <w:start w:w="120" w:type="dxa"/>
              <w:bottom w:w="80" w:type="dxa"/>
              <w:end w:w="120" w:type="dxa"/>
            </w:tcMar>
            <w:shd w:fill="F2F4F7"/>
          </w:tcPr>
          <w:p>
            <w:pPr>
              <w:spacing w:after="0"/>
            </w:pPr>
            <w:r>
              <w:rPr>
                <w:rFonts w:ascii="Calibri" w:hAnsi="Calibri"/>
                <w:b/>
                <w:sz w:val="20"/>
              </w:rPr>
              <w:t>Discipline</w:t>
            </w:r>
          </w:p>
        </w:tc>
        <w:tc>
          <w:tcPr>
            <w:tcW w:type="dxa" w:w="3120"/>
            <w:vAlign w:val="center"/>
            <w:tcMar>
              <w:top w:w="80" w:type="dxa"/>
              <w:start w:w="120" w:type="dxa"/>
              <w:bottom w:w="80" w:type="dxa"/>
              <w:end w:w="120" w:type="dxa"/>
            </w:tcMar>
            <w:shd w:fill="F2F4F7"/>
          </w:tcPr>
          <w:p>
            <w:pPr>
              <w:spacing w:after="0"/>
            </w:pPr>
            <w:r>
              <w:rPr>
                <w:rFonts w:ascii="Calibri" w:hAnsi="Calibri"/>
                <w:b/>
                <w:sz w:val="20"/>
              </w:rPr>
              <w:t>Simulated placeholder</w:t>
            </w:r>
          </w:p>
        </w:tc>
        <w:tc>
          <w:tcPr>
            <w:tcW w:type="dxa" w:w="3120"/>
            <w:vAlign w:val="center"/>
            <w:tcMar>
              <w:top w:w="80" w:type="dxa"/>
              <w:start w:w="120" w:type="dxa"/>
              <w:bottom w:w="80" w:type="dxa"/>
              <w:end w:w="120" w:type="dxa"/>
            </w:tcMar>
            <w:shd w:fill="F2F4F7"/>
          </w:tcPr>
          <w:p>
            <w:pPr>
              <w:spacing w:after="0"/>
            </w:pPr>
            <w:r>
              <w:rPr>
                <w:rFonts w:ascii="Calibri" w:hAnsi="Calibri"/>
                <w:b/>
                <w:sz w:val="20"/>
              </w:rPr>
              <w:t>Real-world replacement needed</w:t>
            </w:r>
          </w:p>
        </w:tc>
      </w:tr>
      <w:tr>
        <w:tc>
          <w:tcPr>
            <w:tcW w:type="dxa" w:w="3120"/>
            <w:vAlign w:val="center"/>
            <w:tcMar>
              <w:top w:w="80" w:type="dxa"/>
              <w:start w:w="120" w:type="dxa"/>
              <w:bottom w:w="80" w:type="dxa"/>
              <w:end w:w="120" w:type="dxa"/>
            </w:tcMar>
          </w:tcPr>
          <w:p>
            <w:pPr>
              <w:spacing w:after="0"/>
            </w:pPr>
            <w:r>
              <w:rPr>
                <w:rFonts w:ascii="Calibri" w:hAnsi="Calibri"/>
                <w:sz w:val="20"/>
              </w:rPr>
              <w:t>Legal</w:t>
            </w:r>
          </w:p>
        </w:tc>
        <w:tc>
          <w:tcPr>
            <w:tcW w:type="dxa" w:w="3120"/>
            <w:vAlign w:val="center"/>
            <w:tcMar>
              <w:top w:w="80" w:type="dxa"/>
              <w:start w:w="120" w:type="dxa"/>
              <w:bottom w:w="80" w:type="dxa"/>
              <w:end w:w="120" w:type="dxa"/>
            </w:tcMar>
          </w:tcPr>
          <w:p>
            <w:pPr>
              <w:spacing w:after="0"/>
            </w:pPr>
            <w:r>
              <w:rPr>
                <w:rFonts w:ascii="Calibri" w:hAnsi="Calibri"/>
                <w:sz w:val="20"/>
              </w:rPr>
              <w:t>Stage 32A Legal Agent conditions</w:t>
            </w:r>
          </w:p>
        </w:tc>
        <w:tc>
          <w:tcPr>
            <w:tcW w:type="dxa" w:w="3120"/>
            <w:vAlign w:val="center"/>
            <w:tcMar>
              <w:top w:w="80" w:type="dxa"/>
              <w:start w:w="120" w:type="dxa"/>
              <w:bottom w:w="80" w:type="dxa"/>
              <w:end w:w="120" w:type="dxa"/>
            </w:tcMar>
          </w:tcPr>
          <w:p>
            <w:pPr>
              <w:spacing w:after="0"/>
            </w:pPr>
            <w:r>
              <w:rPr>
                <w:rFonts w:ascii="Calibri" w:hAnsi="Calibri"/>
                <w:sz w:val="20"/>
              </w:rPr>
              <w:t>Monitoring Officer/legal services review</w:t>
            </w:r>
          </w:p>
        </w:tc>
      </w:tr>
      <w:tr>
        <w:tc>
          <w:tcPr>
            <w:tcW w:type="dxa" w:w="3120"/>
            <w:vAlign w:val="center"/>
            <w:tcMar>
              <w:top w:w="80" w:type="dxa"/>
              <w:start w:w="120" w:type="dxa"/>
              <w:bottom w:w="80" w:type="dxa"/>
              <w:end w:w="120" w:type="dxa"/>
            </w:tcMar>
          </w:tcPr>
          <w:p>
            <w:pPr>
              <w:spacing w:after="0"/>
            </w:pPr>
            <w:r>
              <w:rPr>
                <w:rFonts w:ascii="Calibri" w:hAnsi="Calibri"/>
                <w:sz w:val="20"/>
              </w:rPr>
              <w:t>Finance</w:t>
            </w:r>
          </w:p>
        </w:tc>
        <w:tc>
          <w:tcPr>
            <w:tcW w:type="dxa" w:w="3120"/>
            <w:vAlign w:val="center"/>
            <w:tcMar>
              <w:top w:w="80" w:type="dxa"/>
              <w:start w:w="120" w:type="dxa"/>
              <w:bottom w:w="80" w:type="dxa"/>
              <w:end w:w="120" w:type="dxa"/>
            </w:tcMar>
          </w:tcPr>
          <w:p>
            <w:pPr>
              <w:spacing w:after="0"/>
            </w:pPr>
            <w:r>
              <w:rPr>
                <w:rFonts w:ascii="Calibri" w:hAnsi="Calibri"/>
                <w:sz w:val="20"/>
              </w:rPr>
              <w:t>Stage 32A Finance Agent conditions</w:t>
            </w:r>
          </w:p>
        </w:tc>
        <w:tc>
          <w:tcPr>
            <w:tcW w:type="dxa" w:w="3120"/>
            <w:vAlign w:val="center"/>
            <w:tcMar>
              <w:top w:w="80" w:type="dxa"/>
              <w:start w:w="120" w:type="dxa"/>
              <w:bottom w:w="80" w:type="dxa"/>
              <w:end w:w="120" w:type="dxa"/>
            </w:tcMar>
          </w:tcPr>
          <w:p>
            <w:pPr>
              <w:spacing w:after="0"/>
            </w:pPr>
            <w:r>
              <w:rPr>
                <w:rFonts w:ascii="Calibri" w:hAnsi="Calibri"/>
                <w:sz w:val="20"/>
              </w:rPr>
              <w:t>Section 151/finance review</w:t>
            </w:r>
          </w:p>
        </w:tc>
      </w:tr>
      <w:tr>
        <w:tc>
          <w:tcPr>
            <w:tcW w:type="dxa" w:w="3120"/>
            <w:vAlign w:val="center"/>
            <w:tcMar>
              <w:top w:w="80" w:type="dxa"/>
              <w:start w:w="120" w:type="dxa"/>
              <w:bottom w:w="80" w:type="dxa"/>
              <w:end w:w="120" w:type="dxa"/>
            </w:tcMar>
          </w:tcPr>
          <w:p>
            <w:pPr>
              <w:spacing w:after="0"/>
            </w:pPr>
            <w:r>
              <w:rPr>
                <w:rFonts w:ascii="Calibri" w:hAnsi="Calibri"/>
                <w:sz w:val="20"/>
              </w:rPr>
              <w:t>Modelling</w:t>
            </w:r>
          </w:p>
        </w:tc>
        <w:tc>
          <w:tcPr>
            <w:tcW w:type="dxa" w:w="3120"/>
            <w:vAlign w:val="center"/>
            <w:tcMar>
              <w:top w:w="80" w:type="dxa"/>
              <w:start w:w="120" w:type="dxa"/>
              <w:bottom w:w="80" w:type="dxa"/>
              <w:end w:w="120" w:type="dxa"/>
            </w:tcMar>
          </w:tcPr>
          <w:p>
            <w:pPr>
              <w:spacing w:after="0"/>
            </w:pPr>
            <w:r>
              <w:rPr>
                <w:rFonts w:ascii="Calibri" w:hAnsi="Calibri"/>
                <w:sz w:val="20"/>
              </w:rPr>
              <w:t>Stage 32A Appraisal Agent conditions</w:t>
            </w:r>
          </w:p>
        </w:tc>
        <w:tc>
          <w:tcPr>
            <w:tcW w:type="dxa" w:w="3120"/>
            <w:vAlign w:val="center"/>
            <w:tcMar>
              <w:top w:w="80" w:type="dxa"/>
              <w:start w:w="120" w:type="dxa"/>
              <w:bottom w:w="80" w:type="dxa"/>
              <w:end w:w="120" w:type="dxa"/>
            </w:tcMar>
          </w:tcPr>
          <w:p>
            <w:pPr>
              <w:spacing w:after="0"/>
            </w:pPr>
            <w:r>
              <w:rPr>
                <w:rFonts w:ascii="Calibri" w:hAnsi="Calibri"/>
                <w:sz w:val="20"/>
              </w:rPr>
              <w:t>TAG/transport modelling review</w:t>
            </w:r>
          </w:p>
        </w:tc>
      </w:tr>
      <w:tr>
        <w:tc>
          <w:tcPr>
            <w:tcW w:type="dxa" w:w="3120"/>
            <w:vAlign w:val="center"/>
            <w:tcMar>
              <w:top w:w="80" w:type="dxa"/>
              <w:start w:w="120" w:type="dxa"/>
              <w:bottom w:w="80" w:type="dxa"/>
              <w:end w:w="120" w:type="dxa"/>
            </w:tcMar>
          </w:tcPr>
          <w:p>
            <w:pPr>
              <w:spacing w:after="0"/>
            </w:pPr>
            <w:r>
              <w:rPr>
                <w:rFonts w:ascii="Calibri" w:hAnsi="Calibri"/>
                <w:sz w:val="20"/>
              </w:rPr>
              <w:t>Equalities</w:t>
            </w:r>
          </w:p>
        </w:tc>
        <w:tc>
          <w:tcPr>
            <w:tcW w:type="dxa" w:w="3120"/>
            <w:vAlign w:val="center"/>
            <w:tcMar>
              <w:top w:w="80" w:type="dxa"/>
              <w:start w:w="120" w:type="dxa"/>
              <w:bottom w:w="80" w:type="dxa"/>
              <w:end w:w="120" w:type="dxa"/>
            </w:tcMar>
          </w:tcPr>
          <w:p>
            <w:pPr>
              <w:spacing w:after="0"/>
            </w:pPr>
            <w:r>
              <w:rPr>
                <w:rFonts w:ascii="Calibri" w:hAnsi="Calibri"/>
                <w:sz w:val="20"/>
              </w:rPr>
              <w:t>Stage 32A EqIA Agent conditions</w:t>
            </w:r>
          </w:p>
        </w:tc>
        <w:tc>
          <w:tcPr>
            <w:tcW w:type="dxa" w:w="3120"/>
            <w:vAlign w:val="center"/>
            <w:tcMar>
              <w:top w:w="80" w:type="dxa"/>
              <w:start w:w="120" w:type="dxa"/>
              <w:bottom w:w="80" w:type="dxa"/>
              <w:end w:w="120" w:type="dxa"/>
            </w:tcMar>
          </w:tcPr>
          <w:p>
            <w:pPr>
              <w:spacing w:after="0"/>
            </w:pPr>
            <w:r>
              <w:rPr>
                <w:rFonts w:ascii="Calibri" w:hAnsi="Calibri"/>
                <w:sz w:val="20"/>
              </w:rPr>
              <w:t>Equalities and public-sector equality duty review</w:t>
            </w:r>
          </w:p>
        </w:tc>
      </w:tr>
      <w:tr>
        <w:tc>
          <w:tcPr>
            <w:tcW w:type="dxa" w:w="3120"/>
            <w:vAlign w:val="center"/>
            <w:tcMar>
              <w:top w:w="80" w:type="dxa"/>
              <w:start w:w="120" w:type="dxa"/>
              <w:bottom w:w="80" w:type="dxa"/>
              <w:end w:w="120" w:type="dxa"/>
            </w:tcMar>
          </w:tcPr>
          <w:p>
            <w:pPr>
              <w:spacing w:after="0"/>
            </w:pPr>
            <w:r>
              <w:rPr>
                <w:rFonts w:ascii="Calibri" w:hAnsi="Calibri"/>
                <w:sz w:val="20"/>
              </w:rPr>
              <w:t>Consultation</w:t>
            </w:r>
          </w:p>
        </w:tc>
        <w:tc>
          <w:tcPr>
            <w:tcW w:type="dxa" w:w="3120"/>
            <w:vAlign w:val="center"/>
            <w:tcMar>
              <w:top w:w="80" w:type="dxa"/>
              <w:start w:w="120" w:type="dxa"/>
              <w:bottom w:w="80" w:type="dxa"/>
              <w:end w:w="120" w:type="dxa"/>
            </w:tcMar>
          </w:tcPr>
          <w:p>
            <w:pPr>
              <w:spacing w:after="0"/>
            </w:pPr>
            <w:r>
              <w:rPr>
                <w:rFonts w:ascii="Calibri" w:hAnsi="Calibri"/>
                <w:sz w:val="20"/>
              </w:rPr>
              <w:t>Stage 32A Consultation Agent conditions</w:t>
            </w:r>
          </w:p>
        </w:tc>
        <w:tc>
          <w:tcPr>
            <w:tcW w:type="dxa" w:w="3120"/>
            <w:vAlign w:val="center"/>
            <w:tcMar>
              <w:top w:w="80" w:type="dxa"/>
              <w:start w:w="120" w:type="dxa"/>
              <w:bottom w:w="80" w:type="dxa"/>
              <w:end w:w="120" w:type="dxa"/>
            </w:tcMar>
          </w:tcPr>
          <w:p>
            <w:pPr>
              <w:spacing w:after="0"/>
            </w:pPr>
            <w:r>
              <w:rPr>
                <w:rFonts w:ascii="Calibri" w:hAnsi="Calibri"/>
                <w:sz w:val="20"/>
              </w:rPr>
              <w:t>Public-law consultation review</w:t>
            </w:r>
          </w:p>
        </w:tc>
      </w:tr>
      <w:tr>
        <w:tc>
          <w:tcPr>
            <w:tcW w:type="dxa" w:w="3120"/>
            <w:vAlign w:val="center"/>
            <w:tcMar>
              <w:top w:w="80" w:type="dxa"/>
              <w:start w:w="120" w:type="dxa"/>
              <w:bottom w:w="80" w:type="dxa"/>
              <w:end w:w="120" w:type="dxa"/>
            </w:tcMar>
          </w:tcPr>
          <w:p>
            <w:pPr>
              <w:spacing w:after="0"/>
            </w:pPr>
            <w:r>
              <w:rPr>
                <w:rFonts w:ascii="Calibri" w:hAnsi="Calibri"/>
                <w:sz w:val="20"/>
              </w:rPr>
              <w:t>Data</w:t>
            </w:r>
          </w:p>
        </w:tc>
        <w:tc>
          <w:tcPr>
            <w:tcW w:type="dxa" w:w="3120"/>
            <w:vAlign w:val="center"/>
            <w:tcMar>
              <w:top w:w="80" w:type="dxa"/>
              <w:start w:w="120" w:type="dxa"/>
              <w:bottom w:w="80" w:type="dxa"/>
              <w:end w:w="120" w:type="dxa"/>
            </w:tcMar>
          </w:tcPr>
          <w:p>
            <w:pPr>
              <w:spacing w:after="0"/>
            </w:pPr>
            <w:r>
              <w:rPr>
                <w:rFonts w:ascii="Calibri" w:hAnsi="Calibri"/>
                <w:sz w:val="20"/>
              </w:rPr>
              <w:t>Stage 32A Data Agent conditions</w:t>
            </w:r>
          </w:p>
        </w:tc>
        <w:tc>
          <w:tcPr>
            <w:tcW w:type="dxa" w:w="3120"/>
            <w:vAlign w:val="center"/>
            <w:tcMar>
              <w:top w:w="80" w:type="dxa"/>
              <w:start w:w="120" w:type="dxa"/>
              <w:bottom w:w="80" w:type="dxa"/>
              <w:end w:w="120" w:type="dxa"/>
            </w:tcMar>
          </w:tcPr>
          <w:p>
            <w:pPr>
              <w:spacing w:after="0"/>
            </w:pPr>
            <w:r>
              <w:rPr>
                <w:rFonts w:ascii="Calibri" w:hAnsi="Calibri"/>
                <w:sz w:val="20"/>
              </w:rPr>
              <w:t>DPIA, cyber and information governance review</w:t>
            </w:r>
          </w:p>
        </w:tc>
      </w:tr>
      <w:tr>
        <w:tc>
          <w:tcPr>
            <w:tcW w:type="dxa" w:w="3120"/>
            <w:vAlign w:val="center"/>
            <w:tcMar>
              <w:top w:w="80" w:type="dxa"/>
              <w:start w:w="120" w:type="dxa"/>
              <w:bottom w:w="80" w:type="dxa"/>
              <w:end w:w="120" w:type="dxa"/>
            </w:tcMar>
          </w:tcPr>
          <w:p>
            <w:pPr>
              <w:spacing w:after="0"/>
            </w:pPr>
            <w:r>
              <w:rPr>
                <w:rFonts w:ascii="Calibri" w:hAnsi="Calibri"/>
                <w:sz w:val="20"/>
              </w:rPr>
              <w:t>Commercial</w:t>
            </w:r>
          </w:p>
        </w:tc>
        <w:tc>
          <w:tcPr>
            <w:tcW w:type="dxa" w:w="3120"/>
            <w:vAlign w:val="center"/>
            <w:tcMar>
              <w:top w:w="80" w:type="dxa"/>
              <w:start w:w="120" w:type="dxa"/>
              <w:bottom w:w="80" w:type="dxa"/>
              <w:end w:w="120" w:type="dxa"/>
            </w:tcMar>
          </w:tcPr>
          <w:p>
            <w:pPr>
              <w:spacing w:after="0"/>
            </w:pPr>
            <w:r>
              <w:rPr>
                <w:rFonts w:ascii="Calibri" w:hAnsi="Calibri"/>
                <w:sz w:val="20"/>
              </w:rPr>
              <w:t>Stage 32A Commercial Agent conditions</w:t>
            </w:r>
          </w:p>
        </w:tc>
        <w:tc>
          <w:tcPr>
            <w:tcW w:type="dxa" w:w="3120"/>
            <w:vAlign w:val="center"/>
            <w:tcMar>
              <w:top w:w="80" w:type="dxa"/>
              <w:start w:w="120" w:type="dxa"/>
              <w:bottom w:w="80" w:type="dxa"/>
              <w:end w:w="120" w:type="dxa"/>
            </w:tcMar>
          </w:tcPr>
          <w:p>
            <w:pPr>
              <w:spacing w:after="0"/>
            </w:pPr>
            <w:r>
              <w:rPr>
                <w:rFonts w:ascii="Calibri" w:hAnsi="Calibri"/>
                <w:sz w:val="20"/>
              </w:rPr>
              <w:t>Procurement and contract review</w:t>
            </w:r>
          </w:p>
        </w:tc>
      </w:tr>
      <w:tr>
        <w:tc>
          <w:tcPr>
            <w:tcW w:type="dxa" w:w="3120"/>
            <w:vAlign w:val="center"/>
            <w:tcMar>
              <w:top w:w="80" w:type="dxa"/>
              <w:start w:w="120" w:type="dxa"/>
              <w:bottom w:w="80" w:type="dxa"/>
              <w:end w:w="120" w:type="dxa"/>
            </w:tcMar>
          </w:tcPr>
          <w:p>
            <w:pPr>
              <w:spacing w:after="0"/>
            </w:pPr>
            <w:r>
              <w:rPr>
                <w:rFonts w:ascii="Calibri" w:hAnsi="Calibri"/>
                <w:sz w:val="20"/>
              </w:rPr>
              <w:t>Programme</w:t>
            </w:r>
          </w:p>
        </w:tc>
        <w:tc>
          <w:tcPr>
            <w:tcW w:type="dxa" w:w="3120"/>
            <w:vAlign w:val="center"/>
            <w:tcMar>
              <w:top w:w="80" w:type="dxa"/>
              <w:start w:w="120" w:type="dxa"/>
              <w:bottom w:w="80" w:type="dxa"/>
              <w:end w:w="120" w:type="dxa"/>
            </w:tcMar>
          </w:tcPr>
          <w:p>
            <w:pPr>
              <w:spacing w:after="0"/>
            </w:pPr>
            <w:r>
              <w:rPr>
                <w:rFonts w:ascii="Calibri" w:hAnsi="Calibri"/>
                <w:sz w:val="20"/>
              </w:rPr>
              <w:t>Stage 32A Delivery Agent conditions</w:t>
            </w:r>
          </w:p>
        </w:tc>
        <w:tc>
          <w:tcPr>
            <w:tcW w:type="dxa" w:w="3120"/>
            <w:vAlign w:val="center"/>
            <w:tcMar>
              <w:top w:w="80" w:type="dxa"/>
              <w:start w:w="120" w:type="dxa"/>
              <w:bottom w:w="80" w:type="dxa"/>
              <w:end w:w="120" w:type="dxa"/>
            </w:tcMar>
          </w:tcPr>
          <w:p>
            <w:pPr>
              <w:spacing w:after="0"/>
            </w:pPr>
            <w:r>
              <w:rPr>
                <w:rFonts w:ascii="Calibri" w:hAnsi="Calibri"/>
                <w:sz w:val="20"/>
              </w:rPr>
              <w:t>Accountable programme board review</w:t>
            </w:r>
          </w:p>
        </w:tc>
      </w:tr>
    </w:tbl>
    <w:p/>
    <w:p>
      <w:pPr>
        <w:pStyle w:val="Heading3"/>
      </w:pPr>
      <w:r>
        <w:t>Appendix C: Editorial Rules</w:t>
      </w:r>
    </w:p>
    <w:p>
      <w:r>
        <w:rPr>
          <w:rFonts w:ascii="Calibri" w:hAnsi="Calibri"/>
        </w:rPr>
        <w:t>Future editors must:</w:t>
      </w:r>
    </w:p>
    <w:p>
      <w:pPr>
        <w:pStyle w:val="ListBullet"/>
      </w:pPr>
      <w:r>
        <w:rPr>
          <w:rFonts w:ascii="Calibri" w:hAnsi="Calibri"/>
        </w:rPr>
        <w:t>keep the Stage 32A status formula unless the file is replaced by a real-world document;</w:t>
      </w:r>
    </w:p>
    <w:p>
      <w:pPr>
        <w:pStyle w:val="ListBullet"/>
      </w:pPr>
      <w:r>
        <w:rPr>
          <w:rFonts w:ascii="Calibri" w:hAnsi="Calibri"/>
        </w:rPr>
        <w:t>preserve source IDs and line references for material claims;</w:t>
      </w:r>
    </w:p>
    <w:p>
      <w:pPr>
        <w:pStyle w:val="ListBullet"/>
      </w:pPr>
      <w:r>
        <w:rPr>
          <w:rFonts w:ascii="Calibri" w:hAnsi="Calibri"/>
        </w:rPr>
        <w:t>label assumptions, proposals, inferences and gaps;</w:t>
      </w:r>
    </w:p>
    <w:p>
      <w:pPr>
        <w:pStyle w:val="ListBullet"/>
      </w:pPr>
      <w:r>
        <w:rPr>
          <w:rFonts w:ascii="Calibri" w:hAnsi="Calibri"/>
        </w:rPr>
        <w:t>avoid turning source existence into approval, endorsement or readiness;</w:t>
      </w:r>
    </w:p>
    <w:p>
      <w:pPr>
        <w:pStyle w:val="ListBullet"/>
      </w:pPr>
      <w:r>
        <w:rPr>
          <w:rFonts w:ascii="Calibri" w:hAnsi="Calibri"/>
        </w:rPr>
        <w:t>keep WECA/MCA references tagged by trigger type;</w:t>
      </w:r>
    </w:p>
    <w:p>
      <w:pPr>
        <w:pStyle w:val="ListBullet"/>
      </w:pPr>
      <w:r>
        <w:rPr>
          <w:rFonts w:ascii="Calibri" w:hAnsi="Calibri"/>
        </w:rPr>
        <w:t>avoid authored PDF officer-distribution outputs;</w:t>
      </w:r>
    </w:p>
    <w:p>
      <w:pPr>
        <w:pStyle w:val="ListBullet"/>
      </w:pPr>
      <w:r>
        <w:rPr>
          <w:rFonts w:ascii="Calibri" w:hAnsi="Calibri"/>
        </w:rPr>
        <w:t>update registers and validators when new claims are added.</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7"/>
      </w:rPr>
      <w:t>Simulation-only document pack. Not an approved OBC, officer advice, consultation material or statutory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4B5563"/>
        <w:sz w:val="18"/>
      </w:rPr>
      <w:t>Bristol WPL OBC simulation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