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2E" w:rsidRPr="00F1142E" w:rsidRDefault="00F1142E" w:rsidP="00F1142E">
      <w:pPr>
        <w:spacing w:before="100" w:beforeAutospacing="1" w:after="285" w:line="240" w:lineRule="auto"/>
        <w:ind w:left="571"/>
        <w:outlineLvl w:val="2"/>
        <w:rPr>
          <w:rFonts w:ascii="Arial" w:eastAsia="Times New Roman" w:hAnsi="Arial" w:cs="Arial"/>
          <w:color w:val="000000"/>
          <w:sz w:val="46"/>
          <w:szCs w:val="46"/>
        </w:rPr>
      </w:pPr>
      <w:r w:rsidRPr="00F1142E">
        <w:rPr>
          <w:rFonts w:ascii="Arial" w:eastAsia="Times New Roman" w:hAnsi="Arial" w:cs="Arial"/>
          <w:color w:val="000000"/>
          <w:sz w:val="46"/>
          <w:szCs w:val="46"/>
        </w:rPr>
        <w:t>Tuxedo Configuration File</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0" w:name="wp1168378"/>
      <w:bookmarkEnd w:id="0"/>
      <w:r w:rsidRPr="00F1142E">
        <w:rPr>
          <w:rFonts w:ascii="Verdana" w:eastAsia="Times New Roman" w:hAnsi="Verdana" w:cs="Times New Roman"/>
          <w:color w:val="000000"/>
          <w:sz w:val="20"/>
          <w:szCs w:val="20"/>
        </w:rPr>
        <w:t>Each BEA Tuxedo domain is controlled by a configuration file in which installation-dependent parameters are defined. The text version of the configuration file is referred to as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although the configuration file may have any name, as long as the content of the file conforms to the format described on reference page UBBCON</w:t>
      </w:r>
      <w:r w:rsidRPr="00F1142E">
        <w:rPr>
          <w:rFonts w:ascii="Courier New" w:eastAsia="Times New Roman" w:hAnsi="Courier New" w:cs="Courier New"/>
          <w:color w:val="0076CC"/>
          <w:sz w:val="20"/>
          <w:szCs w:val="20"/>
          <w:shd w:val="clear" w:color="auto" w:fill="FFFFFF"/>
        </w:rPr>
        <w:t> </w:t>
      </w:r>
      <w:r w:rsidRPr="00F1142E">
        <w:rPr>
          <w:rFonts w:ascii="Verdana" w:eastAsia="Times New Roman" w:hAnsi="Verdana" w:cs="Times New Roman"/>
          <w:color w:val="0076CC"/>
          <w:sz w:val="20"/>
          <w:szCs w:val="20"/>
          <w:shd w:val="clear" w:color="auto" w:fill="FFFFFF"/>
        </w:rPr>
        <w:t>FIG(5)</w:t>
      </w:r>
      <w:r w:rsidRPr="00F1142E">
        <w:rPr>
          <w:rFonts w:ascii="Verdana" w:eastAsia="Times New Roman" w:hAnsi="Verdana" w:cs="Times New Roman"/>
          <w:color w:val="000000"/>
          <w:sz w:val="20"/>
          <w:szCs w:val="20"/>
        </w:rPr>
        <w:t>in</w:t>
      </w:r>
      <w:r w:rsidRPr="00F1142E">
        <w:rPr>
          <w:rFonts w:ascii="Verdana" w:eastAsia="Times New Roman" w:hAnsi="Verdana" w:cs="Times New Roman"/>
          <w:color w:val="0076CC"/>
          <w:sz w:val="20"/>
          <w:szCs w:val="20"/>
          <w:shd w:val="clear" w:color="auto" w:fill="FFFFFF"/>
        </w:rPr>
        <w:t> </w:t>
      </w:r>
      <w:hyperlink r:id="rId5" w:history="1">
        <w:r w:rsidRPr="00F1142E">
          <w:rPr>
            <w:rFonts w:ascii="Verdana" w:eastAsia="Times New Roman" w:hAnsi="Verdana" w:cs="Times New Roman"/>
            <w:i/>
            <w:iCs/>
            <w:color w:val="0076CC"/>
            <w:sz w:val="20"/>
            <w:szCs w:val="20"/>
          </w:rPr>
          <w:t>BEA Tuxedo File Formats, Data Descriptions, MIBs, and System Processes Reference</w:t>
        </w:r>
        <w:r w:rsidRPr="00F1142E">
          <w:rPr>
            <w:rFonts w:ascii="Verdana" w:eastAsia="Times New Roman" w:hAnsi="Verdana" w:cs="Times New Roman"/>
            <w:color w:val="0076CC"/>
            <w:sz w:val="20"/>
            <w:szCs w:val="20"/>
          </w:rPr>
          <w:t>. Typical configuration filenames begin with the string </w:t>
        </w:r>
        <w:proofErr w:type="spellStart"/>
        <w:r w:rsidRPr="00F1142E">
          <w:rPr>
            <w:rFonts w:ascii="Courier New" w:eastAsia="Times New Roman" w:hAnsi="Courier New" w:cs="Courier New"/>
            <w:color w:val="0076CC"/>
            <w:sz w:val="20"/>
            <w:szCs w:val="20"/>
          </w:rPr>
          <w:t>ubb</w:t>
        </w:r>
        <w:proofErr w:type="spellEnd"/>
        <w:r w:rsidRPr="00F1142E">
          <w:rPr>
            <w:rFonts w:ascii="Verdana" w:eastAsia="Times New Roman" w:hAnsi="Verdana" w:cs="Times New Roman"/>
            <w:color w:val="0076CC"/>
            <w:sz w:val="20"/>
            <w:szCs w:val="20"/>
          </w:rPr>
          <w:t>, followed by a mnemonic string, such as </w:t>
        </w:r>
        <w:r w:rsidRPr="00F1142E">
          <w:rPr>
            <w:rFonts w:ascii="Courier New" w:eastAsia="Times New Roman" w:hAnsi="Courier New" w:cs="Courier New"/>
            <w:color w:val="0076CC"/>
            <w:sz w:val="20"/>
            <w:szCs w:val="20"/>
          </w:rPr>
          <w:t>simple</w:t>
        </w:r>
        <w:r w:rsidRPr="00F1142E">
          <w:rPr>
            <w:rFonts w:ascii="Verdana" w:eastAsia="Times New Roman" w:hAnsi="Verdana" w:cs="Times New Roman"/>
            <w:color w:val="0076CC"/>
            <w:sz w:val="20"/>
            <w:szCs w:val="20"/>
          </w:rPr>
          <w:t> in the filename </w:t>
        </w:r>
        <w:proofErr w:type="spellStart"/>
        <w:r w:rsidRPr="00F1142E">
          <w:rPr>
            <w:rFonts w:ascii="Courier New" w:eastAsia="Times New Roman" w:hAnsi="Courier New" w:cs="Courier New"/>
            <w:color w:val="0076CC"/>
            <w:sz w:val="20"/>
            <w:szCs w:val="20"/>
          </w:rPr>
          <w:t>ubbsimple</w:t>
        </w:r>
        <w:proofErr w:type="spellEnd"/>
        <w:r w:rsidRPr="00F1142E">
          <w:rPr>
            <w:rFonts w:ascii="Verdana" w:eastAsia="Times New Roman" w:hAnsi="Verdana" w:cs="Times New Roman"/>
            <w:color w:val="0076CC"/>
            <w:sz w:val="20"/>
            <w:szCs w:val="20"/>
          </w:rPr>
          <w:t>.</w:t>
        </w:r>
      </w:hyperlink>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1" w:name="wp1205597"/>
      <w:bookmarkEnd w:id="1"/>
      <w:r w:rsidRPr="00F1142E">
        <w:rPr>
          <w:rFonts w:ascii="Verdana" w:eastAsia="Times New Roman" w:hAnsi="Verdana" w:cs="Times New Roman"/>
          <w:color w:val="000000"/>
          <w:sz w:val="20"/>
          <w:szCs w:val="20"/>
        </w:rPr>
        <w:t>The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file for a Tuxedo domain contains all the information necessary to boot the application, such as lists of its resources, machines, groups, servers, available services, and so on. It consists of nine sections, five of which are required for all configurations: </w:t>
      </w:r>
      <w:r w:rsidRPr="00F1142E">
        <w:rPr>
          <w:rFonts w:ascii="Courier New" w:eastAsia="Times New Roman" w:hAnsi="Courier New" w:cs="Courier New"/>
          <w:color w:val="000000"/>
          <w:sz w:val="20"/>
          <w:szCs w:val="20"/>
        </w:rPr>
        <w:t>RESOURCES</w:t>
      </w:r>
      <w:r w:rsidRPr="00F1142E">
        <w:rPr>
          <w:rFonts w:ascii="Verdana" w:eastAsia="Times New Roman" w:hAnsi="Verdana" w:cs="Times New Roman"/>
          <w:color w:val="000000"/>
          <w:sz w:val="20"/>
          <w:szCs w:val="20"/>
        </w:rPr>
        <w:t>, </w:t>
      </w:r>
      <w:r w:rsidRPr="00F1142E">
        <w:rPr>
          <w:rFonts w:ascii="Courier New" w:eastAsia="Times New Roman" w:hAnsi="Courier New" w:cs="Courier New"/>
          <w:color w:val="000000"/>
          <w:sz w:val="20"/>
          <w:szCs w:val="20"/>
        </w:rPr>
        <w:t>MACHINES</w:t>
      </w:r>
      <w:r w:rsidRPr="00F1142E">
        <w:rPr>
          <w:rFonts w:ascii="Verdana" w:eastAsia="Times New Roman" w:hAnsi="Verdana" w:cs="Times New Roman"/>
          <w:color w:val="000000"/>
          <w:sz w:val="20"/>
          <w:szCs w:val="20"/>
        </w:rPr>
        <w:t>, </w:t>
      </w:r>
      <w:r w:rsidRPr="00F1142E">
        <w:rPr>
          <w:rFonts w:ascii="Courier New" w:eastAsia="Times New Roman" w:hAnsi="Courier New" w:cs="Courier New"/>
          <w:color w:val="000000"/>
          <w:sz w:val="20"/>
          <w:szCs w:val="20"/>
        </w:rPr>
        <w:t>GROUPS</w:t>
      </w:r>
      <w:r w:rsidRPr="00F1142E">
        <w:rPr>
          <w:rFonts w:ascii="Verdana" w:eastAsia="Times New Roman" w:hAnsi="Verdana" w:cs="Times New Roman"/>
          <w:color w:val="000000"/>
          <w:sz w:val="20"/>
          <w:szCs w:val="20"/>
        </w:rPr>
        <w:t>, </w:t>
      </w:r>
      <w:r w:rsidRPr="00F1142E">
        <w:rPr>
          <w:rFonts w:ascii="Courier New" w:eastAsia="Times New Roman" w:hAnsi="Courier New" w:cs="Courier New"/>
          <w:color w:val="000000"/>
          <w:sz w:val="20"/>
          <w:szCs w:val="20"/>
        </w:rPr>
        <w:t>SERVERS</w:t>
      </w:r>
      <w:r w:rsidRPr="00F1142E">
        <w:rPr>
          <w:rFonts w:ascii="Verdana" w:eastAsia="Times New Roman" w:hAnsi="Verdana" w:cs="Times New Roman"/>
          <w:color w:val="000000"/>
          <w:sz w:val="20"/>
          <w:szCs w:val="20"/>
        </w:rPr>
        <w:t>, and </w:t>
      </w:r>
      <w:r w:rsidRPr="00F1142E">
        <w:rPr>
          <w:rFonts w:ascii="Courier New" w:eastAsia="Times New Roman" w:hAnsi="Courier New" w:cs="Courier New"/>
          <w:color w:val="000000"/>
          <w:sz w:val="20"/>
          <w:szCs w:val="20"/>
        </w:rPr>
        <w:t>SERVICES</w:t>
      </w:r>
      <w:r w:rsidRPr="00F1142E">
        <w:rPr>
          <w:rFonts w:ascii="Verdana" w:eastAsia="Times New Roman" w:hAnsi="Verdana" w:cs="Times New Roman"/>
          <w:color w:val="000000"/>
          <w:sz w:val="20"/>
          <w:szCs w:val="20"/>
        </w:rPr>
        <w:t>.</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2" w:name="wp1168383"/>
      <w:bookmarkEnd w:id="2"/>
      <w:r w:rsidRPr="00F1142E">
        <w:rPr>
          <w:rFonts w:ascii="Verdana" w:eastAsia="Times New Roman" w:hAnsi="Verdana" w:cs="Times New Roman"/>
          <w:color w:val="000000"/>
          <w:sz w:val="20"/>
          <w:szCs w:val="20"/>
        </w:rPr>
        <w:t>The binary version of the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file is referred to as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As with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the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file may be given any name; the actual name is the device or system filename specified in the </w:t>
      </w:r>
      <w:hyperlink r:id="rId6" w:anchor="wp1208948" w:history="1">
        <w:r w:rsidRPr="00F1142E">
          <w:rPr>
            <w:rFonts w:ascii="Verdana" w:eastAsia="Times New Roman" w:hAnsi="Verdana" w:cs="Times New Roman"/>
            <w:color w:val="0076CC"/>
            <w:sz w:val="20"/>
            <w:szCs w:val="20"/>
          </w:rPr>
          <w:t>TUXCONFIG</w:t>
        </w:r>
      </w:hyperlink>
      <w:r w:rsidRPr="00F1142E">
        <w:rPr>
          <w:rFonts w:ascii="Verdana" w:eastAsia="Times New Roman" w:hAnsi="Verdana" w:cs="Times New Roman"/>
          <w:color w:val="000000"/>
          <w:sz w:val="20"/>
          <w:szCs w:val="20"/>
        </w:rPr>
        <w:t> environment variable.</w:t>
      </w:r>
    </w:p>
    <w:p w:rsidR="00F1142E" w:rsidRPr="00F1142E" w:rsidRDefault="00F1142E" w:rsidP="00F1142E">
      <w:pPr>
        <w:spacing w:before="100" w:beforeAutospacing="1" w:after="285" w:line="240" w:lineRule="auto"/>
        <w:ind w:left="571"/>
        <w:outlineLvl w:val="2"/>
        <w:rPr>
          <w:rFonts w:ascii="Arial" w:eastAsia="Times New Roman" w:hAnsi="Arial" w:cs="Arial"/>
          <w:color w:val="000000"/>
          <w:sz w:val="46"/>
          <w:szCs w:val="46"/>
        </w:rPr>
      </w:pPr>
      <w:bookmarkStart w:id="3" w:name="wp1168384"/>
      <w:bookmarkEnd w:id="3"/>
      <w:r w:rsidRPr="00F1142E">
        <w:rPr>
          <w:rFonts w:ascii="Arial" w:eastAsia="Times New Roman" w:hAnsi="Arial" w:cs="Arial"/>
          <w:color w:val="000000"/>
          <w:sz w:val="46"/>
          <w:szCs w:val="46"/>
        </w:rPr>
        <w:t>Tuxedo Master Machine</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4" w:name="wp1168390"/>
      <w:bookmarkEnd w:id="4"/>
      <w:r w:rsidRPr="00F1142E">
        <w:rPr>
          <w:rFonts w:ascii="Verdana" w:eastAsia="Times New Roman" w:hAnsi="Verdana" w:cs="Times New Roman"/>
          <w:color w:val="000000"/>
          <w:sz w:val="20"/>
          <w:szCs w:val="20"/>
        </w:rPr>
        <w:t>The master machine, or master node, for a BEA Tuxedo domain is a server machine containing the domain's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file, and is designated as the master machine in the </w:t>
      </w:r>
      <w:r w:rsidRPr="00F1142E">
        <w:rPr>
          <w:rFonts w:ascii="Courier New" w:eastAsia="Times New Roman" w:hAnsi="Courier New" w:cs="Courier New"/>
          <w:color w:val="000000"/>
          <w:sz w:val="20"/>
          <w:szCs w:val="20"/>
        </w:rPr>
        <w:t>RESOURCES</w:t>
      </w:r>
      <w:r w:rsidRPr="00F1142E">
        <w:rPr>
          <w:rFonts w:ascii="Verdana" w:eastAsia="Times New Roman" w:hAnsi="Verdana" w:cs="Times New Roman"/>
          <w:color w:val="000000"/>
          <w:sz w:val="20"/>
          <w:szCs w:val="20"/>
        </w:rPr>
        <w:t> section of the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file. Starting, stopping, and administering the one or more server machines in a Tuxedo domain is done through the master machine.</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5" w:name="wp1211643"/>
      <w:bookmarkEnd w:id="5"/>
      <w:r w:rsidRPr="00F1142E">
        <w:rPr>
          <w:rFonts w:ascii="Verdana" w:eastAsia="Times New Roman" w:hAnsi="Verdana" w:cs="Times New Roman"/>
          <w:color w:val="000000"/>
          <w:sz w:val="20"/>
          <w:szCs w:val="20"/>
        </w:rPr>
        <w:t>The master machine for a Tuxedo domain also contains the master copy of the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file. Copies of the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file are propagated to every other server machine—referred to as </w:t>
      </w:r>
      <w:r w:rsidRPr="00F1142E">
        <w:rPr>
          <w:rFonts w:ascii="Verdana" w:eastAsia="Times New Roman" w:hAnsi="Verdana" w:cs="Times New Roman"/>
          <w:i/>
          <w:iCs/>
          <w:color w:val="000000"/>
          <w:sz w:val="20"/>
          <w:szCs w:val="20"/>
        </w:rPr>
        <w:t>non-master machines</w:t>
      </w:r>
      <w:r w:rsidRPr="00F1142E">
        <w:rPr>
          <w:rFonts w:ascii="Verdana" w:eastAsia="Times New Roman" w:hAnsi="Verdana" w:cs="Times New Roman"/>
          <w:color w:val="000000"/>
          <w:sz w:val="20"/>
          <w:szCs w:val="20"/>
        </w:rPr>
        <w:t>—in a Tuxedo domain whenever the Tuxedo system is booted on the master machine.</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6" w:name="wp1211572"/>
      <w:bookmarkEnd w:id="6"/>
      <w:r w:rsidRPr="00F1142E">
        <w:rPr>
          <w:rFonts w:ascii="Verdana" w:eastAsia="Times New Roman" w:hAnsi="Verdana" w:cs="Times New Roman"/>
          <w:color w:val="000000"/>
          <w:sz w:val="20"/>
          <w:szCs w:val="20"/>
        </w:rPr>
        <w:t>In a multiple-machine domain running different releases of the BEA Tuxedo system software, the master machine must run the highest release of the Tuxedo system software in the domain.</w:t>
      </w:r>
    </w:p>
    <w:tbl>
      <w:tblPr>
        <w:tblW w:w="0" w:type="auto"/>
        <w:tblCellSpacing w:w="15" w:type="dxa"/>
        <w:tblInd w:w="571" w:type="dxa"/>
        <w:tblCellMar>
          <w:top w:w="15" w:type="dxa"/>
          <w:left w:w="15" w:type="dxa"/>
          <w:bottom w:w="15" w:type="dxa"/>
          <w:right w:w="15" w:type="dxa"/>
        </w:tblCellMar>
        <w:tblLook w:val="04A0" w:firstRow="1" w:lastRow="0" w:firstColumn="1" w:lastColumn="0" w:noHBand="0" w:noVBand="1"/>
      </w:tblPr>
      <w:tblGrid>
        <w:gridCol w:w="903"/>
        <w:gridCol w:w="7886"/>
      </w:tblGrid>
      <w:tr w:rsidR="00F1142E" w:rsidRPr="00F1142E" w:rsidTr="00F1142E">
        <w:trPr>
          <w:tblCellSpacing w:w="15" w:type="dxa"/>
        </w:trPr>
        <w:tc>
          <w:tcPr>
            <w:tcW w:w="0" w:type="auto"/>
            <w:hideMark/>
          </w:tcPr>
          <w:p w:rsidR="00F1142E" w:rsidRPr="00F1142E" w:rsidRDefault="00F1142E" w:rsidP="00F1142E">
            <w:pPr>
              <w:spacing w:before="144" w:after="0" w:line="240" w:lineRule="auto"/>
              <w:ind w:right="216"/>
              <w:rPr>
                <w:rFonts w:ascii="Verdana" w:eastAsia="Times New Roman" w:hAnsi="Verdana" w:cs="Times New Roman"/>
                <w:color w:val="000000"/>
                <w:sz w:val="20"/>
                <w:szCs w:val="20"/>
              </w:rPr>
            </w:pPr>
            <w:bookmarkStart w:id="7" w:name="wp1231605"/>
            <w:bookmarkEnd w:id="7"/>
            <w:r w:rsidRPr="00F1142E">
              <w:rPr>
                <w:rFonts w:ascii="Verdana" w:eastAsia="Times New Roman" w:hAnsi="Verdana" w:cs="Times New Roman"/>
                <w:b/>
                <w:bCs/>
                <w:color w:val="000000"/>
                <w:sz w:val="20"/>
                <w:szCs w:val="20"/>
              </w:rPr>
              <w:t>Note:</w:t>
            </w:r>
          </w:p>
        </w:tc>
        <w:tc>
          <w:tcPr>
            <w:tcW w:w="0" w:type="auto"/>
            <w:vAlign w:val="center"/>
            <w:hideMark/>
          </w:tcPr>
          <w:p w:rsidR="00F1142E" w:rsidRPr="00F1142E" w:rsidRDefault="00F1142E" w:rsidP="00F1142E">
            <w:pPr>
              <w:spacing w:before="144" w:after="0" w:line="240" w:lineRule="auto"/>
              <w:ind w:right="216"/>
              <w:rPr>
                <w:rFonts w:ascii="Verdana" w:eastAsia="Times New Roman" w:hAnsi="Verdana" w:cs="Times New Roman"/>
                <w:color w:val="000000"/>
                <w:sz w:val="20"/>
                <w:szCs w:val="20"/>
              </w:rPr>
            </w:pPr>
            <w:r w:rsidRPr="00F1142E">
              <w:rPr>
                <w:rFonts w:ascii="Verdana" w:eastAsia="Times New Roman" w:hAnsi="Verdana" w:cs="Times New Roman"/>
                <w:color w:val="000000"/>
                <w:sz w:val="20"/>
                <w:szCs w:val="20"/>
              </w:rPr>
              <w:t>Tuxedo 9.1 is a Tuxedo 9.0 </w:t>
            </w:r>
            <w:r w:rsidRPr="00F1142E">
              <w:rPr>
                <w:rFonts w:ascii="Verdana" w:eastAsia="Times New Roman" w:hAnsi="Verdana" w:cs="Times New Roman"/>
                <w:i/>
                <w:iCs/>
                <w:color w:val="000000"/>
                <w:sz w:val="20"/>
                <w:szCs w:val="20"/>
              </w:rPr>
              <w:t>minor release</w:t>
            </w:r>
            <w:r w:rsidRPr="00F1142E">
              <w:rPr>
                <w:rFonts w:ascii="Verdana" w:eastAsia="Times New Roman" w:hAnsi="Verdana" w:cs="Times New Roman"/>
                <w:color w:val="000000"/>
                <w:sz w:val="20"/>
                <w:szCs w:val="20"/>
              </w:rPr>
              <w:t>. Therefore, Tuxedo 9.1 </w:t>
            </w:r>
            <w:r w:rsidRPr="00F1142E">
              <w:rPr>
                <w:rFonts w:ascii="Verdana" w:eastAsia="Times New Roman" w:hAnsi="Verdana" w:cs="Times New Roman"/>
                <w:i/>
                <w:iCs/>
                <w:color w:val="000000"/>
                <w:sz w:val="20"/>
                <w:szCs w:val="20"/>
              </w:rPr>
              <w:t>can</w:t>
            </w:r>
            <w:r w:rsidRPr="00F1142E">
              <w:rPr>
                <w:rFonts w:ascii="Verdana" w:eastAsia="Times New Roman" w:hAnsi="Verdana" w:cs="Times New Roman"/>
                <w:color w:val="000000"/>
                <w:sz w:val="20"/>
                <w:szCs w:val="20"/>
              </w:rPr>
              <w:t> operate as a non-master machine to a Tuxedo 9.0 master machine in a multiple platform environment.</w:t>
            </w:r>
          </w:p>
        </w:tc>
      </w:tr>
    </w:tbl>
    <w:p w:rsidR="00F1142E" w:rsidRPr="00F1142E" w:rsidRDefault="00F1142E" w:rsidP="00F1142E">
      <w:pPr>
        <w:spacing w:before="100" w:beforeAutospacing="1" w:after="285" w:line="240" w:lineRule="auto"/>
        <w:ind w:left="571"/>
        <w:outlineLvl w:val="2"/>
        <w:rPr>
          <w:rFonts w:ascii="Arial" w:eastAsia="Times New Roman" w:hAnsi="Arial" w:cs="Arial"/>
          <w:color w:val="000000"/>
          <w:sz w:val="46"/>
          <w:szCs w:val="46"/>
        </w:rPr>
      </w:pPr>
      <w:bookmarkStart w:id="8" w:name="wp1208948"/>
      <w:bookmarkEnd w:id="8"/>
      <w:r w:rsidRPr="00F1142E">
        <w:rPr>
          <w:rFonts w:ascii="Arial" w:eastAsia="Times New Roman" w:hAnsi="Arial" w:cs="Arial"/>
          <w:color w:val="000000"/>
          <w:sz w:val="46"/>
          <w:szCs w:val="46"/>
        </w:rPr>
        <w:t>Tuxedo TUXCONFIG Environment Variable</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9" w:name="wp1208949"/>
      <w:bookmarkEnd w:id="9"/>
      <w:r w:rsidRPr="00F1142E">
        <w:rPr>
          <w:rFonts w:ascii="Verdana" w:eastAsia="Times New Roman" w:hAnsi="Verdana" w:cs="Times New Roman"/>
          <w:color w:val="000000"/>
          <w:sz w:val="20"/>
          <w:szCs w:val="20"/>
        </w:rPr>
        <w:lastRenderedPageBreak/>
        <w:t>The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environment variable defines the location on the master machine where the </w:t>
      </w:r>
      <w:proofErr w:type="spellStart"/>
      <w:proofErr w:type="gramStart"/>
      <w:r w:rsidRPr="00F1142E">
        <w:rPr>
          <w:rFonts w:ascii="Courier New" w:eastAsia="Times New Roman" w:hAnsi="Courier New" w:cs="Courier New"/>
          <w:color w:val="000000"/>
          <w:sz w:val="20"/>
          <w:szCs w:val="20"/>
        </w:rPr>
        <w:t>tmloadcf</w:t>
      </w:r>
      <w:proofErr w:type="spellEnd"/>
      <w:r w:rsidRPr="00F1142E">
        <w:rPr>
          <w:rFonts w:ascii="Courier New" w:eastAsia="Times New Roman" w:hAnsi="Courier New" w:cs="Courier New"/>
          <w:color w:val="000000"/>
          <w:sz w:val="20"/>
          <w:szCs w:val="20"/>
        </w:rPr>
        <w:t>(</w:t>
      </w:r>
      <w:proofErr w:type="gramEnd"/>
      <w:r w:rsidRPr="00F1142E">
        <w:rPr>
          <w:rFonts w:ascii="Courier New" w:eastAsia="Times New Roman" w:hAnsi="Courier New" w:cs="Courier New"/>
          <w:color w:val="000000"/>
          <w:sz w:val="20"/>
          <w:szCs w:val="20"/>
        </w:rPr>
        <w:t>1)</w:t>
      </w:r>
      <w:r w:rsidRPr="00F1142E">
        <w:rPr>
          <w:rFonts w:ascii="Verdana" w:eastAsia="Times New Roman" w:hAnsi="Verdana" w:cs="Times New Roman"/>
          <w:color w:val="000000"/>
          <w:sz w:val="20"/>
          <w:szCs w:val="20"/>
        </w:rPr>
        <w:t> command loads the binary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file. It must be set to an absolute pathname ending with the device or system filename where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is to be loaded.</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10" w:name="wp1208950"/>
      <w:bookmarkEnd w:id="10"/>
      <w:r w:rsidRPr="00F1142E">
        <w:rPr>
          <w:rFonts w:ascii="Verdana" w:eastAsia="Times New Roman" w:hAnsi="Verdana" w:cs="Times New Roman"/>
          <w:color w:val="000000"/>
          <w:sz w:val="20"/>
          <w:szCs w:val="20"/>
        </w:rPr>
        <w:t>The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pathname value is designated in the </w:t>
      </w:r>
      <w:r w:rsidRPr="00F1142E">
        <w:rPr>
          <w:rFonts w:ascii="Courier New" w:eastAsia="Times New Roman" w:hAnsi="Courier New" w:cs="Courier New"/>
          <w:color w:val="000000"/>
          <w:sz w:val="20"/>
          <w:szCs w:val="20"/>
        </w:rPr>
        <w:t>MACHINES</w:t>
      </w:r>
      <w:r w:rsidRPr="00F1142E">
        <w:rPr>
          <w:rFonts w:ascii="Verdana" w:eastAsia="Times New Roman" w:hAnsi="Verdana" w:cs="Times New Roman"/>
          <w:color w:val="000000"/>
          <w:sz w:val="20"/>
          <w:szCs w:val="20"/>
        </w:rPr>
        <w:t> section of the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file. It is specified for the master machine </w:t>
      </w:r>
      <w:r w:rsidRPr="00F1142E">
        <w:rPr>
          <w:rFonts w:ascii="Verdana" w:eastAsia="Times New Roman" w:hAnsi="Verdana" w:cs="Times New Roman"/>
          <w:i/>
          <w:iCs/>
          <w:color w:val="000000"/>
          <w:sz w:val="20"/>
          <w:szCs w:val="20"/>
        </w:rPr>
        <w:t>and</w:t>
      </w:r>
      <w:r w:rsidRPr="00F1142E">
        <w:rPr>
          <w:rFonts w:ascii="Verdana" w:eastAsia="Times New Roman" w:hAnsi="Verdana" w:cs="Times New Roman"/>
          <w:color w:val="000000"/>
          <w:sz w:val="20"/>
          <w:szCs w:val="20"/>
        </w:rPr>
        <w:t> for every other server machine in the Tuxedo domain. When copies of the binary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file are propagated to non-master machines during system boot, the copies are stored on the non-master machines in accordance to the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pathname values.</w:t>
      </w:r>
    </w:p>
    <w:p w:rsidR="00F1142E" w:rsidRPr="00F1142E" w:rsidRDefault="00F1142E" w:rsidP="00F1142E">
      <w:pPr>
        <w:spacing w:before="100" w:beforeAutospacing="1" w:after="285" w:line="240" w:lineRule="auto"/>
        <w:ind w:left="571"/>
        <w:outlineLvl w:val="2"/>
        <w:rPr>
          <w:rFonts w:ascii="Arial" w:eastAsia="Times New Roman" w:hAnsi="Arial" w:cs="Arial"/>
          <w:color w:val="000000"/>
          <w:sz w:val="46"/>
          <w:szCs w:val="46"/>
        </w:rPr>
      </w:pPr>
      <w:bookmarkStart w:id="11" w:name="wp1214447"/>
      <w:bookmarkEnd w:id="11"/>
      <w:r w:rsidRPr="00F1142E">
        <w:rPr>
          <w:rFonts w:ascii="Arial" w:eastAsia="Times New Roman" w:hAnsi="Arial" w:cs="Arial"/>
          <w:color w:val="000000"/>
          <w:sz w:val="46"/>
          <w:szCs w:val="46"/>
        </w:rPr>
        <w:t>Tuxedo TUXDIR Environment Variable</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12" w:name="wp1214448"/>
      <w:bookmarkEnd w:id="12"/>
      <w:r w:rsidRPr="00F1142E">
        <w:rPr>
          <w:rFonts w:ascii="Verdana" w:eastAsia="Times New Roman" w:hAnsi="Verdana" w:cs="Times New Roman"/>
          <w:color w:val="000000"/>
          <w:sz w:val="20"/>
          <w:szCs w:val="20"/>
        </w:rPr>
        <w:t>The </w:t>
      </w:r>
      <w:r w:rsidRPr="00F1142E">
        <w:rPr>
          <w:rFonts w:ascii="Courier New" w:eastAsia="Times New Roman" w:hAnsi="Courier New" w:cs="Courier New"/>
          <w:color w:val="000000"/>
          <w:sz w:val="20"/>
          <w:szCs w:val="20"/>
        </w:rPr>
        <w:t>TUXDIR</w:t>
      </w:r>
      <w:r w:rsidRPr="00F1142E">
        <w:rPr>
          <w:rFonts w:ascii="Verdana" w:eastAsia="Times New Roman" w:hAnsi="Verdana" w:cs="Times New Roman"/>
          <w:color w:val="000000"/>
          <w:sz w:val="20"/>
          <w:szCs w:val="20"/>
        </w:rPr>
        <w:t> environment variable defines the installation directory of the BEA Tuxedo system software on the master machine. It must be set to an absolute pathname ending with the name of the installation directory.</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13" w:name="wp1214449"/>
      <w:bookmarkEnd w:id="13"/>
      <w:r w:rsidRPr="00F1142E">
        <w:rPr>
          <w:rFonts w:ascii="Verdana" w:eastAsia="Times New Roman" w:hAnsi="Verdana" w:cs="Times New Roman"/>
          <w:color w:val="000000"/>
          <w:sz w:val="20"/>
          <w:szCs w:val="20"/>
        </w:rPr>
        <w:t>The </w:t>
      </w:r>
      <w:r w:rsidRPr="00F1142E">
        <w:rPr>
          <w:rFonts w:ascii="Courier New" w:eastAsia="Times New Roman" w:hAnsi="Courier New" w:cs="Courier New"/>
          <w:color w:val="000000"/>
          <w:sz w:val="20"/>
          <w:szCs w:val="20"/>
        </w:rPr>
        <w:t>TUXDIR</w:t>
      </w:r>
      <w:r w:rsidRPr="00F1142E">
        <w:rPr>
          <w:rFonts w:ascii="Verdana" w:eastAsia="Times New Roman" w:hAnsi="Verdana" w:cs="Times New Roman"/>
          <w:color w:val="000000"/>
          <w:sz w:val="20"/>
          <w:szCs w:val="20"/>
        </w:rPr>
        <w:t> pathname value is designated in the </w:t>
      </w:r>
      <w:r w:rsidRPr="00F1142E">
        <w:rPr>
          <w:rFonts w:ascii="Courier New" w:eastAsia="Times New Roman" w:hAnsi="Courier New" w:cs="Courier New"/>
          <w:color w:val="000000"/>
          <w:sz w:val="20"/>
          <w:szCs w:val="20"/>
        </w:rPr>
        <w:t>MACHINES</w:t>
      </w:r>
      <w:r w:rsidRPr="00F1142E">
        <w:rPr>
          <w:rFonts w:ascii="Verdana" w:eastAsia="Times New Roman" w:hAnsi="Verdana" w:cs="Times New Roman"/>
          <w:color w:val="000000"/>
          <w:sz w:val="20"/>
          <w:szCs w:val="20"/>
        </w:rPr>
        <w:t> section of the </w:t>
      </w:r>
      <w:r w:rsidRPr="00F1142E">
        <w:rPr>
          <w:rFonts w:ascii="Courier New" w:eastAsia="Times New Roman" w:hAnsi="Courier New" w:cs="Courier New"/>
          <w:color w:val="000000"/>
          <w:sz w:val="20"/>
          <w:szCs w:val="20"/>
        </w:rPr>
        <w:t>UBBCONFIG</w:t>
      </w:r>
      <w:r w:rsidRPr="00F1142E">
        <w:rPr>
          <w:rFonts w:ascii="Verdana" w:eastAsia="Times New Roman" w:hAnsi="Verdana" w:cs="Times New Roman"/>
          <w:color w:val="000000"/>
          <w:sz w:val="20"/>
          <w:szCs w:val="20"/>
        </w:rPr>
        <w:t> file. It is specified for the master machine </w:t>
      </w:r>
      <w:r w:rsidRPr="00F1142E">
        <w:rPr>
          <w:rFonts w:ascii="Verdana" w:eastAsia="Times New Roman" w:hAnsi="Verdana" w:cs="Times New Roman"/>
          <w:i/>
          <w:iCs/>
          <w:color w:val="000000"/>
          <w:sz w:val="20"/>
          <w:szCs w:val="20"/>
        </w:rPr>
        <w:t>and</w:t>
      </w:r>
      <w:r w:rsidRPr="00F1142E">
        <w:rPr>
          <w:rFonts w:ascii="Verdana" w:eastAsia="Times New Roman" w:hAnsi="Verdana" w:cs="Times New Roman"/>
          <w:color w:val="000000"/>
          <w:sz w:val="20"/>
          <w:szCs w:val="20"/>
        </w:rPr>
        <w:t> for every other server machine in the Tuxedo domain.</w:t>
      </w:r>
    </w:p>
    <w:p w:rsidR="00F1142E" w:rsidRPr="00F1142E" w:rsidRDefault="00F1142E" w:rsidP="00F1142E">
      <w:pPr>
        <w:spacing w:before="100" w:beforeAutospacing="1" w:after="285" w:line="240" w:lineRule="auto"/>
        <w:ind w:left="571"/>
        <w:outlineLvl w:val="2"/>
        <w:rPr>
          <w:rFonts w:ascii="Arial" w:eastAsia="Times New Roman" w:hAnsi="Arial" w:cs="Arial"/>
          <w:color w:val="000000"/>
          <w:sz w:val="46"/>
          <w:szCs w:val="46"/>
        </w:rPr>
      </w:pPr>
      <w:bookmarkStart w:id="14" w:name="wp1168395"/>
      <w:bookmarkEnd w:id="14"/>
      <w:r w:rsidRPr="00F1142E">
        <w:rPr>
          <w:rFonts w:ascii="Arial" w:eastAsia="Times New Roman" w:hAnsi="Arial" w:cs="Arial"/>
          <w:color w:val="000000"/>
          <w:sz w:val="46"/>
          <w:szCs w:val="46"/>
        </w:rPr>
        <w:t>Tuxedo Bulletin Board</w:t>
      </w:r>
    </w:p>
    <w:p w:rsidR="00F1142E" w:rsidRP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15" w:name="wp1168399"/>
      <w:bookmarkEnd w:id="15"/>
      <w:r w:rsidRPr="00F1142E">
        <w:rPr>
          <w:rFonts w:ascii="Verdana" w:eastAsia="Times New Roman" w:hAnsi="Verdana" w:cs="Times New Roman"/>
          <w:color w:val="000000"/>
          <w:sz w:val="20"/>
          <w:szCs w:val="20"/>
        </w:rPr>
        <w:t>The BEA Tuxedo system uses the </w:t>
      </w:r>
      <w:r w:rsidRPr="00F1142E">
        <w:rPr>
          <w:rFonts w:ascii="Courier New" w:eastAsia="Times New Roman" w:hAnsi="Courier New" w:cs="Courier New"/>
          <w:color w:val="000000"/>
          <w:sz w:val="20"/>
          <w:szCs w:val="20"/>
        </w:rPr>
        <w:t>TUXCONFIG</w:t>
      </w:r>
      <w:r w:rsidRPr="00F1142E">
        <w:rPr>
          <w:rFonts w:ascii="Verdana" w:eastAsia="Times New Roman" w:hAnsi="Verdana" w:cs="Times New Roman"/>
          <w:color w:val="000000"/>
          <w:sz w:val="20"/>
          <w:szCs w:val="20"/>
        </w:rPr>
        <w:t> file to set up a </w:t>
      </w:r>
      <w:r w:rsidRPr="00F1142E">
        <w:rPr>
          <w:rFonts w:ascii="Verdana" w:eastAsia="Times New Roman" w:hAnsi="Verdana" w:cs="Times New Roman"/>
          <w:i/>
          <w:iCs/>
          <w:color w:val="000000"/>
          <w:sz w:val="20"/>
          <w:szCs w:val="20"/>
        </w:rPr>
        <w:t>bulletin board</w:t>
      </w:r>
      <w:r w:rsidRPr="00F1142E">
        <w:rPr>
          <w:rFonts w:ascii="Verdana" w:eastAsia="Times New Roman" w:hAnsi="Verdana" w:cs="Times New Roman"/>
          <w:color w:val="000000"/>
          <w:sz w:val="20"/>
          <w:szCs w:val="20"/>
        </w:rPr>
        <w:t> (BB) on each server machine in a Tuxedo domain. When a Tuxedo server process becomes active, it advertises the names of its services in the bulletin board. Some information in the bulletin board is global and is replicated on every server machine in the Tuxedo domain (for example, the names and locations of all servers offering a particular service). Other information is local and is visible only on the local bulletin board (for example, the actual number and type of client requests currently waiting on a local server request queue).</w:t>
      </w:r>
    </w:p>
    <w:p w:rsidR="00F1142E" w:rsidRDefault="00F1142E" w:rsidP="00F1142E">
      <w:pPr>
        <w:spacing w:before="144" w:after="285" w:line="240" w:lineRule="auto"/>
        <w:ind w:left="571" w:right="216"/>
        <w:rPr>
          <w:rFonts w:ascii="Verdana" w:eastAsia="Times New Roman" w:hAnsi="Verdana" w:cs="Times New Roman"/>
          <w:color w:val="000000"/>
          <w:sz w:val="20"/>
          <w:szCs w:val="20"/>
        </w:rPr>
      </w:pPr>
      <w:bookmarkStart w:id="16" w:name="wp1168400"/>
      <w:bookmarkEnd w:id="16"/>
      <w:r w:rsidRPr="00F1142E">
        <w:rPr>
          <w:rFonts w:ascii="Verdana" w:eastAsia="Times New Roman" w:hAnsi="Verdana" w:cs="Times New Roman"/>
          <w:color w:val="000000"/>
          <w:sz w:val="20"/>
          <w:szCs w:val="20"/>
        </w:rPr>
        <w:t>The bulletin board provides location and namespace transparency within a Tuxedo domain. Location transparency means that Tuxedo client and server processes do not have to be aware of the location of a resource within the Tuxedo domain. Namespace transparency means that Tuxedo client and server processes can use the same naming conventions (and namespace) to locate any resource in the Tuxedo domain.</w:t>
      </w:r>
    </w:p>
    <w:p w:rsidR="00C5552C" w:rsidRDefault="00C5552C" w:rsidP="00F1142E">
      <w:pPr>
        <w:spacing w:before="144" w:after="285" w:line="240" w:lineRule="auto"/>
        <w:ind w:left="571" w:right="216"/>
        <w:rPr>
          <w:rFonts w:ascii="Verdana" w:eastAsia="Times New Roman" w:hAnsi="Verdana" w:cs="Times New Roman"/>
          <w:color w:val="000000"/>
          <w:sz w:val="20"/>
          <w:szCs w:val="20"/>
        </w:rPr>
      </w:pPr>
    </w:p>
    <w:p w:rsidR="00C5552C" w:rsidRDefault="00C5552C" w:rsidP="00F1142E">
      <w:pPr>
        <w:spacing w:before="144" w:after="285" w:line="240" w:lineRule="auto"/>
        <w:ind w:left="571" w:right="216"/>
        <w:rPr>
          <w:rFonts w:ascii="Verdana" w:eastAsia="Times New Roman" w:hAnsi="Verdana" w:cs="Times New Roman"/>
          <w:color w:val="000000"/>
          <w:sz w:val="20"/>
          <w:szCs w:val="20"/>
        </w:rPr>
      </w:pPr>
    </w:p>
    <w:p w:rsidR="00C5552C" w:rsidRDefault="00C5552C" w:rsidP="00F1142E">
      <w:pPr>
        <w:spacing w:before="144" w:after="285" w:line="240" w:lineRule="auto"/>
        <w:ind w:left="571" w:right="216"/>
        <w:rPr>
          <w:rFonts w:ascii="Verdana" w:eastAsia="Times New Roman" w:hAnsi="Verdana" w:cs="Times New Roman"/>
          <w:color w:val="000000"/>
          <w:sz w:val="20"/>
          <w:szCs w:val="20"/>
        </w:rPr>
      </w:pPr>
    </w:p>
    <w:p w:rsidR="00C5552C" w:rsidRDefault="00C5552C" w:rsidP="00F1142E">
      <w:pPr>
        <w:spacing w:before="144" w:after="285" w:line="240" w:lineRule="auto"/>
        <w:ind w:left="571" w:right="216"/>
        <w:rPr>
          <w:rFonts w:ascii="Verdana" w:eastAsia="Times New Roman" w:hAnsi="Verdana" w:cs="Times New Roman"/>
          <w:color w:val="000000"/>
          <w:sz w:val="20"/>
          <w:szCs w:val="20"/>
        </w:rPr>
      </w:pPr>
    </w:p>
    <w:p w:rsidR="00C5552C" w:rsidRDefault="00C5552C" w:rsidP="00F1142E">
      <w:pPr>
        <w:spacing w:before="144" w:after="285" w:line="240" w:lineRule="auto"/>
        <w:ind w:left="571" w:right="216"/>
        <w:rPr>
          <w:rFonts w:ascii="Verdana" w:eastAsia="Times New Roman" w:hAnsi="Verdana" w:cs="Times New Roman"/>
          <w:color w:val="000000"/>
          <w:sz w:val="20"/>
          <w:szCs w:val="20"/>
        </w:rPr>
      </w:pPr>
    </w:p>
    <w:p w:rsidR="00C5552C" w:rsidRPr="00C5552C" w:rsidRDefault="00C5552C" w:rsidP="00C5552C">
      <w:pPr>
        <w:shd w:val="clear" w:color="auto" w:fill="FFFFFF"/>
        <w:spacing w:after="0" w:line="240" w:lineRule="atLeast"/>
        <w:rPr>
          <w:rFonts w:ascii="Arial" w:eastAsia="Times New Roman" w:hAnsi="Arial" w:cs="Arial"/>
          <w:color w:val="808080"/>
          <w:sz w:val="24"/>
          <w:szCs w:val="24"/>
        </w:rPr>
      </w:pPr>
      <w:r w:rsidRPr="00C5552C">
        <w:rPr>
          <w:rFonts w:ascii="Arial" w:eastAsia="Times New Roman" w:hAnsi="Arial" w:cs="Arial"/>
          <w:color w:val="006621"/>
          <w:sz w:val="21"/>
          <w:szCs w:val="21"/>
        </w:rPr>
        <w:lastRenderedPageBreak/>
        <w:t>https://docs.oracle.com/cd/E13203_01/tuxedo/tux65/admingd/monitor.htm</w:t>
      </w:r>
    </w:p>
    <w:p w:rsidR="00C5552C" w:rsidRPr="00C5552C" w:rsidRDefault="00C5552C" w:rsidP="00C5552C">
      <w:pPr>
        <w:numPr>
          <w:ilvl w:val="0"/>
          <w:numId w:val="1"/>
        </w:numPr>
        <w:shd w:val="clear" w:color="auto" w:fill="FFFFFF"/>
        <w:spacing w:after="0" w:line="240" w:lineRule="atLeast"/>
        <w:ind w:left="45"/>
        <w:textAlignment w:val="center"/>
        <w:rPr>
          <w:rFonts w:ascii="Arial" w:eastAsia="Times New Roman" w:hAnsi="Arial" w:cs="Arial"/>
          <w:color w:val="808080"/>
          <w:sz w:val="20"/>
          <w:szCs w:val="20"/>
        </w:rPr>
      </w:pPr>
    </w:p>
    <w:p w:rsidR="00C5552C" w:rsidRPr="00C5552C" w:rsidRDefault="00C5552C" w:rsidP="00C5552C">
      <w:pPr>
        <w:numPr>
          <w:ilvl w:val="0"/>
          <w:numId w:val="1"/>
        </w:numPr>
        <w:shd w:val="clear" w:color="auto" w:fill="FFFFFF"/>
        <w:spacing w:after="0" w:line="240" w:lineRule="atLeast"/>
        <w:ind w:left="45"/>
        <w:textAlignment w:val="center"/>
        <w:rPr>
          <w:rFonts w:ascii="Arial" w:eastAsia="Times New Roman" w:hAnsi="Arial" w:cs="Arial"/>
          <w:color w:val="808080"/>
          <w:sz w:val="20"/>
          <w:szCs w:val="20"/>
        </w:rPr>
      </w:pPr>
    </w:p>
    <w:p w:rsidR="00C5552C" w:rsidRPr="00F1142E" w:rsidRDefault="00C5552C" w:rsidP="00C5552C">
      <w:pPr>
        <w:spacing w:before="144" w:after="285" w:line="240" w:lineRule="auto"/>
        <w:ind w:left="571" w:right="216"/>
        <w:rPr>
          <w:rFonts w:ascii="Verdana" w:eastAsia="Times New Roman" w:hAnsi="Verdana" w:cs="Times New Roman"/>
          <w:color w:val="000000"/>
          <w:sz w:val="20"/>
          <w:szCs w:val="20"/>
        </w:rPr>
      </w:pPr>
      <w:r w:rsidRPr="00C5552C">
        <w:rPr>
          <w:rFonts w:ascii="Arial" w:eastAsia="Times New Roman" w:hAnsi="Arial" w:cs="Arial"/>
          <w:color w:val="545454"/>
          <w:sz w:val="24"/>
          <w:szCs w:val="24"/>
          <w:shd w:val="clear" w:color="auto" w:fill="FFFFFF"/>
        </w:rPr>
        <w:t>To help you meet this responsibility, the BEA </w:t>
      </w:r>
      <w:r w:rsidRPr="00C5552C">
        <w:rPr>
          <w:rFonts w:ascii="Arial" w:eastAsia="Times New Roman" w:hAnsi="Arial" w:cs="Arial"/>
          <w:b/>
          <w:bCs/>
          <w:color w:val="6A6A6A"/>
          <w:sz w:val="24"/>
          <w:szCs w:val="24"/>
          <w:shd w:val="clear" w:color="auto" w:fill="FFFFFF"/>
        </w:rPr>
        <w:t>TUXEDO</w:t>
      </w:r>
      <w:r w:rsidRPr="00C5552C">
        <w:rPr>
          <w:rFonts w:ascii="Arial" w:eastAsia="Times New Roman" w:hAnsi="Arial" w:cs="Arial"/>
          <w:color w:val="545454"/>
          <w:sz w:val="24"/>
          <w:szCs w:val="24"/>
          <w:shd w:val="clear" w:color="auto" w:fill="FFFFFF"/>
        </w:rPr>
        <w:t xml:space="preserve"> system provides tools </w:t>
      </w:r>
      <w:proofErr w:type="gramStart"/>
      <w:r w:rsidRPr="00C5552C">
        <w:rPr>
          <w:rFonts w:ascii="Arial" w:eastAsia="Times New Roman" w:hAnsi="Arial" w:cs="Arial"/>
          <w:color w:val="545454"/>
          <w:sz w:val="24"/>
          <w:szCs w:val="24"/>
          <w:shd w:val="clear" w:color="auto" w:fill="FFFFFF"/>
        </w:rPr>
        <w:t>that .....</w:t>
      </w:r>
      <w:proofErr w:type="gramEnd"/>
      <w:r w:rsidRPr="00C5552C">
        <w:rPr>
          <w:rFonts w:ascii="Arial" w:eastAsia="Times New Roman" w:hAnsi="Arial" w:cs="Arial"/>
          <w:color w:val="545454"/>
          <w:sz w:val="24"/>
          <w:szCs w:val="24"/>
          <w:shd w:val="clear" w:color="auto" w:fill="FFFFFF"/>
        </w:rPr>
        <w:t xml:space="preserve"> </w:t>
      </w:r>
      <w:proofErr w:type="spellStart"/>
      <w:proofErr w:type="gramStart"/>
      <w:r w:rsidRPr="00C5552C">
        <w:rPr>
          <w:rFonts w:ascii="Arial" w:eastAsia="Times New Roman" w:hAnsi="Arial" w:cs="Arial"/>
          <w:color w:val="545454"/>
          <w:sz w:val="24"/>
          <w:szCs w:val="24"/>
          <w:shd w:val="clear" w:color="auto" w:fill="FFFFFF"/>
        </w:rPr>
        <w:t>printtrans</w:t>
      </w:r>
      <w:proofErr w:type="spellEnd"/>
      <w:proofErr w:type="gramEnd"/>
      <w:r w:rsidRPr="00C5552C">
        <w:rPr>
          <w:rFonts w:ascii="Arial" w:eastAsia="Times New Roman" w:hAnsi="Arial" w:cs="Arial"/>
          <w:color w:val="545454"/>
          <w:sz w:val="24"/>
          <w:szCs w:val="24"/>
          <w:shd w:val="clear" w:color="auto" w:fill="FFFFFF"/>
        </w:rPr>
        <w:t>, For example, the </w:t>
      </w:r>
      <w:r w:rsidRPr="00C5552C">
        <w:rPr>
          <w:rFonts w:ascii="Arial" w:eastAsia="Times New Roman" w:hAnsi="Arial" w:cs="Arial"/>
          <w:b/>
          <w:bCs/>
          <w:color w:val="6A6A6A"/>
          <w:sz w:val="24"/>
          <w:szCs w:val="24"/>
          <w:shd w:val="clear" w:color="auto" w:fill="FFFFFF"/>
        </w:rPr>
        <w:t>status</w:t>
      </w:r>
      <w:r w:rsidRPr="00C5552C">
        <w:rPr>
          <w:rFonts w:ascii="Arial" w:eastAsia="Times New Roman" w:hAnsi="Arial" w:cs="Arial"/>
          <w:color w:val="545454"/>
          <w:sz w:val="24"/>
          <w:szCs w:val="24"/>
          <w:shd w:val="clear" w:color="auto" w:fill="FFFFFF"/>
        </w:rPr>
        <w:t xml:space="preserve"> is </w:t>
      </w:r>
      <w:bookmarkStart w:id="17" w:name="_GoBack"/>
      <w:r w:rsidRPr="00C5552C">
        <w:rPr>
          <w:rFonts w:ascii="Arial" w:eastAsia="Times New Roman" w:hAnsi="Arial" w:cs="Arial"/>
          <w:color w:val="545454"/>
          <w:sz w:val="24"/>
          <w:szCs w:val="24"/>
          <w:shd w:val="clear" w:color="auto" w:fill="FFFFFF"/>
        </w:rPr>
        <w:t>TMGDECIDED</w:t>
      </w:r>
      <w:bookmarkEnd w:id="17"/>
      <w:r w:rsidRPr="00C5552C">
        <w:rPr>
          <w:rFonts w:ascii="Arial" w:eastAsia="Times New Roman" w:hAnsi="Arial" w:cs="Arial"/>
          <w:color w:val="545454"/>
          <w:sz w:val="24"/>
          <w:szCs w:val="24"/>
          <w:shd w:val="clear" w:color="auto" w:fill="FFFFFF"/>
        </w:rPr>
        <w:t>, The first phase of the ...</w:t>
      </w:r>
    </w:p>
    <w:p w:rsidR="00246B9F" w:rsidRDefault="00246B9F"/>
    <w:sectPr w:rsidR="0024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B1AFA"/>
    <w:multiLevelType w:val="multilevel"/>
    <w:tmpl w:val="428E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3C"/>
    <w:rsid w:val="00246B9F"/>
    <w:rsid w:val="0032733C"/>
    <w:rsid w:val="00C5552C"/>
    <w:rsid w:val="00F1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D3102-8615-4A9B-90F7-424B21BD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1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42E"/>
    <w:rPr>
      <w:rFonts w:ascii="Times New Roman" w:eastAsia="Times New Roman" w:hAnsi="Times New Roman" w:cs="Times New Roman"/>
      <w:b/>
      <w:bCs/>
      <w:sz w:val="27"/>
      <w:szCs w:val="27"/>
    </w:rPr>
  </w:style>
  <w:style w:type="paragraph" w:customStyle="1" w:styleId="pbody">
    <w:name w:val="pbody"/>
    <w:basedOn w:val="Normal"/>
    <w:rsid w:val="00F114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14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142E"/>
    <w:rPr>
      <w:color w:val="0000FF"/>
      <w:u w:val="single"/>
    </w:rPr>
  </w:style>
  <w:style w:type="character" w:customStyle="1" w:styleId="chyperlink">
    <w:name w:val="chyperlink"/>
    <w:basedOn w:val="DefaultParagraphFont"/>
    <w:rsid w:val="00F1142E"/>
  </w:style>
  <w:style w:type="character" w:styleId="Emphasis">
    <w:name w:val="Emphasis"/>
    <w:basedOn w:val="DefaultParagraphFont"/>
    <w:uiPriority w:val="20"/>
    <w:qFormat/>
    <w:rsid w:val="00F1142E"/>
    <w:rPr>
      <w:i/>
      <w:iCs/>
    </w:rPr>
  </w:style>
  <w:style w:type="character" w:styleId="Strong">
    <w:name w:val="Strong"/>
    <w:basedOn w:val="DefaultParagraphFont"/>
    <w:uiPriority w:val="22"/>
    <w:qFormat/>
    <w:rsid w:val="00F1142E"/>
    <w:rPr>
      <w:b/>
      <w:bCs/>
    </w:rPr>
  </w:style>
  <w:style w:type="character" w:styleId="HTMLCite">
    <w:name w:val="HTML Cite"/>
    <w:basedOn w:val="DefaultParagraphFont"/>
    <w:uiPriority w:val="99"/>
    <w:semiHidden/>
    <w:unhideWhenUsed/>
    <w:rsid w:val="00C5552C"/>
    <w:rPr>
      <w:i/>
      <w:iCs/>
    </w:rPr>
  </w:style>
  <w:style w:type="character" w:customStyle="1" w:styleId="st">
    <w:name w:val="st"/>
    <w:basedOn w:val="DefaultParagraphFont"/>
    <w:rsid w:val="00C5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78337">
      <w:bodyDiv w:val="1"/>
      <w:marLeft w:val="0"/>
      <w:marRight w:val="0"/>
      <w:marTop w:val="0"/>
      <w:marBottom w:val="0"/>
      <w:divBdr>
        <w:top w:val="none" w:sz="0" w:space="0" w:color="auto"/>
        <w:left w:val="none" w:sz="0" w:space="0" w:color="auto"/>
        <w:bottom w:val="none" w:sz="0" w:space="0" w:color="auto"/>
        <w:right w:val="none" w:sz="0" w:space="0" w:color="auto"/>
      </w:divBdr>
    </w:div>
    <w:div w:id="2095737858">
      <w:bodyDiv w:val="1"/>
      <w:marLeft w:val="0"/>
      <w:marRight w:val="0"/>
      <w:marTop w:val="0"/>
      <w:marBottom w:val="0"/>
      <w:divBdr>
        <w:top w:val="none" w:sz="0" w:space="0" w:color="auto"/>
        <w:left w:val="none" w:sz="0" w:space="0" w:color="auto"/>
        <w:bottom w:val="none" w:sz="0" w:space="0" w:color="auto"/>
        <w:right w:val="none" w:sz="0" w:space="0" w:color="auto"/>
      </w:divBdr>
      <w:divsChild>
        <w:div w:id="1742824665">
          <w:marLeft w:val="45"/>
          <w:marRight w:val="45"/>
          <w:marTop w:val="15"/>
          <w:marBottom w:val="0"/>
          <w:divBdr>
            <w:top w:val="none" w:sz="0" w:space="0" w:color="auto"/>
            <w:left w:val="none" w:sz="0" w:space="0" w:color="auto"/>
            <w:bottom w:val="none" w:sz="0" w:space="0" w:color="auto"/>
            <w:right w:val="none" w:sz="0" w:space="0" w:color="auto"/>
          </w:divBdr>
          <w:divsChild>
            <w:div w:id="12861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3203_01/tuxedo/tux100/int/intarch.html" TargetMode="External"/><Relationship Id="rId5" Type="http://schemas.openxmlformats.org/officeDocument/2006/relationships/hyperlink" Target="https://docs.oracle.com/cd/E13203_01/tuxedo/tux100/rf5/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701</Words>
  <Characters>3997</Characters>
  <Application>Microsoft Office Word</Application>
  <DocSecurity>0</DocSecurity>
  <Lines>33</Lines>
  <Paragraphs>9</Paragraphs>
  <ScaleCrop>false</ScaleCrop>
  <Company>Tieto</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Awinash</dc:creator>
  <cp:keywords/>
  <dc:description/>
  <cp:lastModifiedBy>Kumar Awinash</cp:lastModifiedBy>
  <cp:revision>4</cp:revision>
  <dcterms:created xsi:type="dcterms:W3CDTF">2017-09-21T11:08:00Z</dcterms:created>
  <dcterms:modified xsi:type="dcterms:W3CDTF">2017-09-21T11:28:00Z</dcterms:modified>
</cp:coreProperties>
</file>