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Epic EHR IT Application Controls Audit Report</w:t>
      </w:r>
    </w:p>
    <w:p>
      <w:pPr>
        <w:jc w:val="center"/>
      </w:pPr>
      <w:r>
        <w:rPr>
          <w:i/>
          <w:color w:val="5F5F5F"/>
          <w:sz w:val="20"/>
        </w:rPr>
        <w:t>Executive version for portfolio presentation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728"/>
            <w:shd w:fill="D9EAF7"/>
            <w:tcMar>
              <w:top w:w="80" w:type="dxa"/>
              <w:start w:w="90" w:type="dxa"/>
              <w:bottom w:w="80" w:type="dxa"/>
              <w:end w:w="90" w:type="dxa"/>
            </w:tcMar>
            <w:vAlign w:val="center"/>
          </w:tcPr>
          <w:p>
            <w:r>
              <w:rPr>
                <w:b/>
              </w:rPr>
              <w:t>Audit Type</w:t>
            </w:r>
          </w:p>
        </w:tc>
        <w:tc>
          <w:tcPr>
            <w:tcW w:type="dxa" w:w="3024"/>
            <w:tcMar>
              <w:top w:w="80" w:type="dxa"/>
              <w:start w:w="90" w:type="dxa"/>
              <w:bottom w:w="80" w:type="dxa"/>
              <w:end w:w="90" w:type="dxa"/>
            </w:tcMar>
            <w:vAlign w:val="center"/>
          </w:tcPr>
          <w:p>
            <w:r>
              <w:t>Healthcare IT application controls audit</w:t>
            </w:r>
          </w:p>
        </w:tc>
        <w:tc>
          <w:tcPr>
            <w:tcW w:type="dxa" w:w="1584"/>
            <w:shd w:fill="D9EAF7"/>
            <w:tcMar>
              <w:top w:w="80" w:type="dxa"/>
              <w:start w:w="90" w:type="dxa"/>
              <w:bottom w:w="80" w:type="dxa"/>
              <w:end w:w="90" w:type="dxa"/>
            </w:tcMar>
            <w:vAlign w:val="center"/>
          </w:tcPr>
          <w:p>
            <w:r>
              <w:rPr>
                <w:b/>
              </w:rPr>
              <w:t>System in Scope</w:t>
            </w:r>
          </w:p>
        </w:tc>
        <w:tc>
          <w:tcPr>
            <w:tcW w:type="dxa" w:w="3168"/>
            <w:tcMar>
              <w:top w:w="80" w:type="dxa"/>
              <w:start w:w="90" w:type="dxa"/>
              <w:bottom w:w="80" w:type="dxa"/>
              <w:end w:w="90" w:type="dxa"/>
            </w:tcMar>
            <w:vAlign w:val="center"/>
          </w:tcPr>
          <w:p>
            <w:r>
              <w:t>Epic EHR</w:t>
            </w:r>
          </w:p>
        </w:tc>
      </w:tr>
      <w:tr>
        <w:tc>
          <w:tcPr>
            <w:tcW w:type="dxa" w:w="1728"/>
            <w:shd w:fill="D9EAF7"/>
            <w:tcMar>
              <w:top w:w="80" w:type="dxa"/>
              <w:start w:w="90" w:type="dxa"/>
              <w:bottom w:w="80" w:type="dxa"/>
              <w:end w:w="90" w:type="dxa"/>
            </w:tcMar>
            <w:vAlign w:val="center"/>
          </w:tcPr>
          <w:p>
            <w:r>
              <w:rPr>
                <w:b/>
              </w:rPr>
              <w:t>Coverage</w:t>
            </w:r>
          </w:p>
        </w:tc>
        <w:tc>
          <w:tcPr>
            <w:tcW w:type="dxa" w:w="3024"/>
            <w:tcMar>
              <w:top w:w="80" w:type="dxa"/>
              <w:start w:w="90" w:type="dxa"/>
              <w:bottom w:w="80" w:type="dxa"/>
              <w:end w:w="90" w:type="dxa"/>
            </w:tcMar>
            <w:vAlign w:val="center"/>
          </w:tcPr>
          <w:p>
            <w:r>
              <w:t>Input, Processing, Output controls</w:t>
            </w:r>
          </w:p>
        </w:tc>
        <w:tc>
          <w:tcPr>
            <w:tcW w:type="dxa" w:w="1584"/>
            <w:shd w:fill="D9EAF7"/>
            <w:tcMar>
              <w:top w:w="80" w:type="dxa"/>
              <w:start w:w="90" w:type="dxa"/>
              <w:bottom w:w="80" w:type="dxa"/>
              <w:end w:w="90" w:type="dxa"/>
            </w:tcMar>
            <w:vAlign w:val="center"/>
          </w:tcPr>
          <w:p>
            <w:r>
              <w:rPr>
                <w:b/>
              </w:rPr>
              <w:t>Period Assessed</w:t>
            </w:r>
          </w:p>
        </w:tc>
        <w:tc>
          <w:tcPr>
            <w:tcW w:type="dxa" w:w="3168"/>
            <w:tcMar>
              <w:top w:w="80" w:type="dxa"/>
              <w:start w:w="90" w:type="dxa"/>
              <w:bottom w:w="80" w:type="dxa"/>
              <w:end w:w="90" w:type="dxa"/>
            </w:tcMar>
            <w:vAlign w:val="center"/>
          </w:tcPr>
          <w:p>
            <w:r>
              <w:t>Illustrative portfolio case study</w:t>
            </w:r>
          </w:p>
        </w:tc>
      </w:tr>
    </w:tbl>
    <w:p>
      <w:pPr>
        <w:pStyle w:val="Heading1"/>
      </w:pPr>
      <w:r>
        <w:t>Executive summary</w:t>
      </w:r>
    </w:p>
    <w:tbl>
      <w:tblPr>
        <w:tblW w:type="auto" w:w="0"/>
        <w:jc w:val="center"/>
        <w:tblLayout w:type="fixed"/>
        <w:tblLook w:firstColumn="1" w:firstRow="1" w:lastColumn="0" w:lastRow="0" w:noHBand="0" w:noVBand="1" w:val="04A0"/>
      </w:tblPr>
      <w:tblGrid>
        <w:gridCol w:w="9936"/>
      </w:tblGrid>
      <w:tr>
        <w:tc>
          <w:tcPr>
            <w:tcW w:type="dxa" w:w="9648"/>
            <w:shd w:fill="F5F9FC"/>
            <w:tcMar>
              <w:top w:w="120" w:type="dxa"/>
              <w:start w:w="140" w:type="dxa"/>
              <w:bottom w:w="120" w:type="dxa"/>
              <w:end w:w="140" w:type="dxa"/>
            </w:tcMar>
          </w:tcPr>
          <w:p>
            <w:r>
              <w:t>The audit evaluated whether Epic application controls support complete, accurate, and authorized processing of data across registration, order processing, billing, and reporting workflows. Twelve in-scope controls were assessed across the input, processing, and output lifecycle. Overall control design is sound; however, three reportable issues were identified that affect charge capture, reporting reliability, and patient record integrity. Two issues are rated High because they can directly affect revenue recognition or management reporting, while one issue is rated Medium because it increases operational and patient data integrity risk.</w:t>
            </w:r>
          </w:p>
        </w:tc>
      </w:tr>
    </w:tbl>
    <w:p>
      <w:pPr>
        <w:pStyle w:val="Heading1"/>
      </w:pPr>
      <w:r>
        <w:t>Audit snapshot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592"/>
            <w:shd w:fill="1F4E78"/>
            <w:tcMar>
              <w:top w:w="90" w:type="dxa"/>
              <w:start w:w="90" w:type="dxa"/>
              <w:bottom w:w="90" w:type="dxa"/>
              <w:end w:w="90" w:type="dxa"/>
            </w:tcMar>
          </w:tcPr>
          <w:p>
            <w:pPr>
              <w:jc w:val="center"/>
            </w:pPr>
            <w:r>
              <w:rPr>
                <w:b/>
                <w:color w:val="FFFFFF"/>
              </w:rPr>
              <w:t>Controls assessed</w:t>
            </w:r>
          </w:p>
        </w:tc>
        <w:tc>
          <w:tcPr>
            <w:tcW w:type="dxa" w:w="2088"/>
            <w:shd w:fill="1F4E78"/>
            <w:tcMar>
              <w:top w:w="90" w:type="dxa"/>
              <w:start w:w="90" w:type="dxa"/>
              <w:bottom w:w="90" w:type="dxa"/>
              <w:end w:w="90" w:type="dxa"/>
            </w:tcMar>
          </w:tcPr>
          <w:p>
            <w:pPr>
              <w:jc w:val="center"/>
            </w:pPr>
            <w:r>
              <w:rPr>
                <w:b/>
                <w:color w:val="FFFFFF"/>
              </w:rPr>
              <w:t>Reportable issues</w:t>
            </w:r>
          </w:p>
        </w:tc>
        <w:tc>
          <w:tcPr>
            <w:tcW w:type="dxa" w:w="2448"/>
            <w:shd w:fill="1F4E78"/>
            <w:tcMar>
              <w:top w:w="90" w:type="dxa"/>
              <w:start w:w="90" w:type="dxa"/>
              <w:bottom w:w="90" w:type="dxa"/>
              <w:end w:w="90" w:type="dxa"/>
            </w:tcMar>
          </w:tcPr>
          <w:p>
            <w:pPr>
              <w:jc w:val="center"/>
            </w:pPr>
            <w:r>
              <w:rPr>
                <w:b/>
                <w:color w:val="FFFFFF"/>
              </w:rPr>
              <w:t>High severity issues</w:t>
            </w:r>
          </w:p>
        </w:tc>
        <w:tc>
          <w:tcPr>
            <w:tcW w:type="dxa" w:w="2520"/>
            <w:shd w:fill="1F4E78"/>
            <w:tcMar>
              <w:top w:w="90" w:type="dxa"/>
              <w:start w:w="90" w:type="dxa"/>
              <w:bottom w:w="90" w:type="dxa"/>
              <w:end w:w="90" w:type="dxa"/>
            </w:tcMar>
          </w:tcPr>
          <w:p>
            <w:pPr>
              <w:jc w:val="center"/>
            </w:pPr>
            <w:r>
              <w:rPr>
                <w:b/>
                <w:color w:val="FFFFFF"/>
              </w:rPr>
              <w:t>Overall rating</w:t>
            </w:r>
          </w:p>
        </w:tc>
      </w:tr>
      <w:tr>
        <w:tc>
          <w:tcPr>
            <w:tcW w:type="dxa" w:w="2592"/>
            <w:tcMar>
              <w:top w:w="130" w:type="dxa"/>
              <w:start w:w="90" w:type="dxa"/>
              <w:bottom w:w="130" w:type="dxa"/>
              <w:end w:w="90" w:type="dxa"/>
            </w:tcMar>
          </w:tcPr>
          <w:p>
            <w:pPr>
              <w:jc w:val="center"/>
            </w:pPr>
            <w:r>
              <w:rPr>
                <w:b/>
                <w:sz w:val="26"/>
              </w:rPr>
              <w:t>12</w:t>
            </w:r>
          </w:p>
        </w:tc>
        <w:tc>
          <w:tcPr>
            <w:tcW w:type="dxa" w:w="2088"/>
            <w:tcMar>
              <w:top w:w="130" w:type="dxa"/>
              <w:start w:w="90" w:type="dxa"/>
              <w:bottom w:w="130" w:type="dxa"/>
              <w:end w:w="90" w:type="dxa"/>
            </w:tcMar>
          </w:tcPr>
          <w:p>
            <w:pPr>
              <w:jc w:val="center"/>
            </w:pPr>
            <w:r>
              <w:rPr>
                <w:b/>
                <w:sz w:val="26"/>
              </w:rPr>
              <w:t>3</w:t>
            </w:r>
          </w:p>
        </w:tc>
        <w:tc>
          <w:tcPr>
            <w:tcW w:type="dxa" w:w="2448"/>
            <w:tcMar>
              <w:top w:w="130" w:type="dxa"/>
              <w:start w:w="90" w:type="dxa"/>
              <w:bottom w:w="130" w:type="dxa"/>
              <w:end w:w="90" w:type="dxa"/>
            </w:tcMar>
          </w:tcPr>
          <w:p>
            <w:pPr>
              <w:jc w:val="center"/>
            </w:pPr>
            <w:r>
              <w:rPr>
                <w:b/>
                <w:sz w:val="26"/>
              </w:rPr>
              <w:t>2</w:t>
            </w:r>
          </w:p>
        </w:tc>
        <w:tc>
          <w:tcPr>
            <w:tcW w:type="dxa" w:w="2520"/>
            <w:tcMar>
              <w:top w:w="130" w:type="dxa"/>
              <w:start w:w="90" w:type="dxa"/>
              <w:bottom w:w="130" w:type="dxa"/>
              <w:end w:w="90" w:type="dxa"/>
            </w:tcMar>
          </w:tcPr>
          <w:p>
            <w:pPr>
              <w:jc w:val="center"/>
            </w:pPr>
            <w:r>
              <w:rPr>
                <w:b/>
                <w:sz w:val="26"/>
              </w:rPr>
              <w:t>Needs targeted remediation</w:t>
            </w:r>
          </w:p>
        </w:tc>
      </w:tr>
    </w:tbl>
    <w:p>
      <w:pPr>
        <w:pStyle w:val="Heading1"/>
      </w:pPr>
      <w:r>
        <w:t>Scope</w:t>
      </w:r>
    </w:p>
    <w:p>
      <w:pPr>
        <w:spacing w:after="40"/>
        <w:ind w:left="288"/>
      </w:pPr>
      <w:r>
        <w:t>• In scope modules: Registration, Master Patient Index, Bridges inbound interfaces, Orders/Results workflow, Clinical Decision Support, Resolute Billing, Clarity ETL, and operational / management reporting.</w:t>
      </w:r>
    </w:p>
    <w:p>
      <w:pPr>
        <w:spacing w:after="40"/>
        <w:ind w:left="288"/>
      </w:pPr>
      <w:r>
        <w:t>• Control domains: Input, Processing, and Output application controls.</w:t>
      </w:r>
    </w:p>
    <w:p>
      <w:pPr>
        <w:spacing w:after="40"/>
        <w:ind w:left="288"/>
      </w:pPr>
      <w:r>
        <w:t>• Out of scope: infrastructure controls, enterprise IAM, backup / recovery, and broader ITGC coverage except where referenced for context.</w:t>
      </w:r>
    </w:p>
    <w:p>
      <w:pPr>
        <w:pStyle w:val="Heading1"/>
      </w:pPr>
      <w:r>
        <w:t>Approach and methodology</w:t>
      </w:r>
    </w:p>
    <w:p>
      <w:pPr>
        <w:spacing w:after="40"/>
        <w:ind w:left="288"/>
      </w:pPr>
      <w:r>
        <w:t>• Performed walkthrough inquiry to understand workflow design, ownership, and exception handling.</w:t>
      </w:r>
    </w:p>
    <w:p>
      <w:pPr>
        <w:spacing w:after="40"/>
        <w:ind w:left="288"/>
      </w:pPr>
      <w:r>
        <w:t>• Reviewed configuration logic, sampled transactions or scenarios, and inspected system-generated evidence where appropriate.</w:t>
      </w:r>
    </w:p>
    <w:p>
      <w:pPr>
        <w:spacing w:after="40"/>
        <w:ind w:left="288"/>
      </w:pPr>
      <w:r>
        <w:t>• Evaluated control design and illustrative operating effectiveness using risk-based samples matched to control type and frequency.</w:t>
      </w:r>
    </w:p>
    <w:p>
      <w:pPr>
        <w:pStyle w:val="Heading1"/>
      </w:pPr>
      <w:r>
        <w:t>Control coverage summary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72"/>
            <w:shd w:fill="D9EAF7"/>
            <w:tcMar>
              <w:top w:w="90" w:type="dxa"/>
              <w:start w:w="90" w:type="dxa"/>
              <w:bottom w:w="90" w:type="dxa"/>
              <w:end w:w="90" w:type="dxa"/>
            </w:tcMar>
          </w:tcPr>
          <w:p>
            <w:r>
              <w:rPr>
                <w:b/>
              </w:rPr>
              <w:t>Area</w:t>
            </w:r>
          </w:p>
        </w:tc>
        <w:tc>
          <w:tcPr>
            <w:tcW w:type="dxa" w:w="2592"/>
            <w:shd w:fill="D9EAF7"/>
            <w:tcMar>
              <w:top w:w="90" w:type="dxa"/>
              <w:start w:w="90" w:type="dxa"/>
              <w:bottom w:w="90" w:type="dxa"/>
              <w:end w:w="90" w:type="dxa"/>
            </w:tcMar>
          </w:tcPr>
          <w:p>
            <w:r>
              <w:rPr>
                <w:b/>
              </w:rPr>
              <w:t>Controls</w:t>
            </w:r>
          </w:p>
        </w:tc>
        <w:tc>
          <w:tcPr>
            <w:tcW w:type="dxa" w:w="2304"/>
            <w:shd w:fill="D9EAF7"/>
            <w:tcMar>
              <w:top w:w="90" w:type="dxa"/>
              <w:start w:w="90" w:type="dxa"/>
              <w:bottom w:w="90" w:type="dxa"/>
              <w:end w:w="90" w:type="dxa"/>
            </w:tcMar>
          </w:tcPr>
          <w:p>
            <w:r>
              <w:rPr>
                <w:b/>
              </w:rPr>
              <w:t>Coverage focus</w:t>
            </w:r>
          </w:p>
        </w:tc>
        <w:tc>
          <w:tcPr>
            <w:tcW w:type="dxa" w:w="4320"/>
            <w:shd w:fill="D9EAF7"/>
            <w:tcMar>
              <w:top w:w="90" w:type="dxa"/>
              <w:start w:w="90" w:type="dxa"/>
              <w:bottom w:w="90" w:type="dxa"/>
              <w:end w:w="90" w:type="dxa"/>
            </w:tcMar>
          </w:tcPr>
          <w:p>
            <w:r>
              <w:rPr>
                <w:b/>
              </w:rPr>
              <w:t>Representative modules</w:t>
            </w:r>
          </w:p>
        </w:tc>
      </w:tr>
      <w:tr>
        <w:tc>
          <w:tcPr>
            <w:tcW w:type="dxa" w:w="2484"/>
            <w:tcMar>
              <w:top w:w="80" w:type="dxa"/>
              <w:start w:w="85" w:type="dxa"/>
              <w:bottom w:w="80" w:type="dxa"/>
              <w:end w:w="85" w:type="dxa"/>
            </w:tcMar>
          </w:tcPr>
          <w:p>
            <w:pPr>
              <w:jc w:val="center"/>
            </w:pPr>
            <w:r>
              <w:t>Input</w:t>
            </w:r>
          </w:p>
        </w:tc>
        <w:tc>
          <w:tcPr>
            <w:tcW w:type="dxa" w:w="2484"/>
            <w:tcMar>
              <w:top w:w="80" w:type="dxa"/>
              <w:start w:w="85" w:type="dxa"/>
              <w:bottom w:w="80" w:type="dxa"/>
              <w:end w:w="85" w:type="dxa"/>
            </w:tcMar>
          </w:tcPr>
          <w:p>
            <w:pPr>
              <w:jc w:val="center"/>
            </w:pPr>
            <w:r>
              <w:t>4</w:t>
            </w:r>
          </w:p>
        </w:tc>
        <w:tc>
          <w:tcPr>
            <w:tcW w:type="dxa" w:w="2484"/>
            <w:tcMar>
              <w:top w:w="80" w:type="dxa"/>
              <w:start w:w="85" w:type="dxa"/>
              <w:bottom w:w="80" w:type="dxa"/>
              <w:end w:w="85" w:type="dxa"/>
            </w:tcMar>
          </w:tcPr>
          <w:p>
            <w:r>
              <w:t>Data validity and authorized entry</w:t>
            </w:r>
          </w:p>
        </w:tc>
        <w:tc>
          <w:tcPr>
            <w:tcW w:type="dxa" w:w="2484"/>
            <w:tcMar>
              <w:top w:w="80" w:type="dxa"/>
              <w:start w:w="85" w:type="dxa"/>
              <w:bottom w:w="80" w:type="dxa"/>
              <w:end w:w="85" w:type="dxa"/>
            </w:tcMar>
          </w:tcPr>
          <w:p>
            <w:r>
              <w:t>Registration, MPI, Bridges, Hyperspace security</w:t>
            </w:r>
          </w:p>
        </w:tc>
      </w:tr>
      <w:tr>
        <w:tc>
          <w:tcPr>
            <w:tcW w:type="dxa" w:w="2484"/>
            <w:tcMar>
              <w:top w:w="80" w:type="dxa"/>
              <w:start w:w="85" w:type="dxa"/>
              <w:bottom w:w="80" w:type="dxa"/>
              <w:end w:w="85" w:type="dxa"/>
            </w:tcMar>
          </w:tcPr>
          <w:p>
            <w:pPr>
              <w:jc w:val="center"/>
            </w:pPr>
            <w:r>
              <w:t>Processing</w:t>
            </w:r>
          </w:p>
        </w:tc>
        <w:tc>
          <w:tcPr>
            <w:tcW w:type="dxa" w:w="2484"/>
            <w:tcMar>
              <w:top w:w="80" w:type="dxa"/>
              <w:start w:w="85" w:type="dxa"/>
              <w:bottom w:w="80" w:type="dxa"/>
              <w:end w:w="85" w:type="dxa"/>
            </w:tcMar>
          </w:tcPr>
          <w:p>
            <w:pPr>
              <w:jc w:val="center"/>
            </w:pPr>
            <w:r>
              <w:t>5</w:t>
            </w:r>
          </w:p>
        </w:tc>
        <w:tc>
          <w:tcPr>
            <w:tcW w:type="dxa" w:w="2484"/>
            <w:tcMar>
              <w:top w:w="80" w:type="dxa"/>
              <w:start w:w="85" w:type="dxa"/>
              <w:bottom w:w="80" w:type="dxa"/>
              <w:end w:w="85" w:type="dxa"/>
            </w:tcMar>
          </w:tcPr>
          <w:p>
            <w:r>
              <w:t>Workflow completeness and automated logic</w:t>
            </w:r>
          </w:p>
        </w:tc>
        <w:tc>
          <w:tcPr>
            <w:tcW w:type="dxa" w:w="2484"/>
            <w:tcMar>
              <w:top w:w="80" w:type="dxa"/>
              <w:start w:w="85" w:type="dxa"/>
              <w:bottom w:w="80" w:type="dxa"/>
              <w:end w:w="85" w:type="dxa"/>
            </w:tcMar>
          </w:tcPr>
          <w:p>
            <w:r>
              <w:t>Orders/Results, CDS, Resolute, Clarity ETL, Chronicles changes</w:t>
            </w:r>
          </w:p>
        </w:tc>
      </w:tr>
      <w:tr>
        <w:tc>
          <w:tcPr>
            <w:tcW w:type="dxa" w:w="2484"/>
            <w:tcMar>
              <w:top w:w="80" w:type="dxa"/>
              <w:start w:w="85" w:type="dxa"/>
              <w:bottom w:w="80" w:type="dxa"/>
              <w:end w:w="85" w:type="dxa"/>
            </w:tcMar>
          </w:tcPr>
          <w:p>
            <w:pPr>
              <w:jc w:val="center"/>
            </w:pPr>
            <w:r>
              <w:t>Output</w:t>
            </w:r>
          </w:p>
        </w:tc>
        <w:tc>
          <w:tcPr>
            <w:tcW w:type="dxa" w:w="2484"/>
            <w:tcMar>
              <w:top w:w="80" w:type="dxa"/>
              <w:start w:w="85" w:type="dxa"/>
              <w:bottom w:w="80" w:type="dxa"/>
              <w:end w:w="85" w:type="dxa"/>
            </w:tcMar>
          </w:tcPr>
          <w:p>
            <w:pPr>
              <w:jc w:val="center"/>
            </w:pPr>
            <w:r>
              <w:t>3</w:t>
            </w:r>
          </w:p>
        </w:tc>
        <w:tc>
          <w:tcPr>
            <w:tcW w:type="dxa" w:w="2484"/>
            <w:tcMar>
              <w:top w:w="80" w:type="dxa"/>
              <w:start w:w="85" w:type="dxa"/>
              <w:bottom w:w="80" w:type="dxa"/>
              <w:end w:w="85" w:type="dxa"/>
            </w:tcMar>
          </w:tcPr>
          <w:p>
            <w:r>
              <w:t>Accuracy, completeness, and access to reports</w:t>
            </w:r>
          </w:p>
        </w:tc>
        <w:tc>
          <w:tcPr>
            <w:tcW w:type="dxa" w:w="2484"/>
            <w:tcMar>
              <w:top w:w="80" w:type="dxa"/>
              <w:start w:w="85" w:type="dxa"/>
              <w:bottom w:w="80" w:type="dxa"/>
              <w:end w:w="85" w:type="dxa"/>
            </w:tcMar>
          </w:tcPr>
          <w:p>
            <w:r>
              <w:t>Clarity and operational reporting</w:t>
            </w:r>
          </w:p>
        </w:tc>
      </w:tr>
    </w:tbl>
    <w:p>
      <w:pPr>
        <w:pStyle w:val="Heading1"/>
      </w:pPr>
      <w:r>
        <w:t>Key findings and recommendations</w:t>
      </w:r>
    </w:p>
    <w:tbl>
      <w:tblPr>
        <w:tblW w:type="auto" w:w="0"/>
        <w:jc w:val="center"/>
        <w:tblLayout w:type="fixed"/>
        <w:tblLook w:firstColumn="1" w:firstRow="1" w:lastColumn="0" w:lastRow="0" w:noHBand="0" w:noVBand="1" w:val="04A0"/>
      </w:tblPr>
      <w:tblGrid>
        <w:gridCol w:w="9936"/>
      </w:tblGrid>
      <w:tr>
        <w:tc>
          <w:tcPr>
            <w:tcW w:type="dxa" w:w="9648"/>
            <w:tcMar>
              <w:top w:w="120" w:type="dxa"/>
              <w:start w:w="130" w:type="dxa"/>
              <w:bottom w:w="120" w:type="dxa"/>
              <w:end w:w="130" w:type="dxa"/>
            </w:tcMar>
          </w:tcPr>
          <w:p>
            <w:r>
              <w:rPr>
                <w:b/>
                <w:color w:val="993300"/>
              </w:rPr>
              <w:t>F-01  |  High  |  EPIC-PR-03  |  Incomplete charge capture in Resolute</w:t>
            </w:r>
          </w:p>
          <w:p>
            <w:r>
              <w:rPr>
                <w:b/>
              </w:rPr>
              <w:t xml:space="preserve">Condition: </w:t>
            </w:r>
            <w:r>
              <w:t>Sampled encounters showed that certain completed clinical activities did not consistently generate expected charges in Epic billing output.</w:t>
            </w:r>
          </w:p>
          <w:p>
            <w:r>
              <w:rPr>
                <w:b/>
              </w:rPr>
              <w:t xml:space="preserve">Impact: </w:t>
            </w:r>
            <w:r>
              <w:t>Understated charges can result in revenue leakage and inaccurate downstream financial reporting.</w:t>
            </w:r>
          </w:p>
          <w:p>
            <w:r>
              <w:rPr>
                <w:b/>
              </w:rPr>
              <w:t xml:space="preserve">Cause: </w:t>
            </w:r>
            <w:r>
              <w:t>Charge mapping configuration and reconciliation activity were not sufficiently robust to detect all omissions.</w:t>
            </w:r>
          </w:p>
          <w:p>
            <w:r>
              <w:rPr>
                <w:b/>
              </w:rPr>
              <w:t xml:space="preserve">Recommendation: </w:t>
            </w:r>
            <w:r>
              <w:t>Review charge mapping logic for affected workflows, perform targeted back-testing, and implement a periodic reconciliation between clinical activity and generated charges.</w:t>
            </w:r>
          </w:p>
        </w:tc>
      </w:tr>
    </w:tbl>
    <w:p/>
    <w:tbl>
      <w:tblPr>
        <w:tblW w:type="auto" w:w="0"/>
        <w:jc w:val="center"/>
        <w:tblLayout w:type="fixed"/>
        <w:tblLook w:firstColumn="1" w:firstRow="1" w:lastColumn="0" w:lastRow="0" w:noHBand="0" w:noVBand="1" w:val="04A0"/>
      </w:tblPr>
      <w:tblGrid>
        <w:gridCol w:w="9936"/>
      </w:tblGrid>
      <w:tr>
        <w:tc>
          <w:tcPr>
            <w:tcW w:type="dxa" w:w="9648"/>
            <w:tcMar>
              <w:top w:w="120" w:type="dxa"/>
              <w:start w:w="130" w:type="dxa"/>
              <w:bottom w:w="120" w:type="dxa"/>
              <w:end w:w="130" w:type="dxa"/>
            </w:tcMar>
          </w:tcPr>
          <w:p>
            <w:r>
              <w:rPr>
                <w:b/>
                <w:color w:val="993300"/>
              </w:rPr>
              <w:t>F-02  |  High  |  EPIC-PR-04  |  Insufficient ETL monitoring and follow-up</w:t>
            </w:r>
          </w:p>
          <w:p>
            <w:r>
              <w:rPr>
                <w:b/>
              </w:rPr>
              <w:t xml:space="preserve">Condition: </w:t>
            </w:r>
            <w:r>
              <w:t>ETL failures and warning conditions were not always reviewed or escalated consistently, and evidence of timely rerun activity was not always available.</w:t>
            </w:r>
          </w:p>
          <w:p>
            <w:r>
              <w:rPr>
                <w:b/>
              </w:rPr>
              <w:t xml:space="preserve">Impact: </w:t>
            </w:r>
            <w:r>
              <w:t>Incomplete or delayed Clarity data can affect management reporting, trending, and operational decisions.</w:t>
            </w:r>
          </w:p>
          <w:p>
            <w:r>
              <w:rPr>
                <w:b/>
              </w:rPr>
              <w:t xml:space="preserve">Cause: </w:t>
            </w:r>
            <w:r>
              <w:t>Monitoring ownership and escalation expectations were not consistently enforced.</w:t>
            </w:r>
          </w:p>
          <w:p>
            <w:r>
              <w:rPr>
                <w:b/>
              </w:rPr>
              <w:t xml:space="preserve">Recommendation: </w:t>
            </w:r>
            <w:r>
              <w:t>Implement formal daily ETL review, configure automated alerting for failures and warnings, and retain evidence of investigation and rerun completion.</w:t>
            </w:r>
          </w:p>
        </w:tc>
      </w:tr>
    </w:tbl>
    <w:p/>
    <w:tbl>
      <w:tblPr>
        <w:tblW w:type="auto" w:w="0"/>
        <w:jc w:val="center"/>
        <w:tblLayout w:type="fixed"/>
        <w:tblLook w:firstColumn="1" w:firstRow="1" w:lastColumn="0" w:lastRow="0" w:noHBand="0" w:noVBand="1" w:val="04A0"/>
      </w:tblPr>
      <w:tblGrid>
        <w:gridCol w:w="9936"/>
      </w:tblGrid>
      <w:tr>
        <w:tc>
          <w:tcPr>
            <w:tcW w:type="dxa" w:w="9648"/>
            <w:tcMar>
              <w:top w:w="120" w:type="dxa"/>
              <w:start w:w="130" w:type="dxa"/>
              <w:bottom w:w="120" w:type="dxa"/>
              <w:end w:w="130" w:type="dxa"/>
            </w:tcMar>
          </w:tcPr>
          <w:p>
            <w:r>
              <w:rPr>
                <w:b/>
                <w:color w:val="1F4E79"/>
              </w:rPr>
              <w:t>F-03  |  Medium  |  EPIC-IN-02  |  Duplicate patient alert resolution is not consistently enforced</w:t>
            </w:r>
          </w:p>
          <w:p>
            <w:r>
              <w:rPr>
                <w:b/>
              </w:rPr>
              <w:t xml:space="preserve">Condition: </w:t>
            </w:r>
            <w:r>
              <w:t>Duplicate patient warnings can be bypassed without consistent evidence that the alert was fully investigated before record creation proceeded.</w:t>
            </w:r>
          </w:p>
          <w:p>
            <w:r>
              <w:rPr>
                <w:b/>
              </w:rPr>
              <w:t xml:space="preserve">Impact: </w:t>
            </w:r>
            <w:r>
              <w:t>Unresolved duplicates may fragment patient history, reduce data reliability, and increase operational risk.</w:t>
            </w:r>
          </w:p>
          <w:p>
            <w:r>
              <w:rPr>
                <w:b/>
              </w:rPr>
              <w:t xml:space="preserve">Cause: </w:t>
            </w:r>
            <w:r>
              <w:t>The workflow relies too heavily on user discretion and lacks strong enforcement at the point of entry.</w:t>
            </w:r>
          </w:p>
          <w:p>
            <w:r>
              <w:rPr>
                <w:b/>
              </w:rPr>
              <w:t xml:space="preserve">Recommendation: </w:t>
            </w:r>
            <w:r>
              <w:t>Require documented resolution before duplicate alerts can be overridden and periodically review duplicate alert activity for trends and policy adherence.</w:t>
            </w:r>
          </w:p>
        </w:tc>
      </w:tr>
    </w:tbl>
    <w:p/>
    <w:p>
      <w:pPr>
        <w:pStyle w:val="Heading1"/>
      </w:pPr>
      <w:r>
        <w:t>Management action priorities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D9EAF7"/>
            <w:tcMar>
              <w:top w:w="90" w:type="dxa"/>
              <w:start w:w="90" w:type="dxa"/>
              <w:bottom w:w="90" w:type="dxa"/>
              <w:end w:w="90" w:type="dxa"/>
            </w:tcMar>
          </w:tcPr>
          <w:p>
            <w:r>
              <w:rPr>
                <w:b/>
              </w:rPr>
              <w:t>Issue</w:t>
            </w:r>
          </w:p>
        </w:tc>
        <w:tc>
          <w:tcPr>
            <w:tcW w:type="dxa" w:w="2880"/>
            <w:shd w:fill="D9EAF7"/>
            <w:tcMar>
              <w:top w:w="90" w:type="dxa"/>
              <w:start w:w="90" w:type="dxa"/>
              <w:bottom w:w="90" w:type="dxa"/>
              <w:end w:w="90" w:type="dxa"/>
            </w:tcMar>
          </w:tcPr>
          <w:p>
            <w:r>
              <w:rPr>
                <w:b/>
              </w:rPr>
              <w:t>Owner</w:t>
            </w:r>
          </w:p>
        </w:tc>
        <w:tc>
          <w:tcPr>
            <w:tcW w:type="dxa" w:w="1440"/>
            <w:shd w:fill="D9EAF7"/>
            <w:tcMar>
              <w:top w:w="90" w:type="dxa"/>
              <w:start w:w="90" w:type="dxa"/>
              <w:bottom w:w="90" w:type="dxa"/>
              <w:end w:w="90" w:type="dxa"/>
            </w:tcMar>
          </w:tcPr>
          <w:p>
            <w:r>
              <w:rPr>
                <w:b/>
              </w:rPr>
              <w:t>Priority</w:t>
            </w:r>
          </w:p>
        </w:tc>
        <w:tc>
          <w:tcPr>
            <w:tcW w:type="dxa" w:w="1728"/>
            <w:shd w:fill="D9EAF7"/>
            <w:tcMar>
              <w:top w:w="90" w:type="dxa"/>
              <w:start w:w="90" w:type="dxa"/>
              <w:bottom w:w="90" w:type="dxa"/>
              <w:end w:w="90" w:type="dxa"/>
            </w:tcMar>
          </w:tcPr>
          <w:p>
            <w:r>
              <w:rPr>
                <w:b/>
              </w:rPr>
              <w:t>Target date</w:t>
            </w:r>
          </w:p>
        </w:tc>
        <w:tc>
          <w:tcPr>
            <w:tcW w:type="dxa" w:w="2592"/>
            <w:shd w:fill="D9EAF7"/>
            <w:tcMar>
              <w:top w:w="90" w:type="dxa"/>
              <w:start w:w="90" w:type="dxa"/>
              <w:bottom w:w="90" w:type="dxa"/>
              <w:end w:w="90" w:type="dxa"/>
            </w:tcMar>
          </w:tcPr>
          <w:p>
            <w:r>
              <w:rPr>
                <w:b/>
              </w:rPr>
              <w:t>Priority action</w:t>
            </w:r>
          </w:p>
        </w:tc>
      </w:tr>
      <w:tr>
        <w:tc>
          <w:tcPr>
            <w:tcW w:type="dxa" w:w="1987"/>
            <w:tcMar>
              <w:top w:w="80" w:type="dxa"/>
              <w:start w:w="85" w:type="dxa"/>
              <w:bottom w:w="80" w:type="dxa"/>
              <w:end w:w="85" w:type="dxa"/>
            </w:tcMar>
          </w:tcPr>
          <w:p>
            <w:pPr>
              <w:jc w:val="center"/>
            </w:pPr>
            <w:r>
              <w:t>F-01</w:t>
            </w:r>
          </w:p>
        </w:tc>
        <w:tc>
          <w:tcPr>
            <w:tcW w:type="dxa" w:w="1987"/>
            <w:tcMar>
              <w:top w:w="80" w:type="dxa"/>
              <w:start w:w="85" w:type="dxa"/>
              <w:bottom w:w="80" w:type="dxa"/>
              <w:end w:w="85" w:type="dxa"/>
            </w:tcMar>
          </w:tcPr>
          <w:p>
            <w:r>
              <w:t>Revenue Cycle</w:t>
            </w:r>
          </w:p>
        </w:tc>
        <w:tc>
          <w:tcPr>
            <w:tcW w:type="dxa" w:w="1987"/>
            <w:tcMar>
              <w:top w:w="80" w:type="dxa"/>
              <w:start w:w="85" w:type="dxa"/>
              <w:bottom w:w="80" w:type="dxa"/>
              <w:end w:w="85" w:type="dxa"/>
            </w:tcMar>
          </w:tcPr>
          <w:p>
            <w:pPr>
              <w:jc w:val="center"/>
            </w:pPr>
            <w:r>
              <w:t>High</w:t>
            </w:r>
          </w:p>
        </w:tc>
        <w:tc>
          <w:tcPr>
            <w:tcW w:type="dxa" w:w="1987"/>
            <w:tcMar>
              <w:top w:w="80" w:type="dxa"/>
              <w:start w:w="85" w:type="dxa"/>
              <w:bottom w:w="80" w:type="dxa"/>
              <w:end w:w="85" w:type="dxa"/>
            </w:tcMar>
          </w:tcPr>
          <w:p>
            <w:pPr>
              <w:jc w:val="center"/>
            </w:pPr>
            <w:r>
              <w:t>30-Jun-2026</w:t>
            </w:r>
          </w:p>
        </w:tc>
        <w:tc>
          <w:tcPr>
            <w:tcW w:type="dxa" w:w="1987"/>
            <w:tcMar>
              <w:top w:w="80" w:type="dxa"/>
              <w:start w:w="85" w:type="dxa"/>
              <w:bottom w:w="80" w:type="dxa"/>
              <w:end w:w="85" w:type="dxa"/>
            </w:tcMar>
          </w:tcPr>
          <w:p>
            <w:r>
              <w:t>Correct charge mapping and add reconciliation</w:t>
            </w:r>
          </w:p>
        </w:tc>
      </w:tr>
      <w:tr>
        <w:tc>
          <w:tcPr>
            <w:tcW w:type="dxa" w:w="1987"/>
            <w:tcMar>
              <w:top w:w="80" w:type="dxa"/>
              <w:start w:w="85" w:type="dxa"/>
              <w:bottom w:w="80" w:type="dxa"/>
              <w:end w:w="85" w:type="dxa"/>
            </w:tcMar>
          </w:tcPr>
          <w:p>
            <w:pPr>
              <w:jc w:val="center"/>
            </w:pPr>
            <w:r>
              <w:t>F-02</w:t>
            </w:r>
          </w:p>
        </w:tc>
        <w:tc>
          <w:tcPr>
            <w:tcW w:type="dxa" w:w="1987"/>
            <w:tcMar>
              <w:top w:w="80" w:type="dxa"/>
              <w:start w:w="85" w:type="dxa"/>
              <w:bottom w:w="80" w:type="dxa"/>
              <w:end w:w="85" w:type="dxa"/>
            </w:tcMar>
          </w:tcPr>
          <w:p>
            <w:r>
              <w:t>Data Operations</w:t>
            </w:r>
          </w:p>
        </w:tc>
        <w:tc>
          <w:tcPr>
            <w:tcW w:type="dxa" w:w="1987"/>
            <w:tcMar>
              <w:top w:w="80" w:type="dxa"/>
              <w:start w:w="85" w:type="dxa"/>
              <w:bottom w:w="80" w:type="dxa"/>
              <w:end w:w="85" w:type="dxa"/>
            </w:tcMar>
          </w:tcPr>
          <w:p>
            <w:pPr>
              <w:jc w:val="center"/>
            </w:pPr>
            <w:r>
              <w:t>High</w:t>
            </w:r>
          </w:p>
        </w:tc>
        <w:tc>
          <w:tcPr>
            <w:tcW w:type="dxa" w:w="1987"/>
            <w:tcMar>
              <w:top w:w="80" w:type="dxa"/>
              <w:start w:w="85" w:type="dxa"/>
              <w:bottom w:w="80" w:type="dxa"/>
              <w:end w:w="85" w:type="dxa"/>
            </w:tcMar>
          </w:tcPr>
          <w:p>
            <w:pPr>
              <w:jc w:val="center"/>
            </w:pPr>
            <w:r>
              <w:t>31-May-2026</w:t>
            </w:r>
          </w:p>
        </w:tc>
        <w:tc>
          <w:tcPr>
            <w:tcW w:type="dxa" w:w="1987"/>
            <w:tcMar>
              <w:top w:w="80" w:type="dxa"/>
              <w:start w:w="85" w:type="dxa"/>
              <w:bottom w:w="80" w:type="dxa"/>
              <w:end w:w="85" w:type="dxa"/>
            </w:tcMar>
          </w:tcPr>
          <w:p>
            <w:r>
              <w:t>Formalize ETL review and automated alerts</w:t>
            </w:r>
          </w:p>
        </w:tc>
      </w:tr>
      <w:tr>
        <w:tc>
          <w:tcPr>
            <w:tcW w:type="dxa" w:w="1987"/>
            <w:tcMar>
              <w:top w:w="80" w:type="dxa"/>
              <w:start w:w="85" w:type="dxa"/>
              <w:bottom w:w="80" w:type="dxa"/>
              <w:end w:w="85" w:type="dxa"/>
            </w:tcMar>
          </w:tcPr>
          <w:p>
            <w:pPr>
              <w:jc w:val="center"/>
            </w:pPr>
            <w:r>
              <w:t>F-03</w:t>
            </w:r>
          </w:p>
        </w:tc>
        <w:tc>
          <w:tcPr>
            <w:tcW w:type="dxa" w:w="1987"/>
            <w:tcMar>
              <w:top w:w="80" w:type="dxa"/>
              <w:start w:w="85" w:type="dxa"/>
              <w:bottom w:w="80" w:type="dxa"/>
              <w:end w:w="85" w:type="dxa"/>
            </w:tcMar>
          </w:tcPr>
          <w:p>
            <w:r>
              <w:t>HIM / Registration</w:t>
            </w:r>
          </w:p>
        </w:tc>
        <w:tc>
          <w:tcPr>
            <w:tcW w:type="dxa" w:w="1987"/>
            <w:tcMar>
              <w:top w:w="80" w:type="dxa"/>
              <w:start w:w="85" w:type="dxa"/>
              <w:bottom w:w="80" w:type="dxa"/>
              <w:end w:w="85" w:type="dxa"/>
            </w:tcMar>
          </w:tcPr>
          <w:p>
            <w:pPr>
              <w:jc w:val="center"/>
            </w:pPr>
            <w:r>
              <w:t>Medium</w:t>
            </w:r>
          </w:p>
        </w:tc>
        <w:tc>
          <w:tcPr>
            <w:tcW w:type="dxa" w:w="1987"/>
            <w:tcMar>
              <w:top w:w="80" w:type="dxa"/>
              <w:start w:w="85" w:type="dxa"/>
              <w:bottom w:w="80" w:type="dxa"/>
              <w:end w:w="85" w:type="dxa"/>
            </w:tcMar>
          </w:tcPr>
          <w:p>
            <w:pPr>
              <w:jc w:val="center"/>
            </w:pPr>
            <w:r>
              <w:t>15-Jul-2026</w:t>
            </w:r>
          </w:p>
        </w:tc>
        <w:tc>
          <w:tcPr>
            <w:tcW w:type="dxa" w:w="1987"/>
            <w:tcMar>
              <w:top w:w="80" w:type="dxa"/>
              <w:start w:w="85" w:type="dxa"/>
              <w:bottom w:w="80" w:type="dxa"/>
              <w:end w:w="85" w:type="dxa"/>
            </w:tcMar>
          </w:tcPr>
          <w:p>
            <w:r>
              <w:t>Enforce duplicate resolution before save</w:t>
            </w:r>
          </w:p>
        </w:tc>
      </w:tr>
    </w:tbl>
    <w:p>
      <w:pPr>
        <w:pStyle w:val="Heading1"/>
      </w:pPr>
      <w:r>
        <w:t>Final conclusion</w:t>
      </w:r>
    </w:p>
    <w:p>
      <w:r>
        <w:t>Epic application controls across the reviewed workflows are generally well structured, but the charge capture and ETL monitoring issues require prompt remediation because they affect billing integrity and reporting reliability. Strengthening duplicate patient alert enforcement would further improve data quality and operational consistency.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