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Long-Term Warming, Definition-Dependent Heatwaves, and Short-Lead Persistent-Hot-Window Prediction in Dhaka, Bangladesh, 1972–2024</w:t>
      </w:r>
    </w:p>
    <w:p/>
    <w:p>
      <w:r>
        <w:rPr>
          <w:color w:val="000000"/>
          <w:highlight w:val="yellow"/>
        </w:rPr>
        <w:t>Article type: Original Article</w:t>
      </w:r>
    </w:p>
    <w:p/>
    <w:p>
      <w:r>
        <w:rPr>
          <w:color w:val="000000"/>
          <w:highlight w:val="yellow"/>
        </w:rPr>
        <w:t>Authors: Awnon Bhowmik¹; Goutam Saha²</w:t>
      </w:r>
    </w:p>
    <w:p/>
    <w:p>
      <w:r>
        <w:rPr>
          <w:color w:val="000000"/>
          <w:highlight w:val="yellow"/>
        </w:rPr>
        <w:t>Affiliations: ¹College of Engineering &amp; Computer Science, Colorado Technical University, Colorado Springs, CO 80907, USA; ²Department of Mathematics, International University of Business Agriculture and Technology, Dhaka 1230, Bangladesh</w:t>
      </w:r>
    </w:p>
    <w:p/>
    <w:p>
      <w:r>
        <w:rPr>
          <w:color w:val="000000"/>
          <w:highlight w:val="yellow"/>
        </w:rPr>
        <w:t>Corresponding author: Goutam Saha (gsahamath@du.ac.bd)</w:t>
      </w:r>
    </w:p>
    <w:p/>
    <w:p>
      <w:r>
        <w:rPr>
          <w:color w:val="000000"/>
          <w:highlight w:val="yellow"/>
        </w:rPr>
        <w:t>Author emails: Awnon Bhowmik (awnonbhowmik@outlook.com); Goutam Saha (gsahamath@du.ac.bd)</w:t>
      </w:r>
    </w:p>
    <w:p/>
    <w:p>
      <w:pPr>
        <w:pStyle w:val="Heading1"/>
      </w:pPr>
      <w:r>
        <w:rPr>
          <w:color w:val="000000"/>
        </w:rPr>
        <w:t>Abstract</w:t>
      </w:r>
    </w:p>
    <w:p/>
    <w:p>
      <w:r>
        <w:rPr>
          <w:color w:val="000000"/>
          <w:highlight w:val="yellow"/>
        </w:rPr>
        <w:t>Long-term warming does not guarantee that heatwave counts increase uniformly, because event estimates depend on thresholds, persistence requirements, and day/night criteria. We analyzed 19,316 consecutive daily meteorological records for Dhaka from 1972–2024. Temperature trends were estimated using ordinary least squares with heteroskedasticity-and-autocorrelation-consistent standard errors, Theil–Sen slopes, and Mann–Kendall tests; six heatwave definitions and Poisson versus NB2 count models were compared. Leakage-safe antecedent associations were estimated with logistic generalized estimating equations. A separate benchmark predicted whether all three days beginning 1, 3, or 7 days after an issue date would have \(T_{\max}\geq36\,{}^\circ\mathrm{C}\). Calendar-only, temperature-history, and full-meteorology information sets were compared across five imbalance-aware classifiers using nested chronological tuning, temporal calibration, and held-out seasons from 2014–2024. Annual mean \(T_{\max}\) increased by 0.192 °C per decade (95% confidence interval [CI] 0.130–0.253), whereas the primary persistent-day count trend was uncertain (incidence-rate ratio 1.029 per decade, 95% CI 0.727–1.455). At one-day lead, temperature-history logistic regression had the strongest overall average precision (AP 0.522; Brier score 0.0276). Adding meteorology improved XGBoost within-family AP by 0.138 (paired held-out-year 95% interval 0.012–0.188) and Brier score by 0.0040, but full-meteorology XGBoost remained below temperature-history logistic regression (AP 0.427). XGBoost full-meteorology AP was 0.165 and 0.216 at 3- and 7-day leads. On 1,215 eligible onset-risk dates representing 15 positive spells, it detected 11 spells but produced 182 false alerts (precision 0.057). Dhaka warmed detectably, but persistent-event trends were definition-dependent, additional meteorology produced model-family-specific rather than universal gains, and the limited event count and unresolved data latency preclude operational-warning claims.</w:t>
      </w:r>
    </w:p>
    <w:p/>
    <w:p>
      <w:r>
        <w:rPr>
          <w:color w:val="000000"/>
          <w:highlight w:val="yellow"/>
        </w:rPr>
        <w:t>Keywords: extreme temperature; heatwave definition; negative binomial regression; machine learning; chronological validation; Bangladesh</w:t>
      </w:r>
    </w:p>
    <w:p/>
    <w:p>
      <w:pPr>
        <w:pStyle w:val="Heading1"/>
      </w:pPr>
      <w:r>
        <w:rPr>
          <w:color w:val="000000"/>
        </w:rPr>
        <w:t>1 Introduction</w:t>
      </w:r>
    </w:p>
    <w:p/>
    <w:p>
      <w:r>
        <w:rPr>
          <w:color w:val="000000"/>
          <w:highlight w:val="yellow"/>
        </w:rPr>
        <w:t>Heatwaves are sustained periods of unusually or operationally high temperature, yet there is no single definition that is optimal for every scientific or decision context (Boni et al., 2023; Perkins &amp; Alexander, 2013; Robinson, 2001). Absolute thresholds can align with local warning practices, percentile thresholds adjust to the seasonal temperature distribution, persistence requirements distinguish isolated hot days from sustained events, and combined maximum–minimum criteria capture limited nighttime relief (Russo et al., 2014; Zscheischler et al., 2018). These choices alter the number, duration, and timing of identified events and can therefore alter estimated trends. Regional evidence shows widespread increases in heatwave frequency, duration, and cumulative heat, while also demonstrating that metric choice and internal variability complicate comparisons (Perkins-Kirkpatrick &amp; Lewis, 2020). Anthropogenic warming has increased the likelihood or burden of many extreme-heat outcomes, but attribution of a global or regional signal does not itself establish a monotonic trend in every local threshold count (Diffenbaugh et al., 2017; Intergovernmental Panel on Climate Change [IPCC], 2021; Vicedo-Cabrera et al., 2021). A credible long-term analysis must therefore distinguish background warming from changes in a prespecified heatwave outcome rather than assuming that the two are equivalent.</w:t>
      </w:r>
    </w:p>
    <w:p/>
    <w:p>
      <w:r>
        <w:rPr>
          <w:color w:val="000000"/>
          <w:highlight w:val="yellow"/>
        </w:rPr>
        <w:t>Bangladesh experiences its most consequential dry heat during the pre-monsoon transition, when suppressed rainfall, land-surface dryness, and regional circulation can favor high temperatures (Karmakar &amp; Das, 2020). Projected humid heat is also a concern across South Asia (Im et al., 2017; Saeed et al., 2021; Sharma et al., 2022), while global observations show that short-duration combinations of heat and humidity have approached physiological limits (Mora et al., 2017; Raymond et al., 2020). Experimental evidence further shows that physiological limits depend on exposure conditions and cannot be reduced to one universal wet-bulb threshold (Vecellio et al., 2022). Those contextual findings do not permit physiological tolerance to be inferred from the daily meteorological associations analyzed here. Nissan et al. (2017) developed a Bangladesh heatwave definition combining high daytime and nighttime temperatures and described precipitation and soil-moisture antecedents. Multi-station studies have subsequently documented threshold-day climatology and spatially heterogeneous trends (Mallik et al., 2024; Rashid et al., 2024), while newer studies have examined percentile definitions, reanalysis agreement, circulation, and short-lead heat-stress prediction (Chaki et al., 2025; Farukh et al., 2026; Molla et al., 2025). Related work in India illustrates the wider regional importance of definition, circulation, and attribution choices (Ravindra et al., 2024; Singh et al., 2024). These studies establish the national and regional meteorological relevance of definition choice and persistence.</w:t>
      </w:r>
    </w:p>
    <w:p/>
    <w:p>
      <w:r>
        <w:rPr>
          <w:color w:val="000000"/>
          <w:highlight w:val="yellow"/>
        </w:rPr>
        <w:t>Dhaka-specific studies provide important but different evidence. Khatun et al. (2017) estimated temperature and rainfall trends across Dhaka Division. Islam et al. (2024) combined land-surface temperature, meteorological descriptions, and survey evidence for Dhaka Metropolitan City. Bangladesh-wide and Dhaka-focused studies have examined surface urban heat islands, metropolitan vulnerability, and adaptation among informal workers (Adnan et al., 2024; Dewan et al., 2021; Shahrujjaman et al., 2025). Tabassum et al. (2024) used an urban–rural station comparison and reanalysis to evaluate the urban heat island and its interaction with percentile heatwaves. Separate time-series studies linked temperature variability to cardiorespiratory emergency visits and defined heatwave days to diarrhoeal hospitalization in Dhaka (Haque et al., 2024; Rahman et al., 2022). Those designs should not be conflated with the present single-series dataset, which cannot measure an urban–rural contrast, human vulnerability, or health impacts. The remaining analytical gap is narrower: few Dhaka-focused studies have combined alternative event definitions, direct count regression, adjusted antecedent meteorological associations, and chronological model validation within one long daily series.</w:t>
      </w:r>
    </w:p>
    <w:p/>
    <w:p>
      <w:r>
        <w:rPr>
          <w:color w:val="000000"/>
          <w:highlight w:val="yellow"/>
        </w:rPr>
        <w:t>The distinction between ambient temperature, urban amplification, and human exposure is important. Across cities, background climate, population, urban form, and urbanization can modify heat-island magnitude, nighttime heat, and population exposure (Liu et al., 2022; Manoli et al., 2019; Tuholske et al., 2021; Zhao et al., 2014). Urbanization has also been associated with more persistent compound or nighttime heat in other settings (Ma &amp; Yuan, 2021; Sarangi et al., 2021; Shi et al., 2021). These studies motivate careful local work, but they do not justify attributing trends in one Dhaka meteorological series to urbanization.</w:t>
      </w:r>
    </w:p>
    <w:p/>
    <w:p>
      <w:r>
        <w:rPr>
          <w:color w:val="000000"/>
          <w:highlight w:val="yellow"/>
        </w:rPr>
        <w:t>Extreme heat is consequential for health, although the present study has no health outcome. Mortality effects have been documented in Shanghai and Karachi and during recent European summers (Ballester et al., 2023; Gallo et al., 2024; Ghumman &amp; Horney, 2016; Huang et al., 2010), and a systematic review shows that cardiovascular findings depend in part on heatwave definition (Nawaro et al., 2023). This evidence motivates explicit, reproducible exposure definitions while remaining external context rather than an outcome of the present analysis.</w:t>
      </w:r>
    </w:p>
    <w:p/>
    <w:p>
      <w:r>
        <w:rPr>
          <w:color w:val="000000"/>
          <w:highlight w:val="yellow"/>
        </w:rPr>
        <w:t>Predictive heatwave studies span very different targets and lead times. Kan et al. (2025) classified monthly heatwave occurrence at Swedish spatial pixels at one-to-five-month leads using remote-sensing histories, imbalance-aware models, forward-time validation, and SHAP. Choudary V et al. (2025) compared multiple classifier families for next-day heatwave-event prediction from a single Chennai weather series. Those designs motivate chronological classifier comparison and out-of-sample explanation, but their thresholds, spatial supports, and forecast horizons cannot be transferred directly to Dhaka. Here, the predictive estimand is deliberately narrower: whether a future three-day persistent-hot window begins 1, 3, or 7 days after the latest observed day.</w:t>
      </w:r>
    </w:p>
    <w:p/>
    <w:p>
      <w:r>
        <w:rPr>
          <w:color w:val="000000"/>
          <w:highlight w:val="yellow"/>
        </w:rPr>
        <w:t>Descriptive counts and pairwise correlations alone cannot fill this gap. Annual heatwave counts are discrete, zero-heavy, and potentially overdispersed; ordinary least squares is therefore not the natural primary model. Raw meteorological correlations also mix within-season covariance with the shared seasonal cycle and do not estimate independent associations. Repeated daily outcomes require attention to within-year dependence, and predictive performance must be evaluated on future seasons rather than by random train–test splitting. These considerations motivate direct count modeling, de-seasonalized exploration, leakage-safe lag construction, generalized estimating equations, model diagnostics, and blocked validation.</w:t>
      </w:r>
    </w:p>
    <w:p/>
    <w:p>
      <w:r>
        <w:rPr>
          <w:color w:val="000000"/>
          <w:highlight w:val="yellow"/>
        </w:rPr>
        <w:t>We addressed four questions. First, how did annual and March–June maximum and minimum temperatures change in Dhaka during 1972–2024? Second, how did heatwave frequency, duration, intensity, and estimated trend vary across operational, persistence-based, percentile, and compound day/night definitions? Third, which antecedent meteorological conditions were associated with persistent heatwave days after accounting for seasonality, long-term change, collinearity, and within-year temporal dependence? Fourth, did recent meteorological history improve prediction of a forthcoming three-day persistent-hot window beyond seasonality and recent temperature alone, and how did performance change with lead time? We prespecified March–June as the hot-season analysis window; because June can include monsoon onset, this label does not imply that all four months share one meteorological regime. The primary descriptive and count outcome was days belonging to events with \(T_{\max}\geq36\,{}^\circ\mathrm{C}\) for at least three consecutive days. The primary count-model null hypothesis was \(H_0:\mathrm{IRR}=1\) per decade; the predictive primary contrast was the difference in held-out AP between the full-meteorology and temperature-history information sets at one-day lead.</w:t>
      </w:r>
    </w:p>
    <w:p/>
    <w:p>
      <w:pPr>
        <w:pStyle w:val="Heading1"/>
      </w:pPr>
      <w:r>
        <w:rPr>
          <w:color w:val="000000"/>
        </w:rPr>
        <w:t>2 Methods</w:t>
      </w:r>
    </w:p>
    <w:p/>
    <w:p>
      <w:pPr>
        <w:pStyle w:val="Heading2"/>
      </w:pPr>
      <w:r>
        <w:rPr>
          <w:color w:val="000000"/>
        </w:rPr>
        <w:t>2.1 Study design and setting</w:t>
      </w:r>
    </w:p>
    <w:p/>
    <w:p>
      <w:r>
        <w:rPr>
          <w:color w:val="000000"/>
          <w:highlight w:val="yellow"/>
        </w:rPr>
        <w:t>We conducted a retrospective, single-location meteorological time-series study for Dhaka, Bangladesh. The supplied dataset is described as daily Dhaka meteorology, but the repository does not contain a verified station identifier or exact coordinate. We therefore show administrative geography without inferring a station point and do not estimate urban-heat-island intensity. The analysis is observational and evaluates statistical trends and associations, not intervention effects or causal mechanisms.</w:t>
      </w:r>
    </w:p>
    <w:p/>
    <w:p>
      <w:pPr>
        <w:pStyle w:val="Heading2"/>
      </w:pPr>
      <w:r>
        <w:rPr>
          <w:color w:val="000000"/>
        </w:rPr>
        <w:t>2.2 Data source and temporal coverage</w:t>
      </w:r>
    </w:p>
    <w:p/>
    <w:p>
      <w:r>
        <w:rPr>
          <w:color w:val="000000"/>
          <w:highlight w:val="yellow"/>
        </w:rPr>
        <w:t>The immutable daily CSV contains 19,316 dates from 1 January 1972 through 18 November 2024 and 32 source fields. Variables used here include daily maximum, minimum, and mean air temperature; precipitation; relative humidity; wind speed; cloud cover; sunshine duration; shortwave and longwave radiation; pressure; evapotranspiration; soil temperature; and soil moisture. Source-file SHA-256 hashes are recorded in results/metadata/source_data_hashes.json. Column labels and the supplied materials are consistent with a Meteoblue-formatted historical export (Meteoblue, 2024), but the repository does not establish whether the values are station observations, model output, reanalysis, or a blended product. Provider, site identity, coordinates, release latency, and homogenization history require confirmation before submission.</w:t>
      </w:r>
    </w:p>
    <w:p/>
    <w:p>
      <w:pPr>
        <w:pStyle w:val="Heading2"/>
      </w:pPr>
      <w:r>
        <w:rPr>
          <w:color w:val="000000"/>
        </w:rPr>
        <w:t>2.3 Data quality control</w:t>
      </w:r>
    </w:p>
    <w:p/>
    <w:p>
      <w:r>
        <w:rPr>
          <w:color w:val="000000"/>
          <w:highlight w:val="yellow"/>
        </w:rPr>
        <w:t>Dates were parsed, sorted, and compared with a complete daily calendar. We evaluated duplicate dates, missing dates, field-level missingness, leap days, physical-range flags, and abrupt day-to-day changes. The record had no duplicate or missing dates and nine missing field values. Flagged values were retained because no independent quality-control metadata justified deletion. Calendar year 2024 was incomplete and was excluded from complete-year annual means. Every March–June season, including 2024, contained the expected 122 dates and was eligible for hot-season analyses. Leap days remained in descriptive analyses. For calendar-day climatologies, dates after February in leap years were mapped to a 365-day climatological calendar; 29 February used the mean of 28 February and 1 March thresholds.</w:t>
      </w:r>
    </w:p>
    <w:p/>
    <w:p>
      <w:pPr>
        <w:pStyle w:val="Heading2"/>
      </w:pPr>
      <w:r>
        <w:rPr>
          <w:color w:val="000000"/>
        </w:rPr>
        <w:t>2.4 Heatwave definitions and event construction</w:t>
      </w:r>
    </w:p>
    <w:p/>
    <w:p>
      <w:r>
        <w:rPr>
          <w:color w:val="000000"/>
          <w:highlight w:val="yellow"/>
        </w:rPr>
        <w:t>The primary definition was daily \(T_{\max}\geq36\,{}^\circ\mathrm{C}\) for at least three consecutive calendar days. Sensitivity definitions were: (A) \(T_{\max}\geq36\,{}^\circ\mathrm{C}\) for at least one day; (B) the same threshold for at least two consecutive days; (C) the primary three-day definition; (D) calendar-day 90th-percentile \(T_{\max}\) for at least three days; (E) calendar-day 95th-percentile \(T_{\max}\) for at least three days; and (F) concurrent calendar-day 90th-percentile \(T_{\max}\) and \(T_{\min}\) for at least two days. The last sensitivity recognizes that concurrent daytime and nighttime extremes can represent a distinct compound exposure (Zhang et al., 2020; Zscheischler et al., 2018).</w:t>
      </w:r>
    </w:p>
    <w:p/>
    <w:p>
      <w:r>
        <w:rPr>
          <w:color w:val="000000"/>
          <w:highlight w:val="yellow"/>
        </w:rPr>
        <w:t>The primary percentile reference was 1981–2010, with 1991–2020 as a sensitivity period. For climatological day \(d\), the threshold \(q_p(d)\) was the linear sample quantile from reference-period observations within a circular centered window \(d\pm7\) days. A date was classified as a percentile exceedance when its observed temperature was strictly above the relevant threshold. Consecutive dates were grouped into events; a missing date would break an event. For event \(e\), cumulative intensity was</w:t>
      </w:r>
    </w:p>
    <w:p/>
    <w:p>
      <w:r>
        <w:rPr>
          <w:color w:val="000000"/>
          <w:highlight w:val="yellow"/>
        </w:rPr>
        <w:t>\[</w:t>
      </w:r>
    </w:p>
    <w:p>
      <w:r>
        <w:rPr>
          <w:color w:val="000000"/>
          <w:highlight w:val="yellow"/>
        </w:rPr>
        <w:t>I_e=\sum_{t\in e}\{T_{\max,t}-q_t\},</w:t>
      </w:r>
    </w:p>
    <w:p>
      <w:r>
        <w:rPr>
          <w:color w:val="000000"/>
          <w:highlight w:val="yellow"/>
        </w:rPr>
        <w:t>\]</w:t>
      </w:r>
    </w:p>
    <w:p/>
    <w:p>
      <w:r>
        <w:rPr>
          <w:color w:val="000000"/>
          <w:highlight w:val="yellow"/>
        </w:rPr>
        <w:t>where \(q_t=36\,{}^\circ\mathrm{C}\) for absolute definitions and the calendar-day threshold for relative definitions. We calculated qualifying days, events, duration, maximum excess, cumulative intensity, onset timing, month, annual distribution, and decadal count trends for March–June.</w:t>
      </w:r>
    </w:p>
    <w:p/>
    <w:p>
      <w:pPr>
        <w:pStyle w:val="Heading2"/>
      </w:pPr>
      <w:r>
        <w:rPr>
          <w:color w:val="000000"/>
        </w:rPr>
        <w:t>2.5 Descriptive statistics</w:t>
      </w:r>
    </w:p>
    <w:p/>
    <w:p>
      <w:r>
        <w:rPr>
          <w:color w:val="000000"/>
          <w:highlight w:val="yellow"/>
        </w:rPr>
        <w:t>Before inferential modeling, we summarized valid and missing observations, mean, standard deviation, median, quartiles, interquartile range, minimum, maximum, skewness, and excess kurtosis for all daily observations, March–June observations, persistent heatwave days, and non-heatwave hot-season days. For annual primary counts, we reported sample size, mean, variance, variance-to-mean ratio, zero proportion, range, and skewness. These diagnostics determined whether a Gaussian count model was defensible.</w:t>
      </w:r>
    </w:p>
    <w:p/>
    <w:p>
      <w:pPr>
        <w:pStyle w:val="Heading2"/>
      </w:pPr>
      <w:r>
        <w:rPr>
          <w:color w:val="000000"/>
        </w:rPr>
        <w:t>2.6 Correlation and collinearity analysis</w:t>
      </w:r>
    </w:p>
    <w:p/>
    <w:p>
      <w:r>
        <w:rPr>
          <w:color w:val="000000"/>
          <w:highlight w:val="yellow"/>
        </w:rPr>
        <w:t>We emphasized Spearman rank correlation because several meteorological variables, notably precipitation, were skewed and relationships need not be linear. Raw correlations used March–June observations. De-seasonalized correlations used anomalies</w:t>
      </w:r>
    </w:p>
    <w:p/>
    <w:p>
      <w:r>
        <w:rPr>
          <w:color w:val="000000"/>
          <w:highlight w:val="yellow"/>
        </w:rPr>
        <w:t>\[</w:t>
      </w:r>
    </w:p>
    <w:p>
      <w:r>
        <w:rPr>
          <w:color w:val="000000"/>
          <w:highlight w:val="yellow"/>
        </w:rPr>
        <w:t>X'_{t}=X_t-\bar X_{1981:2010}(d_t),</w:t>
      </w:r>
    </w:p>
    <w:p>
      <w:r>
        <w:rPr>
          <w:color w:val="000000"/>
          <w:highlight w:val="yellow"/>
        </w:rPr>
        <w:t>\]</w:t>
      </w:r>
    </w:p>
    <w:p/>
    <w:p>
      <w:r>
        <w:rPr>
          <w:color w:val="000000"/>
          <w:highlight w:val="yellow"/>
        </w:rPr>
        <w:t>where \(\bar X_{1981:2010}(d_t)\) was the smoothed calendar-day mean within a circular \(\pm7\)-day window. This removed the expected within-season cycle but did not detrend the long-term record. Pairwise sample sizes, absolute correlations, variance-inflation factors (VIFs), and domain knowledge informed predictor screening. Same-day temperature, heat index, apparent temperature, vapor-pressure deficit, and event-derived variables were excluded from the association model because they were target-derived, tautological, or used future event information. Heat index also requires internally consistent temperature--humidity pairing and is a distinct exposure metric rather than an antecedent predictor of a temperature-defined outcome (Anderson et al., 2013; Lu &amp; Romps, 2022). Correlations were exploratory and were not interpreted as independent effects or causation.</w:t>
      </w:r>
    </w:p>
    <w:p/>
    <w:p>
      <w:pPr>
        <w:pStyle w:val="Heading2"/>
      </w:pPr>
      <w:r>
        <w:rPr>
          <w:color w:val="000000"/>
        </w:rPr>
        <w:t>2.7 Temperature-trend analysis</w:t>
      </w:r>
    </w:p>
    <w:p/>
    <w:p>
      <w:r>
        <w:rPr>
          <w:color w:val="000000"/>
          <w:highlight w:val="yellow"/>
        </w:rPr>
        <w:t>For each annual or March–June outcome, we fitted</w:t>
      </w:r>
    </w:p>
    <w:p/>
    <w:p>
      <w:r>
        <w:rPr>
          <w:color w:val="000000"/>
          <w:highlight w:val="yellow"/>
        </w:rPr>
        <w:t>\[</w:t>
      </w:r>
    </w:p>
    <w:p>
      <w:r>
        <w:rPr>
          <w:color w:val="000000"/>
          <w:highlight w:val="yellow"/>
        </w:rPr>
        <w:t>T_y=\alpha+\beta\left(\frac{y-\bar y}{10}\right)+\varepsilon_y.</w:t>
      </w:r>
    </w:p>
    <w:p>
      <w:r>
        <w:rPr>
          <w:color w:val="000000"/>
          <w:highlight w:val="yellow"/>
        </w:rPr>
        <w:t>\]</w:t>
      </w:r>
    </w:p>
    <w:p/>
    <w:p>
      <w:r>
        <w:rPr>
          <w:color w:val="000000"/>
          <w:highlight w:val="yellow"/>
        </w:rPr>
        <w:t>The coefficient \(\beta\) is the temperature change in degrees Celsius per decade. Ordinary least squares used heteroskedasticity-and-autocorrelation-consistent (HAC) covariance with three lags. We report \(\beta\), its standard error, 95% CI, two-sided \(p\)-value, and \(R^2\) as descriptive fit. Robustness analyses included Theil–Sen slopes, Mann–Kendall tests, residual lag-1 correlation, and March–June refits excluding 2024. A stacked model with temperature type, decade, and their interaction formally tested whether annual \(T_{\min}\) and \(T_{\max}\) slopes differed; separate statistical significance was not treated as evidence of a difference.</w:t>
      </w:r>
    </w:p>
    <w:p/>
    <w:p>
      <w:pPr>
        <w:pStyle w:val="Heading2"/>
      </w:pPr>
      <w:r>
        <w:rPr>
          <w:color w:val="000000"/>
        </w:rPr>
        <w:t>2.8 Count-regression analysis</w:t>
      </w:r>
    </w:p>
    <w:p/>
    <w:p>
      <w:r>
        <w:rPr>
          <w:color w:val="000000"/>
          <w:highlight w:val="yellow"/>
        </w:rPr>
        <w:t>Let \(Y_y\) be the March–June primary persistent heatwave-day count in year \(y\). The Poisson model was</w:t>
      </w:r>
    </w:p>
    <w:p/>
    <w:p>
      <w:r>
        <w:rPr>
          <w:color w:val="000000"/>
          <w:highlight w:val="yellow"/>
        </w:rPr>
        <w:t>\[</w:t>
      </w:r>
    </w:p>
    <w:p>
      <w:r>
        <w:rPr>
          <w:color w:val="000000"/>
          <w:highlight w:val="yellow"/>
        </w:rPr>
        <w:t>Y_y\sim\operatorname{Poisson}(\mu_y),\qquad</w:t>
      </w:r>
    </w:p>
    <w:p>
      <w:r>
        <w:rPr>
          <w:color w:val="000000"/>
          <w:highlight w:val="yellow"/>
        </w:rPr>
        <w:t>\log(\mu_y)=\beta_0+\beta_1\left(\frac{y-\bar y}{10}\right).</w:t>
      </w:r>
    </w:p>
    <w:p>
      <w:r>
        <w:rPr>
          <w:color w:val="000000"/>
          <w:highlight w:val="yellow"/>
        </w:rPr>
        <w:t>\]</w:t>
      </w:r>
    </w:p>
    <w:p/>
    <w:p>
      <w:r>
        <w:rPr>
          <w:color w:val="000000"/>
          <w:highlight w:val="yellow"/>
        </w:rPr>
        <w:t>The NB2 alternative used the same mean model and</w:t>
      </w:r>
    </w:p>
    <w:p/>
    <w:p>
      <w:r>
        <w:rPr>
          <w:color w:val="000000"/>
          <w:highlight w:val="yellow"/>
        </w:rPr>
        <w:t>\[</w:t>
      </w:r>
    </w:p>
    <w:p>
      <w:r>
        <w:rPr>
          <w:color w:val="000000"/>
          <w:highlight w:val="yellow"/>
        </w:rPr>
        <w:t>\operatorname{Var}(Y_y)=\mu_y+\alpha\mu_y^2.</w:t>
      </w:r>
    </w:p>
    <w:p>
      <w:r>
        <w:rPr>
          <w:color w:val="000000"/>
          <w:highlight w:val="yellow"/>
        </w:rPr>
        <w:t>\]</w:t>
      </w:r>
    </w:p>
    <w:p/>
    <w:p>
      <w:r>
        <w:rPr>
          <w:color w:val="000000"/>
          <w:highlight w:val="yellow"/>
        </w:rPr>
        <w:t>We compared empirical Poisson dispersion, residual deviance, Pearson statistic, Akaike information criterion (AIC), Bayesian information criterion, log-likelihood, and convergence. NB2 was selected when Poisson dispersion exceeded 1.2, NB2 improved AIC by more than 2, and convergence succeeded. The primary effect was</w:t>
      </w:r>
    </w:p>
    <w:p/>
    <w:p>
      <w:r>
        <w:rPr>
          <w:color w:val="000000"/>
          <w:highlight w:val="yellow"/>
        </w:rPr>
        <w:t>\[</w:t>
      </w:r>
    </w:p>
    <w:p>
      <w:r>
        <w:rPr>
          <w:color w:val="000000"/>
          <w:highlight w:val="yellow"/>
        </w:rPr>
        <w:t>\mathrm{IRR}_{10}=\exp(\beta_1),</w:t>
      </w:r>
    </w:p>
    <w:p>
      <w:r>
        <w:rPr>
          <w:color w:val="000000"/>
          <w:highlight w:val="yellow"/>
        </w:rPr>
        <w:t>\]</w:t>
      </w:r>
    </w:p>
    <w:p/>
    <w:p>
      <w:r>
        <w:rPr>
          <w:color w:val="000000"/>
          <w:highlight w:val="yellow"/>
        </w:rPr>
        <w:t>with percentage change \(100\{\exp(\beta_1)-1\}\). Diagnostics used selected-distribution randomized quantile residuals and case-deletion parameter distance. Years exceeding \(4/n\) were labeled for leave-one-year-out sensitivity but were not deleted from the primary model. A monthly Poisson model with month effects and the log of observed days as an offset was a secondary specification.</w:t>
      </w:r>
    </w:p>
    <w:p/>
    <w:p>
      <w:pPr>
        <w:pStyle w:val="Heading2"/>
      </w:pPr>
      <w:r>
        <w:rPr>
          <w:color w:val="000000"/>
        </w:rPr>
        <w:t>2.9 Adjusted antecedent association analysis</w:t>
      </w:r>
    </w:p>
    <w:p/>
    <w:p>
      <w:r>
        <w:rPr>
          <w:color w:val="000000"/>
          <w:highlight w:val="yellow"/>
        </w:rPr>
        <w:t>The daily binary outcome indicated membership in a primary persistent event. Candidate features used only information before the outcome date: prior-three-day mean relative humidity, prior-seven-day cumulative precipitation, prior-three-day mean wind speed, and prior-three-day mean pressure. Every rolling feature was calculated after a one-day shift. This ordering was enforced by unit tests.</w:t>
      </w:r>
    </w:p>
    <w:p/>
    <w:p>
      <w:r>
        <w:rPr>
          <w:color w:val="000000"/>
          <w:highlight w:val="yellow"/>
        </w:rPr>
        <w:t>The base logistic generalized estimating equation (GEE) contained centered decade and three Fourier harmonics for day of year. The full model added the four standardized antecedent predictors:</w:t>
      </w:r>
    </w:p>
    <w:p/>
    <w:p>
      <w:r>
        <w:rPr>
          <w:color w:val="000000"/>
          <w:highlight w:val="yellow"/>
        </w:rPr>
        <w:t>\[</w:t>
      </w:r>
    </w:p>
    <w:p>
      <w:r>
        <w:rPr>
          <w:color w:val="000000"/>
          <w:highlight w:val="yellow"/>
        </w:rPr>
        <w:t>\operatorname{logit}\{P(Y_t=1)\}=\alpha+\gamma D_t+</w:t>
      </w:r>
    </w:p>
    <w:p>
      <w:r>
        <w:rPr>
          <w:color w:val="000000"/>
          <w:highlight w:val="yellow"/>
        </w:rPr>
        <w:t>\sum_{k=1}^{3}\left[a_k\sin\left(\frac{2\pi k d_t}{365.25}\right)+b_k\cos\left(\frac{2\pi k d_t}{365.25}\right)\right]+</w:t>
      </w:r>
    </w:p>
    <w:p>
      <w:r>
        <w:rPr>
          <w:color w:val="000000"/>
          <w:highlight w:val="yellow"/>
        </w:rPr>
        <w:t>\sum_{j=1}^{4}\theta_j Z_{j,t-}.</w:t>
      </w:r>
    </w:p>
    <w:p>
      <w:r>
        <w:rPr>
          <w:color w:val="000000"/>
          <w:highlight w:val="yellow"/>
        </w:rPr>
        <w:t>\]</w:t>
      </w:r>
    </w:p>
    <w:p/>
    <w:p>
      <w:r>
        <w:rPr>
          <w:color w:val="000000"/>
          <w:highlight w:val="yellow"/>
        </w:rPr>
        <w:t>Here \(D_t\) is centered decade and \(Z_{j,t-}\) is an antecedent predictor standardized over the analyzed hot-season data. Year was the clustering unit; an AR(1) working correlation represented within-year temporal dependence; robust sandwich standard errors were used. We report adjusted ORs per one standard deviation, 95% CIs, two-sided \(p\)-values, and Benjamini–Hochberg \(q\)-values for secondary predictor tests.</w:t>
      </w:r>
    </w:p>
    <w:p/>
    <w:p>
      <w:r>
        <w:rPr>
          <w:color w:val="000000"/>
          <w:highlight w:val="yellow"/>
        </w:rPr>
        <w:t>Sensitivity analyses changed the outcome to the first day of each event, substituted one-day or seven-day lag structures, and excluded count-influential seasons separately. Predictor VIFs and rank correlations were reviewed. Pressure was not considered robust if its sign changed across outcome definitions.</w:t>
      </w:r>
    </w:p>
    <w:p/>
    <w:p>
      <w:pPr>
        <w:pStyle w:val="Heading2"/>
      </w:pPr>
      <w:r>
        <w:rPr>
          <w:color w:val="000000"/>
        </w:rPr>
        <w:t>2.10 Chronological validation</w:t>
      </w:r>
    </w:p>
    <w:p/>
    <w:p>
      <w:r>
        <w:rPr>
          <w:color w:val="000000"/>
          <w:highlight w:val="yellow"/>
        </w:rPr>
        <w:t>For each held-out March–June season from 2000 through 2024, models were trained only on prior years. This temporally ordered design follows established guidance that forecast evaluation must preserve ordering and assess genuine future observations rather than rely on random resampling (Bergmeir et al., 2018; Tashman, 2000). Standardization parameters and the Youden classification threshold were estimated from training data only. We calculated Brier score, receiver-operating-characteristic area under the curve (ROC-AUC), precision–recall AUC (PR-AUC), sensitivity, specificity, calibration intercept, and calibration slope. ROC-AUC, PR-AUC, and calibration were reported as not estimable for seasons without positive outcomes and were never replaced by zero. All strictly out-of-sample daily probabilities were pooled for an overall assessment.</w:t>
      </w:r>
    </w:p>
    <w:p/>
    <w:p>
      <w:pPr>
        <w:pStyle w:val="Heading2"/>
      </w:pPr>
      <w:r>
        <w:rPr>
          <w:color w:val="000000"/>
        </w:rPr>
        <w:t>2.11 Future persistent-hot-window prediction</w:t>
      </w:r>
    </w:p>
    <w:p/>
    <w:p>
      <w:r>
        <w:rPr>
          <w:color w:val="000000"/>
          <w:highlight w:val="yellow"/>
        </w:rPr>
        <w:t>Issue time was the end of day \(t\), after that day's measurements were assumed available. This is a retrospective availability assumption because source-product release latency was not documented. Predictors summarized the seven observed days \(t-6\) through \(t\). The binary target was 1 when \(T_{\max}\geq36\,{}^\circ\mathrm{C}\) on all three dates \(t+h,t+h+1,t+h+2\), and 0 otherwise when the complete target window was observed. The primary lead was \(h=1\) day, with direct separate models for \(h=3\) and \(h=7\); every target window had to remain within March–June. This endpoint can describe continuation of existing heat and is therefore called prediction of a future three-day persistent-hot window, not event onset or a one-to-five-month forecast.</w:t>
      </w:r>
    </w:p>
    <w:p/>
    <w:p>
      <w:r>
        <w:rPr>
          <w:color w:val="000000"/>
          <w:highlight w:val="yellow"/>
        </w:rPr>
        <w:t>We compared three nested information sets. S0 contained target-date seasonal Fourier terms and a prespecified long-term time term. S1 added available temperature history, including latest, three-day, and seven-day maximum and minimum temperature summaries, seven-day variability and trend, and the observed hot-day run length at issue time. S2 added parsimonious summaries of relative humidity, precipitation, wind, pressure, cloud cover, shortwave radiation, and soil moisture. Predictors derived from the future target window were prohibited. Latest values, three- and seven-day means, seven-day variability or trend, and seven-day precipitation totals were used selectively rather than expanding every possible lag and interaction.</w:t>
      </w:r>
    </w:p>
    <w:p/>
    <w:p>
      <w:r>
        <w:rPr>
          <w:color w:val="000000"/>
          <w:highlight w:val="yellow"/>
        </w:rPr>
        <w:t>Models were regularized logistic regression, class-weighted support-vector classification, class-weighted random forest, balanced random forest, and XGBoost; calendar logistic, seasonal probability, observed-temperature transition, and always-negative models served as simpler baselines (Breiman, 2001; Chen &amp; Guestrin, 2016; Choudary V et al., 2025; Kan et al., 2025). Outer evaluation held out each complete March–June season from 2014–2024 and retained seasons without positive windows. Within every outer training set, forward-time inner folds selected hyperparameters by average precision (AP); imputation, scaling, high-correlation filtering, calibration, and alert-threshold selection were fitted using training data only. AP was the primary discrimination metric because only 56 of 1,320 held-out issue dates were positive; ROC-AUC, Brier score, balanced accuracy, recall, precision, and specificity were secondary (Saito &amp; Rehmsmeier, 2015). Calibration intercepts, slopes, and reliability curves were examined because good discrimination does not guarantee reliable probabilities (Van Calster et al., 2019).</w:t>
      </w:r>
    </w:p>
    <w:p/>
    <w:p>
      <w:r>
        <w:rPr>
          <w:color w:val="000000"/>
          <w:highlight w:val="yellow"/>
        </w:rPr>
        <w:t>The primary comparison was S2 minus S1 within model family at \(h=1\). We used 2,000 paired bootstrap resamples of complete held-out years to obtain percentile intervals while preserving within-year dependence. These intervals measure sensitivity to which complete seasons were represented; they do not make overlapping three-day windows independent. Secondary analyses evaluated the same comparison at longer leads, a training-cutoff-specific calendar-day 90th-percentile target, and 14 rather than seven history days. Onset performance at \(h=1\) was evaluated only when \(T_{\max}(t)&lt;36\,{}^\circ\mathrm{C}\), with eligible dates, distinct spells, recall, precision, and false alerts reported separately.</w:t>
      </w:r>
    </w:p>
    <w:p/>
    <w:p>
      <w:r>
        <w:rPr>
          <w:color w:val="000000"/>
          <w:highlight w:val="yellow"/>
        </w:rPr>
        <w:t>For the leading S2 tree family, SHAP values were computed only for outer-test observations using training-only background samples, and grouped seven-row block permutations provided a complementary diagnostic (Lundberg &amp; Lee, 2017). SHAP values describe contributions to this fitted model's uncalibrated output; correlated predictors can share attribution, and neither SHAP nor permutation importance identifies causal meteorological effects. The tree explanation was secondary to the overall benchmark because the highest-AP model could belong to a different family.</w:t>
      </w:r>
    </w:p>
    <w:p/>
    <w:p>
      <w:pPr>
        <w:pStyle w:val="Heading2"/>
      </w:pPr>
      <w:r>
        <w:rPr>
          <w:color w:val="000000"/>
        </w:rPr>
        <w:t>2.12 Secondary monthly forecast validation</w:t>
      </w:r>
    </w:p>
    <w:p/>
    <w:p>
      <w:r>
        <w:rPr>
          <w:color w:val="000000"/>
          <w:highlight w:val="yellow"/>
        </w:rPr>
        <w:t>As a target-mismatch sensitivity, ten rolling origins (2014–2023) compared seasonal naive, monthly climatology, climatology plus linear trend, exponential smoothing, and a conventional SARIMAX specification (Box et al., 2015) on March–June monthly mean \(T_{\max}\). Metrics included mean absolute error, root-mean-square error (RMSE), bias, mean absolute scaled error,</w:t>
      </w:r>
    </w:p>
    <w:p/>
    <w:p>
      <w:r>
        <w:rPr>
          <w:color w:val="000000"/>
          <w:highlight w:val="yellow"/>
        </w:rPr>
        <w:t>\[</w:t>
      </w:r>
    </w:p>
    <w:p>
      <w:r>
        <w:rPr>
          <w:color w:val="000000"/>
          <w:highlight w:val="yellow"/>
        </w:rPr>
        <w:t>\mathrm{RMSE}=\sqrt{n^{-1}\sum_{i=1}^{n}(y_i-\hat y_i)^2},</w:t>
      </w:r>
    </w:p>
    <w:p>
      <w:r>
        <w:rPr>
          <w:color w:val="000000"/>
          <w:highlight w:val="yellow"/>
        </w:rPr>
        <w:t>\]</w:t>
      </w:r>
    </w:p>
    <w:p/>
    <w:p>
      <w:r>
        <w:rPr>
          <w:color w:val="000000"/>
          <w:highlight w:val="yellow"/>
        </w:rPr>
        <w:t>and empirical 80%/95% interval coverage and width. These monthly results were not used to claim persistent-window or event-count skill.</w:t>
      </w:r>
    </w:p>
    <w:p/>
    <w:p>
      <w:pPr>
        <w:pStyle w:val="Heading2"/>
      </w:pPr>
      <w:r>
        <w:rPr>
          <w:color w:val="000000"/>
        </w:rPr>
        <w:t>2.13 Software and reproducibility</w:t>
      </w:r>
    </w:p>
    <w:p/>
    <w:p>
      <w:r>
        <w:rPr>
          <w:color w:val="000000"/>
          <w:highlight w:val="yellow"/>
        </w:rPr>
        <w:t>The benchmark run used Python 3.14.4, NumPy 2.5.2, pandas 2.3.3, SciPy 1.16.1, statsmodels 0.14.5, scikit-learn 1.7.2, matplotlib 3.11.1, seaborn 0.13.2, imbalanced-learn 0.14.0, XGBoost 3.1.1, and SHAP 0.52.0. The prespecified seed was 20260901. make article regenerates the original analytical outputs, tests, notebooks, and manuscripts; make two-paper-benchmark and make validate-two-paper regenerate and validate the future-window analysis. Source hashes, configuration snapshots, split manifests, package versions, runtime, platform, and starting commit are machine-readable.</w:t>
      </w:r>
    </w:p>
    <w:p/>
    <w:p>
      <w:pPr>
        <w:pStyle w:val="Heading1"/>
      </w:pPr>
      <w:r>
        <w:rPr>
          <w:color w:val="000000"/>
        </w:rPr>
        <w:t>3 Results</w:t>
      </w:r>
    </w:p>
    <w:p/>
    <w:p>
      <w:pPr>
        <w:pStyle w:val="Heading2"/>
      </w:pPr>
      <w:r>
        <w:rPr>
          <w:color w:val="000000"/>
        </w:rPr>
        <w:t>3.1 Data quality and descriptive characteristics</w:t>
      </w:r>
    </w:p>
    <w:p/>
    <w:p>
      <w:r>
        <w:rPr>
          <w:color w:val="000000"/>
          <w:highlight w:val="yellow"/>
        </w:rPr>
        <w:t>The record contained 19,316 consecutive dates with no duplicates or missing calendar dates. Nine field values were missing; \(T_{\max}\) was complete. All 52 calendar years from 1972 through 2023 were complete. The 2024 calendar year ended on 18 November, but its March–June season contained all 122 dates. Field-level range and discontinuity flags were retained for transparency and are provided in machine-readable metadata.</w:t>
      </w:r>
    </w:p>
    <w:p/>
    <w:p>
      <w:r>
        <w:rPr>
          <w:color w:val="000000"/>
          <w:highlight w:val="yellow"/>
        </w:rPr>
        <w:t>Across the full record, mean \(T_{\max}\) was 30.14 °C and the maximum was 40.2 °C on 9 May 2023. Descriptive distributions differed between persistent and non-persistent hot-season days (Table 1; Figure 2). The annual primary count had \(n=53\), mean 5.09 days, variance 58.89, variance-to-mean ratio 11.56, skewness 1.51, range 0–28, and 31 zero seasons (58.5%). The zero-heavy overdispersed distribution made ordinary least squares and equidispersed Poisson inference inadequate as the sole primary approach.</w:t>
      </w:r>
    </w:p>
    <w:p/>
    <w:p>
      <w:r>
        <w:rPr>
          <w:color w:val="000000"/>
          <w:highlight w:val="yellow"/>
        </w:rPr>
        <w:t>Table 1. Data completeness and descriptive statistics for all-year observations, March–June observations, persistent heatwave days, and non-heatwave hot-season days. Source: results/tables/main/main_table01_data_and_descriptive_statistics.csv.</w:t>
      </w:r>
    </w:p>
    <w:p/>
    <w:p>
      <w:pPr>
        <w:pStyle w:val="Heading2"/>
      </w:pPr>
      <w:r>
        <w:rPr>
          <w:color w:val="000000"/>
        </w:rPr>
        <w:t>3.2 Correlations and collinearity assessment</w:t>
      </w:r>
    </w:p>
    <w:p/>
    <w:p>
      <w:r>
        <w:rPr>
          <w:color w:val="000000"/>
          <w:highlight w:val="yellow"/>
        </w:rPr>
        <w:t>Raw and anomaly correlations differed materially (Figure 3; Table 2). For \(T_{\max}\), the raw/anomaly Spearman correlations were 0.418/0.654 with \(T_{\min}\), -0.555/-0.700 with mean relative humidity, -0.470/-0.526 with precipitation, 0.646/0.678 with shortwave radiation, and -0.489/-0.722 with soil moisture. Removing the 1981–2010 calendar-day climatology therefore strengthened several relationships rather than eliminating them, showing that shared seasonality was not their only source.</w:t>
      </w:r>
    </w:p>
    <w:p/>
    <w:p>
      <w:r>
        <w:rPr>
          <w:color w:val="000000"/>
          <w:highlight w:val="yellow"/>
        </w:rPr>
        <w:t>The four antecedent predictors had VIFs from 1.44 to 2.26. Although humidity and precipitation had a high Spearman correlation, their linear VIFs remained below 5 and each represented a distinct prespecified antecedent window. Temperature-derived and same-day variables were excluded. These correlations informed model construction but did not provide adjusted or causal estimates.</w:t>
      </w:r>
    </w:p>
    <w:p/>
    <w:p>
      <w:r>
        <w:rPr>
          <w:color w:val="000000"/>
          <w:highlight w:val="yellow"/>
        </w:rPr>
        <w:t>Table 2. Exploratory correlations, predictor screening, and collinearity decisions. Source: results/tables/main/main_table02_correlations_and_collinearity.csv.</w:t>
      </w:r>
    </w:p>
    <w:p/>
    <w:p>
      <w:pPr>
        <w:pStyle w:val="Heading2"/>
      </w:pPr>
      <w:r>
        <w:rPr>
          <w:color w:val="000000"/>
        </w:rPr>
        <w:t>3.3 Temperature trends</w:t>
      </w:r>
    </w:p>
    <w:p/>
    <w:p>
      <w:r>
        <w:rPr>
          <w:color w:val="000000"/>
          <w:highlight w:val="yellow"/>
        </w:rPr>
        <w:t>Annual mean \(T_{\max}\) increased by 0.192 °C per decade (95% CI 0.130–0.253; \(p&lt;0.001\); \(R^2=0.405\)), and annual mean \(T_{\min}\) increased by 0.208 °C per decade (95% CI 0.152–0.264; \(p&lt;0.001\); \(R^2=0.543\)). The annual mean day–night range slope was -0.016 °C per decade (95% CI -0.069–0.036; \(p=0.538\)). The formal \(T_{\min}-T_{\max}\) slope difference was 0.016 °C per decade (95% CI -0.034–0.067; \(p=0.527\)); the data therefore did not show that minimum temperature warmed faster than maximum temperature.</w:t>
      </w:r>
    </w:p>
    <w:p/>
    <w:p>
      <w:r>
        <w:rPr>
          <w:color w:val="000000"/>
          <w:highlight w:val="yellow"/>
        </w:rPr>
        <w:t>March–June mean \(T_{\max}\) increased by 0.165 °C per decade through 2024 (95% CI 0.044–0.287; \(p=0.0076\)), and March–June mean \(T_{\min}\) increased by 0.153 °C per decade (95% CI 0.070–0.236; \(p&lt;0.001\)). Excluding the 2024 hot season yielded corresponding slopes of 0.151 °C (95% CI 0.034–0.269) and 0.137 °C (95% CI 0.060–0.214) per decade. Theil–Sen and Mann–Kendall analyses supported the direction of the principal temperature trends (Table 4; Figure 4).</w:t>
      </w:r>
    </w:p>
    <w:p/>
    <w:p>
      <w:r>
        <w:rPr>
          <w:color w:val="000000"/>
          <w:highlight w:val="yellow"/>
        </w:rPr>
        <w:t>Table 4. Temperature trends, nonparametric robustness estimates, slope contrast, and 2024 endpoint sensitivity. Source: results/tables/main/main_table04_temperature_trends.csv.</w:t>
      </w:r>
    </w:p>
    <w:p/>
    <w:p>
      <w:pPr>
        <w:pStyle w:val="Heading2"/>
      </w:pPr>
      <w:r>
        <w:rPr>
          <w:color w:val="000000"/>
        </w:rPr>
        <w:t>3.4 Heatwave definition sensitivity and event climatology</w:t>
      </w:r>
    </w:p>
    <w:p/>
    <w:p>
      <w:r>
        <w:rPr>
          <w:color w:val="000000"/>
          <w:highlight w:val="yellow"/>
        </w:rPr>
        <w:t>During March–June, the one-day absolute definition identified 369 days in 128 events, while requiring three consecutive days identified 270 days in 49 events (Table 3; Figure 5). Primary events had median duration 5 days, mean duration 5.51 days, maximum duration 15 days, and peak occurrence in April. The 1981–2010 90th-percentile definition identified 490 March–June days in 93 events; the 95th-percentile definition identified 248 days in 52 events; and the compound 90th-percentile day/night definition identified 228 days in 71 events.</w:t>
      </w:r>
    </w:p>
    <w:p/>
    <w:p>
      <w:r>
        <w:rPr>
          <w:color w:val="000000"/>
          <w:highlight w:val="yellow"/>
        </w:rPr>
        <w:t>Count-trend conclusions depended on definition. IRRs per decade were 1.018 (95% CI 0.799–1.298) for one-day absolute exceedances, 1.020 (0.775–1.344) for two-day persistence, 1.029 (0.727–1.455) for the primary three-day definition, 1.069 (0.842–1.358) for 90th-percentile three-day events, and 1.052 (0.779–1.420) for 95th-percentile three-day events. Only the compound day/night definition had a CI excluding 1: IRR 1.320 (95% CI 1.043–1.672; nominal \(p=0.0209\)). Because this was one of six definition-specific trend tests, the Benjamini–Hochberg-adjusted result was \(q=0.126\); it is therefore an exploratory signal rather than confirmatory evidence. With a 1991–2020 reference, its IRR was 1.331 (95% CI 1.021–1.735), while the relative \(T_{\max}\)-only trends remained uncertain. Thus, estimated heatwave occurrence was definition-dependent, but no definition-specific trend survived multiplicity adjustment.</w:t>
      </w:r>
    </w:p>
    <w:p/>
    <w:p>
      <w:r>
        <w:rPr>
          <w:color w:val="000000"/>
          <w:highlight w:val="yellow"/>
        </w:rPr>
        <w:t>Table 3. March–June heatwave statistics and count trends under alternative definitions and reference periods. Source: results/tables/main/main_table03_definition_sensitivity.csv.</w:t>
      </w:r>
    </w:p>
    <w:p/>
    <w:p>
      <w:pPr>
        <w:pStyle w:val="Heading2"/>
      </w:pPr>
      <w:r>
        <w:rPr>
          <w:color w:val="000000"/>
        </w:rPr>
        <w:t>3.5 Poisson and negative-binomial model selection</w:t>
      </w:r>
    </w:p>
    <w:p/>
    <w:p>
      <w:r>
        <w:rPr>
          <w:color w:val="000000"/>
          <w:highlight w:val="yellow"/>
        </w:rPr>
        <w:t>The Poisson model had Pearson dispersion 11.64, residual deviance 563.9, and AIC 659.8. The NB2 model converged and had AIC 245.2, log-likelihood -119.6, deviance-style statistic 43.4, and Pearson statistic 20.3 (Table 5). The prespecified selection rule therefore favored NB2. Randomized quantile residuals were broadly consistent with the fitted distribution, while case-deletion screening identified 1979, 2023, and 2024 as influential seasons (Figure 6). These years were retained.</w:t>
      </w:r>
    </w:p>
    <w:p/>
    <w:p>
      <w:r>
        <w:rPr>
          <w:color w:val="000000"/>
          <w:highlight w:val="yellow"/>
        </w:rPr>
        <w:t>Table 5. Poisson and NB2 comparison for annual March–June persistent heatwave-day counts. Source: results/tables/main/main_table05_poisson_nb_comparison.csv.</w:t>
      </w:r>
    </w:p>
    <w:p/>
    <w:p>
      <w:pPr>
        <w:pStyle w:val="Heading2"/>
      </w:pPr>
      <w:r>
        <w:rPr>
          <w:color w:val="000000"/>
        </w:rPr>
        <w:t>3.6 Primary persistent heatwave-day trend</w:t>
      </w:r>
    </w:p>
    <w:p/>
    <w:p>
      <w:r>
        <w:rPr>
          <w:color w:val="000000"/>
          <w:highlight w:val="yellow"/>
        </w:rPr>
        <w:t>The selected NB2 model estimated a log-rate coefficient of 0.0284 per decade (standard error 0.1768), equivalent to IRR 1.029 per decade (95% CI 0.727–1.455; \(p=0.872\)) and an estimated 2.9% change per decade. Because the CI included 1 broadly, the data did not provide evidence of a monotonic change in the primary persistent heatwave-day rate (Table 6). Excluding influential seasons one at a time produced IRRs near 1 and did not change that conclusion.</w:t>
      </w:r>
    </w:p>
    <w:p/>
    <w:p>
      <w:r>
        <w:rPr>
          <w:color w:val="000000"/>
          <w:highlight w:val="yellow"/>
        </w:rPr>
        <w:t>Table 6. Distributional evidence and selected NB2 estimate for the primary count outcome. Source: results/tables/main/main_table06_primary_count_model.csv.</w:t>
      </w:r>
    </w:p>
    <w:p/>
    <w:p>
      <w:pPr>
        <w:pStyle w:val="Heading2"/>
      </w:pPr>
      <w:r>
        <w:rPr>
          <w:color w:val="000000"/>
        </w:rPr>
        <w:t>3.7 Adjusted antecedent meteorological associations</w:t>
      </w:r>
    </w:p>
    <w:p/>
    <w:p>
      <w:r>
        <w:rPr>
          <w:color w:val="000000"/>
          <w:highlight w:val="yellow"/>
        </w:rPr>
        <w:t>After adjustment for seasonal Fourier terms and decade, the odds of a persistent heatwave day were lower per one-standard-deviation increase in prior-three-day mean relative humidity (OR 0.307, 95% CI 0.236–0.399; \(q&lt;0.001\)) and prior-seven-day cumulative precipitation (OR 0.140, 95% CI 0.064–0.307; \(q&lt;0.001\)). Higher prior-three-day wind speed was positively associated (OR 1.337, 95% CI 1.107–1.614; \(q=0.003\)). Prior-three-day pressure was imprecise (OR 0.656, 95% CI 0.404–1.065; \(q=0.088\)). One standard deviation corresponded to 9.19 relative-humidity percentage points, 55.83 mm of seven-day precipitation, 3.23 wind-speed units as recorded in the dataset, and 4.21 pressure units.</w:t>
      </w:r>
    </w:p>
    <w:p/>
    <w:p>
      <w:r>
        <w:rPr>
          <w:color w:val="000000"/>
          <w:highlight w:val="yellow"/>
        </w:rPr>
        <w:t>The fitted AR(1) working-correlation parameter was 0.576. When the outcome was restricted to 49 event-onset days, humidity (OR 0.464, 95% CI 0.338–0.638), precipitation (OR 0.298, 95% CI 0.097–0.920), and wind speed (OR 1.526, 95% CI 1.121–2.076) retained their directions. Pressure changed direction (OR 1.688, 95% CI 1.107–2.574), so it was not interpreted as robust. Excluding 1979, 2023, or 2024 separately preserved the three principal directions (Table 8; Figure 7).</w:t>
      </w:r>
    </w:p>
    <w:p/>
    <w:p>
      <w:r>
        <w:rPr>
          <w:color w:val="000000"/>
          <w:highlight w:val="yellow"/>
        </w:rPr>
        <w:t>Table 7. Adjusted logistic GEE associations per one-standard-deviation antecedent predictor. Source: results/tables/main/main_table07_adjusted_associations.csv.</w:t>
      </w:r>
    </w:p>
    <w:p/>
    <w:p>
      <w:pPr>
        <w:pStyle w:val="Heading2"/>
      </w:pPr>
      <w:r>
        <w:rPr>
          <w:color w:val="000000"/>
        </w:rPr>
        <w:t>3.8 Blocked validation</w:t>
      </w:r>
    </w:p>
    <w:p/>
    <w:p>
      <w:r>
        <w:rPr>
          <w:color w:val="000000"/>
          <w:highlight w:val="yellow"/>
        </w:rPr>
        <w:t>Across 3,050 strictly out-of-sample days from 25 held-out hot seasons, 125 were persistent heatwave days. The seasonal-trend base GEE had Brier score 0.0382, ROC-AUC 0.772, PR-AUC 0.198, calibration intercept 0.396, and calibration slope 0.895. The antecedent GEE improved Brier score to 0.0333, ROC-AUC to 0.924, and PR-AUC to 0.473; its calibration intercept was 1.512 and slope 1.136, indicating systematic underprediction despite improved ranking and overall probability error. At origin-specific training thresholds, pooled sensitivity was 0.664 and specificity 0.919. Seasons without positive outcomes contributed to Brier score but had undefined discrimination and calibration metrics, which were not averaged as zeros. The calibration limitation precludes an operational-warning claim.</w:t>
      </w:r>
    </w:p>
    <w:p/>
    <w:p>
      <w:r>
        <w:rPr>
          <w:color w:val="000000"/>
          <w:highlight w:val="yellow"/>
        </w:rPr>
        <w:t>Table 8. Held-out-season and pooled validation plus association sensitivity. Source: results/tables/main/main_table08_blocked_validation.csv.</w:t>
      </w:r>
    </w:p>
    <w:p/>
    <w:p>
      <w:pPr>
        <w:pStyle w:val="Heading2"/>
      </w:pPr>
      <w:r>
        <w:rPr>
          <w:color w:val="000000"/>
        </w:rPr>
        <w:t>3.9 Future persistent-hot-window prediction</w:t>
      </w:r>
    </w:p>
    <w:p/>
    <w:p>
      <w:r>
        <w:rPr>
          <w:color w:val="000000"/>
          <w:highlight w:val="yellow"/>
        </w:rPr>
        <w:t>The future-window benchmark contained 1,320 strictly held-out issue dates from 2014–2024 at each lead, including event-free seasons; 56 dates (4.24%) were positive. At the primary one-day lead, temperature-history logistic regression (S1) was the strongest overall model, with AP 0.522, ROC-AUC 0.927, Brier score 0.0276, balanced accuracy 0.849, recall 0.839, and precision 0.209. It exceeded the observed-temperature transition baseline (AP 0.357), seasonal probability baseline (0.178), calendar logistic model (0.087), and always-negative prevalence benchmark (0.042). Thus, most usable information came from recent observed temperature rather than model complexity or calendar timing alone (Table 9; Figure 8A).</w:t>
      </w:r>
    </w:p>
    <w:p/>
    <w:p>
      <w:r>
        <w:rPr>
          <w:color w:val="000000"/>
          <w:highlight w:val="yellow"/>
        </w:rPr>
        <w:t>The effect of adding non-temperature meteorology was model-family-specific. At \(h=1\), S2 improved XGBoost AP from 0.288 to 0.427, a paired held-out-year difference of 0.138 (95% interval 0.012–0.188), and reduced Brier score by 0.0040 (95% interval 0.0002–0.0086 improvement). Weighted random forest showed an AP gain of 0.107 (95% interval 0.035–0.172) and a Brier improvement of 0.0034 (95% interval 0.0005–0.0066). Conversely, adding S2 predictors to logistic regression reduced AP by 0.077 (95% interval 0.016–0.168 lower) and worsened Brier score by 0.0029 (95% interval 0.0004–0.0062). Neither XGBoost S2 (AP 0.427) nor weighted-random-forest S2 (0.377) surpassed logistic S1 (0.522), so the evidence supports within-family gains for two tree ensembles rather than a universal benefit from extra meteorology (Figure 8B).</w:t>
      </w:r>
    </w:p>
    <w:p/>
    <w:p>
      <w:r>
        <w:rPr>
          <w:color w:val="000000"/>
          <w:highlight w:val="yellow"/>
        </w:rPr>
        <w:t>Predictive skill was concentrated at short lead. Logistic S1 AP declined from 0.522 at \(h=1\) to 0.256 at \(h=3\) and 0.131 at \(h=7\). XGBoost S2 AP was 0.427, 0.165, and 0.216 at the same leads. The nonmonotonic XGBoost values do not demonstrate recovery of longer-lead skill because the year-block intervals were wide and the same 56 overlapping positive windows underlay each horizon (Figure 8C). Temporal calibration reduced Brier score for logistic S1 from 0.0804 to 0.0276 and for XGBoost S2 from 0.0514 to 0.0310; calibrated slopes were 0.835 and 1.034, respectively (Figure 9A–B).</w:t>
      </w:r>
    </w:p>
    <w:p/>
    <w:p>
      <w:r>
        <w:rPr>
          <w:color w:val="000000"/>
          <w:highlight w:val="yellow"/>
        </w:rPr>
        <w:t>On the onset-risk subset, 1,215 issue dates with \(T_{\max}(t)&lt;36\,{}^\circ\mathrm{C}\) contained only 15 positive spell starts. Logistic S1 and XGBoost S2 each detected 11 of 15 (recall 0.733), but they generated 117 and 182 false alerts, respectively, yielding precision 0.086 and 0.057 (Figure 9C). These results do not support operational onset alerts. Extending logistic S1 history from seven to 14 days reduced AP from 0.522 to 0.494. Under the training-cutoff-specific 90th-percentile sensitivity target, logistic S1 AP was 0.431 with 94 positives, indicating that predictive conclusions remained prevalence- and definition-dependent.</w:t>
      </w:r>
    </w:p>
    <w:p/>
    <w:p>
      <w:r>
        <w:rPr>
          <w:color w:val="000000"/>
          <w:highlight w:val="yellow"/>
        </w:rPr>
        <w:t>XGBoost S2 was examined to understand why extra meteorology helped that family, not because it was the overall winner. Across held-out predictions, the leading mean absolute SHAP features were issue-day \(T_{\max}\), seven-day mean relative humidity, seven-day mean \(T_{\max}\), long-term time, and latest soil moisture (Figure 10). Their ranks varied across held-out years and leads, and correlated temperature and moisture summaries could share attribution. The explanations therefore identify predictive contributions within fitted XGBoost models, not physical causes.</w:t>
      </w:r>
    </w:p>
    <w:p/>
    <w:p>
      <w:r>
        <w:rPr>
          <w:color w:val="000000"/>
          <w:highlight w:val="yellow"/>
        </w:rPr>
        <w:t>Table 9. Strictly held-out future persistent-hot-window performance and within-family S2-minus-S1 contrasts. Source: results/tables/main/main_table09_short_lead_prediction.csv.</w:t>
      </w:r>
    </w:p>
    <w:p/>
    <w:p>
      <w:pPr>
        <w:pStyle w:val="Heading2"/>
      </w:pPr>
      <w:r>
        <w:rPr>
          <w:color w:val="000000"/>
        </w:rPr>
        <w:t>3.10 Secondary monthly forecast validation</w:t>
      </w:r>
    </w:p>
    <w:p/>
    <w:p>
      <w:r>
        <w:rPr>
          <w:color w:val="000000"/>
          <w:highlight w:val="yellow"/>
        </w:rPr>
        <w:t>For March–June monthly mean \(T_{\max}\), climatology plus linear trend had the lowest mean rolling-origin RMSE (1.114 °C), closely followed by exponential smoothing (1.120 °C); monthly climatology, SARIMAX, and seasonal naive had RMSEs of 1.175, 1.607, and 1.661 °C. The comparison concerns a continuous monthly temperature target and cannot be translated into exact persistent-window or annual heatwave-event predictions.</w:t>
      </w:r>
    </w:p>
    <w:p/>
    <w:p>
      <w:pPr>
        <w:pStyle w:val="Heading1"/>
      </w:pPr>
      <w:r>
        <w:rPr>
          <w:color w:val="000000"/>
        </w:rPr>
        <w:t>4 Discussion</w:t>
      </w:r>
    </w:p>
    <w:p/>
    <w:p>
      <w:pPr>
        <w:pStyle w:val="Heading2"/>
      </w:pPr>
      <w:r>
        <w:rPr>
          <w:color w:val="000000"/>
        </w:rPr>
        <w:t>4.1 Principal findings</w:t>
      </w:r>
    </w:p>
    <w:p/>
    <w:p>
      <w:r>
        <w:rPr>
          <w:color w:val="000000"/>
          <w:highlight w:val="yellow"/>
        </w:rPr>
        <w:t>Dhaka's annual and hot-season temperatures warmed over the observation period, but the primary persistent heatwave-day count did not exhibit a detectable monotonic trend. That contrast is not paradoxical. A shift in the center of the temperature distribution can coexist with large interannual variability, zero-heavy counts, threshold sensitivity, and limited power for rare persistent events. The NB2 CI is compatible with both decreases and increases of practical interest, so the correct interpretation is uncertainty—not proof of no change and not evidence of a clear increase.</w:t>
      </w:r>
    </w:p>
    <w:p/>
    <w:p>
      <w:r>
        <w:rPr>
          <w:color w:val="000000"/>
          <w:highlight w:val="yellow"/>
        </w:rPr>
        <w:t>The adjusted antecedent analysis contributed separate evidence. Lower humidity and precipitation and higher wind speed preceded persistent heatwave days after seasonal and long-term adjustment, and these directions remained in the event-onset analysis and after influential-season exclusions. The future-window experiment then addressed a genuinely prospective target: conditions on three not-yet-observed dates. Recent temperature history supplied the strongest overall short-lead signal. Additional meteorology improved two tree ensembles within family, but did not improve logistic regression and did not displace the simpler temperature-history logistic model. These results support a qualified claim about retrospective short-lead prediction, not causal explanation or operational forecast skill.</w:t>
      </w:r>
    </w:p>
    <w:p/>
    <w:p>
      <w:pPr>
        <w:pStyle w:val="Heading2"/>
      </w:pPr>
      <w:r>
        <w:rPr>
          <w:color w:val="000000"/>
        </w:rPr>
        <w:t>4.2 Why heatwave definition matters</w:t>
      </w:r>
    </w:p>
    <w:p/>
    <w:p>
      <w:r>
        <w:rPr>
          <w:color w:val="000000"/>
          <w:highlight w:val="yellow"/>
        </w:rPr>
        <w:t>The compound day/night definition was the only primary-reference definition with a nominal positive count trend, but it did not survive adjustment across the six definition tests. Absolute one-day and persistence-based definitions and relative \(T_{\max}\)-only definitions were uncertain. This pattern shows why “heatwaves increased” is incomplete without stating the threshold, duration, reference period, season, day/night variables, and multiplicity context. It also connects with prior Bangladesh work emphasizing compound high minimum and maximum temperatures (Nissan et al., 2017) and percentile heatwaves (Molla et al., 2025; Tabassum et al., 2024). The present contribution is not to choose one universal definition, but to show which conclusions are stable and which are conditional.</w:t>
      </w:r>
    </w:p>
    <w:p/>
    <w:p>
      <w:pPr>
        <w:pStyle w:val="Heading2"/>
      </w:pPr>
      <w:r>
        <w:rPr>
          <w:color w:val="000000"/>
        </w:rPr>
        <w:t>4.3 Antecedent meteorological conditions</w:t>
      </w:r>
    </w:p>
    <w:p/>
    <w:p>
      <w:r>
        <w:rPr>
          <w:color w:val="000000"/>
          <w:highlight w:val="yellow"/>
        </w:rPr>
        <w:t>Dryer antecedent conditions are physically plausible during suppressed pre-monsoon rainfall and enhanced surface heating. Nissan et al. (2017) likewise described below-normal precipitation and soil moisture before Bangladesh heatwaves, and Mallik et al. (2024) discussed pressure and wind patterns associated with threshold days. In the current analysis, however, humidity and precipitation were correlated and the data came from one series. Odds ratios represent conditional associations per sample standard deviation, not intervention effects. Wind's positive association may reflect regional advection rather than locally generated wind effects. Pressure's sign reversal between persistent-day and onset models demonstrates the danger of elevating an unstable coefficient into a mechanistic claim.</w:t>
      </w:r>
    </w:p>
    <w:p/>
    <w:p>
      <w:pPr>
        <w:pStyle w:val="Heading2"/>
      </w:pPr>
      <w:r>
        <w:rPr>
          <w:color w:val="000000"/>
        </w:rPr>
        <w:t>4.4 Methodological implications</w:t>
      </w:r>
    </w:p>
    <w:p/>
    <w:p>
      <w:r>
        <w:rPr>
          <w:color w:val="000000"/>
          <w:highlight w:val="yellow"/>
        </w:rPr>
        <w:t>Raw heatmaps were useful for identifying covariance and possible collinearity but could not estimate independent relationships. De-seasonalization showed that several strong correlations were not explained solely by the March–June cycle. Direct count diagnostics were equally important: Poisson dispersion above 11 and a more than 400-point AIC difference made an equidispersed count model untenable. GEE accounted for repeated daily observations within years, while blocked validation showed whether association estimates translated into future-season discrimination. These safeguards change the role of apparently strong associations from explanatory claims to validated but observational signals.</w:t>
      </w:r>
    </w:p>
    <w:p/>
    <w:p>
      <w:pPr>
        <w:pStyle w:val="Heading2"/>
      </w:pPr>
      <w:r>
        <w:rPr>
          <w:color w:val="000000"/>
        </w:rPr>
        <w:t>4.5 What the predictive comparison establishes</w:t>
      </w:r>
    </w:p>
    <w:p/>
    <w:p>
      <w:r>
        <w:rPr>
          <w:color w:val="000000"/>
          <w:highlight w:val="yellow"/>
        </w:rPr>
        <w:t>The primary predictive result was not that the most complex model won. Logistic S1 produced the highest overall one-day AP and lowest Brier score, showing that recent observed temperature carried most of the recoverable short-lead information. The positive S2-minus-S1 contrasts for XGBoost and weighted random forest nevertheless show that humidity, soil moisture, radiation, and related summaries can help particular nonlinear learners organize the remaining signal. The negative logistic contrast prevents a broader claim that more predictors are inherently better. This distinction is more informative than a model leaderboard because it separates an information-set question from an algorithm-selection question.</w:t>
      </w:r>
    </w:p>
    <w:p/>
    <w:p>
      <w:r>
        <w:rPr>
          <w:color w:val="000000"/>
          <w:highlight w:val="yellow"/>
        </w:rPr>
        <w:t>The contrast with prior work also requires precise language. Kan et al. (2025) studied seasonal monthly classification over Swedish spatial pixels, whereas Choudary V et al. (2025) studied next-day classification at a Chennai station. Our one-, three-, and seven-day direct targets are neither seasonal forecasts nor copies of a next-day label. The sharp decline after one day suggests that observed-history-only models have limited reach without numerical weather prediction or other genuinely future-available inputs. The relatively high one-day ROC-AUCs coexist with modest precision because positive windows were rare, illustrating why prevalence-sensitive AP, probability calibration, and false-alert counts were central (Saito &amp; Rehmsmeier, 2015; Van Calster et al., 2019).</w:t>
      </w:r>
    </w:p>
    <w:p/>
    <w:p>
      <w:r>
        <w:rPr>
          <w:color w:val="000000"/>
          <w:highlight w:val="yellow"/>
        </w:rPr>
        <w:t>The onset analysis is the clearest operational caution. Detecting 11 of 15 spell starts may appear encouraging, but 117–182 false alerts for those 11 detections would create a poor warning burden. Moreover, the data source is an unidentified Meteoblue-formatted export, and actual observation or product-release latency is unknown. Independent sites, verified real-time availability, event-level external validation, and a threshold tied to an explicit decision and loss function would be required before calling the models an early-warning system. This follows Bangladesh climate-services work emphasizing evaluation against the statistics and decisions a forecast is meant to support (Nissan et al., 2020). The monthly temperature exercise likewise remains a target-mismatch sensitivity; its results cannot be converted into exact future event counts. Recent hybrid machine-learning work demonstrates active methodological interest but does not by itself establish transportable skill (Qureshi et al., 2025).</w:t>
      </w:r>
    </w:p>
    <w:p/>
    <w:p>
      <w:pPr>
        <w:pStyle w:val="Heading2"/>
      </w:pPr>
      <w:r>
        <w:rPr>
          <w:color w:val="000000"/>
        </w:rPr>
        <w:t>4.6 Practical relevance</w:t>
      </w:r>
    </w:p>
    <w:p/>
    <w:p>
      <w:r>
        <w:rPr>
          <w:color w:val="000000"/>
          <w:highlight w:val="yellow"/>
        </w:rPr>
        <w:t>Primary persistent events were concentrated in April and May, and recent temperature history improved prediction beyond seasonal timing and long-term trend. These findings may inform research monitoring priorities, but the low onset precision means that the fitted alert thresholds should not guide public warnings. Preparedness decisions should integrate numerical forecasts, verified observation latency, health, exposure, vulnerability, and operational cost information not present here.</w:t>
      </w:r>
    </w:p>
    <w:p/>
    <w:p>
      <w:r>
        <w:rPr>
          <w:color w:val="000000"/>
          <w:highlight w:val="yellow"/>
        </w:rPr>
        <w:t>The distinction matters because separate Dhaka health research has associated temperature variability with emergency visits and heatwave definitions with diarrhoeal hospitalization (Haque et al., 2024; Rahman et al., 2022), whereas the present study contains no patient-level or population-health outcome. Heat-action-plan evidence and multi-country analyses also show that preparedness and vulnerability depend on social and urban context (Hess et al., 2018; Sera et al., 2019). The meteorological evidence can help define exposure windows for future interdisciplinary work, but it cannot estimate attributable morbidity or intervention effectiveness.</w:t>
      </w:r>
    </w:p>
    <w:p/>
    <w:p>
      <w:pPr>
        <w:pStyle w:val="Heading2"/>
      </w:pPr>
      <w:r>
        <w:rPr>
          <w:color w:val="000000"/>
        </w:rPr>
        <w:t>4.7 Strengths and limitations</w:t>
      </w:r>
    </w:p>
    <w:p/>
    <w:p>
      <w:r>
        <w:rPr>
          <w:color w:val="000000"/>
          <w:highlight w:val="yellow"/>
        </w:rPr>
        <w:t>Strengths include a long continuous daily record, explicit partial-year handling, reproducible event construction, six definitions, two climatological reference periods, direct count regression, model-consistent diagnostics, formal slope comparison, leakage-safe lag construction, repeated-measures inference, and event-onset sensitivity. The prediction benchmark used explicit issue and target times, direct horizons, nested chronological tuning, training-only transformations and calibration, simple baselines, information-set ablations, event-free seasons, paired-year uncertainty, sensitivity targets, and out-of-sample explanations. All principal tables and figures are generated from code and linked to claims.</w:t>
      </w:r>
    </w:p>
    <w:p/>
    <w:p>
      <w:r>
        <w:rPr>
          <w:color w:val="000000"/>
          <w:highlight w:val="yellow"/>
        </w:rPr>
        <w:t>Several limitations constrain interpretation. The study represents one location and lacks a rural comparator, so it cannot quantify urban amplification. Station coordinates, relocations, instrumentation changes, observation practices, release latency, and homogenization metadata were unavailable in the repository; an unmodeled discontinuity could affect trends, and unavailable real-time fields could invalidate retrospective issue times. The dataset has no health, mortality, morbidity, exposure, or vulnerability outcome. The primary definition yielded only 49 historical events and the predictive onset subset only 15 held-out spells, limiting model complexity and uncertainty resolution. Overlapping positive windows from the same spell were not independent; year-block resampling preserved seasons but eleven held-out years still provide coarse intervals. Meteorological variables may share upstream algorithms or measurement errors. GEE associations are exploratory and observational, while SHAP and permutation results are predictive diagnostics rather than causal effects. The 2024 calendar year was partial, although its hot season was complete. No external location or operational feed was available for transportability testing.</w:t>
      </w:r>
    </w:p>
    <w:p/>
    <w:p>
      <w:pPr>
        <w:pStyle w:val="Heading1"/>
      </w:pPr>
      <w:r>
        <w:rPr>
          <w:color w:val="000000"/>
        </w:rPr>
        <w:t>5 Conclusions</w:t>
      </w:r>
    </w:p>
    <w:p/>
    <w:p>
      <w:r>
        <w:rPr>
          <w:color w:val="000000"/>
          <w:highlight w:val="yellow"/>
        </w:rPr>
        <w:t>Dhaka experienced statistically detectable annual and March–June warming from 1972–2024, but the selected NB2 model did not show a clear monotonic change in the prespecified persistent heatwave-day rate and definition-specific conclusions varied. Lower antecedent humidity and precipitation and higher antecedent wind speed were adjusted associations, not causal effects. For future three-day persistent-hot windows, recent temperature history supported useful retrospective discrimination at one-day lead; added meteorology improved selected tree families but not the strongest overall model, and skill weakened at longer leads. Low onset precision, few distinct held-out spells, unresolved source latency, and the absence of external validation preclude operational-warning claims. The defensible contribution is therefore an integrated account of warming, definition sensitivity, antecedent association, and strictly chronological short-lead prediction—with each conclusion tied to its specific outcome and evidence.</w:t>
      </w:r>
    </w:p>
    <w:p/>
    <w:p>
      <w:pPr>
        <w:pStyle w:val="Heading1"/>
      </w:pPr>
      <w:r>
        <w:rPr>
          <w:color w:val="000000"/>
        </w:rPr>
        <w:t>Declarations</w:t>
      </w:r>
    </w:p>
    <w:p/>
    <w:p>
      <w:r>
        <w:rPr>
          <w:color w:val="000000"/>
          <w:highlight w:val="yellow"/>
        </w:rPr>
        <w:t>Author contributions. Awnon Bhowmik: methodology, software, data curation, investigation, visualization, and original draft preparation. Goutam Saha: conceptualization, supervision, data review, and manuscript review and editing.</w:t>
      </w:r>
    </w:p>
    <w:p/>
    <w:p>
      <w:r>
        <w:rPr>
          <w:color w:val="000000"/>
          <w:highlight w:val="yellow"/>
        </w:rPr>
        <w:t>Funding. The authors received no specific funding for this work.</w:t>
      </w:r>
    </w:p>
    <w:p/>
    <w:p>
      <w:r>
        <w:rPr>
          <w:color w:val="000000"/>
          <w:highlight w:val="yellow"/>
        </w:rPr>
        <w:t>Competing interests. The authors declare no competing financial or non-financial interests.</w:t>
      </w:r>
    </w:p>
    <w:p/>
    <w:p>
      <w:r>
        <w:rPr>
          <w:color w:val="000000"/>
          <w:highlight w:val="yellow"/>
        </w:rPr>
        <w:t>Data and code availability. The daily climate file, analysis code, reproducibility tests, and figure-generation materials are available in the public repository at https://github.com/awnonbhowmik/Heatwave-Dhaka_BD. The complete analysis can be regenerated with make article.</w:t>
      </w:r>
    </w:p>
    <w:p/>
    <w:p>
      <w:r>
        <w:rPr>
          <w:color w:val="000000"/>
          <w:highlight w:val="yellow"/>
        </w:rPr>
        <w:t>Ethics approval. Not applicable. This meteorological analysis used no human participants, personal data, or individual-level health records.</w:t>
      </w:r>
    </w:p>
    <w:p/>
    <w:p>
      <w:r>
        <w:rPr>
          <w:color w:val="000000"/>
          <w:highlight w:val="yellow"/>
        </w:rPr>
        <w:t>Use of AI-assisted tools. AI-assisted tools were used for language editing and organizational support. The authors reviewed and verified the scientific content, numerical results, interpretations, and references and remain responsible for the final manuscript.</w:t>
      </w:r>
    </w:p>
    <w:p/>
    <w:p>
      <w:pPr>
        <w:pStyle w:val="Heading1"/>
      </w:pPr>
      <w:r>
        <w:rPr>
          <w:color w:val="000000"/>
        </w:rPr>
        <w:t>References</w:t>
      </w:r>
    </w:p>
    <w:p/>
    <w:p>
      <w:r>
        <w:rPr>
          <w:color w:val="000000"/>
        </w:rPr>
        <w:t>Adnan, M. S. G., Kabir, I., Hossain, M. A., Chakma, S., Tasneem, S. N., Saha, C. R., Hassan, Q. K., &amp; Dewan, A. (2024). Heatwave vulnerability of large metropolitans in Bangladesh: An evaluation. *Geomatica, 76*(2), 100020. https://doi.org/10.1016/j.geomat.2024.100020</w:t>
      </w:r>
    </w:p>
    <w:p/>
    <w:p>
      <w:r>
        <w:rPr>
          <w:color w:val="000000"/>
        </w:rPr>
        <w:t>Anderson, G. B., Bell, M. L., &amp; Peng, R. D. (2013). Methods to calculate the heat index as an exposure metric in environmental health research. *Environmental Health Perspectives, 121*(10), 1111–1119. https://doi.org/10.1289/ehp.1206273</w:t>
      </w:r>
    </w:p>
    <w:p/>
    <w:p>
      <w:r>
        <w:rPr>
          <w:color w:val="000000"/>
        </w:rPr>
        <w:t>Ballester, J., Quijal-Zamorano, M., Méndez Turrubiates, R. F., Pegenaute, F., Herrmann, F. R., Robine, J. M., Basagaña, X., Tonne, C., Antó, J. M., &amp; Achebak, H. (2023). Heat-related mortality in Europe during the summer of 2022. *Nature Medicine, 29*, 1857–1866. https://doi.org/10.1038/s41591-023-02419-z</w:t>
      </w:r>
    </w:p>
    <w:p/>
    <w:p>
      <w:r>
        <w:rPr>
          <w:color w:val="000000"/>
        </w:rPr>
        <w:t>Bergmeir, C., Hyndman, R. J., &amp; Koo, B. (2018). A note on the validity of cross-validation for evaluating autoregressive time series prediction. *Computational Statistics &amp; Data Analysis, 120*, 70–83. https://doi.org/10.1016/j.csda.2017.11.003</w:t>
      </w:r>
    </w:p>
    <w:p/>
    <w:p>
      <w:r>
        <w:rPr>
          <w:color w:val="000000"/>
        </w:rPr>
        <w:t>Boni, Z., Bieńkowska, Z., Chwałczyk, F., Jancewicz, B., Marginean, I., &amp; Yáñez Serrano, P. (2023). What is a heat(wave)? An interdisciplinary perspective. *Climatic Change, 176*, 129. https://doi.org/10.1007/s10584-023-03592-3</w:t>
      </w:r>
    </w:p>
    <w:p/>
    <w:p>
      <w:r>
        <w:rPr>
          <w:color w:val="000000"/>
        </w:rPr>
        <w:t>Box, G. E. P., Jenkins, G. M., Reinsel, G. C., &amp; Ljung, G. M. (2015). *Time series analysis: Forecasting and control* (5th ed.). Wiley.</w:t>
      </w:r>
    </w:p>
    <w:p/>
    <w:p>
      <w:r>
        <w:rPr>
          <w:color w:val="000000"/>
        </w:rPr>
        <w:t>Breiman, L. (2001). Random forests. *Machine Learning, 45*(1), 5–32. https://doi.org/10.1023/A:1010933404324</w:t>
      </w:r>
    </w:p>
    <w:p/>
    <w:p>
      <w:r>
        <w:rPr>
          <w:color w:val="000000"/>
        </w:rPr>
        <w:t>Chaki, S., Samad, M. A., Mallik, M. A. K., &amp; Hassan, S. M. Q. (2025). Forecasting human heat stress: Insights from observations and WRF simulations during Bangladesh heatwaves. *PLOS Climate, 4*(8), e0000690. https://doi.org/10.1371/journal.pclm.0000690</w:t>
      </w:r>
    </w:p>
    <w:p/>
    <w:p>
      <w:r>
        <w:rPr>
          <w:color w:val="000000"/>
        </w:rPr>
        <w:t>Chen, T., &amp; Guestrin, C. (2016). XGBoost: A scalable tree boosting system. In *Proceedings of the 22nd ACM SIGKDD International Conference on Knowledge Discovery and Data Mining* (pp. 785–794). https://doi.org/10.1145/2939672.2939785</w:t>
      </w:r>
    </w:p>
    <w:p/>
    <w:p>
      <w:r>
        <w:rPr>
          <w:color w:val="000000"/>
        </w:rPr>
        <w:t>Choudary V, R., Johnvictor, A. C., &amp; Sankar N, P. (2025). Comparative analysis of machine learning approaches for heatwave event prediction in India. *Scientific Reports, 15*, 22431. https://doi.org/10.1038/s41598-025-04634-9</w:t>
      </w:r>
    </w:p>
    <w:p/>
    <w:p>
      <w:r>
        <w:rPr>
          <w:color w:val="000000"/>
        </w:rPr>
        <w:t>Dewan, A., Kiselev, G., Botje, D., Mahmud, G. I., Bhuian, M. H., &amp; Hassan, Q. K. (2021). Surface urban heat island intensity in five major cities of Bangladesh: Patterns, drivers and trends. *Sustainable Cities and Society, 71*, 102926. https://doi.org/10.1016/j.scs.2021.102926</w:t>
      </w:r>
    </w:p>
    <w:p/>
    <w:p>
      <w:r>
        <w:rPr>
          <w:color w:val="000000"/>
        </w:rPr>
        <w:t>Dickey, D. A., &amp; Fuller, W. A. (1979). Distribution of the estimators for autoregressive time series with a unit root. *Journal of the American Statistical Association, 74*(366), 427–431. https://doi.org/10.1080/01621459.1979.10482531</w:t>
      </w:r>
    </w:p>
    <w:p/>
    <w:p>
      <w:r>
        <w:rPr>
          <w:color w:val="000000"/>
        </w:rPr>
        <w:t>Diffenbaugh, N. S., Singh, D., Mankin, J. S., Horton, D. E., Swain, D. L., Touma, D., Charland, A., Liu, Y., Haugen, M., Tsiang, M., &amp; Rajaratnam, B. (2017). Quantifying the influence of global warming on unprecedented extreme climate events. *Proceedings of the National Academy of Sciences of the United States of America, 114*(19), 4881–4886. https://doi.org/10.1073/pnas.1618082114</w:t>
      </w:r>
    </w:p>
    <w:p/>
    <w:p>
      <w:r>
        <w:rPr>
          <w:color w:val="000000"/>
        </w:rPr>
        <w:t>Farukh, M. A., Brahma, P. P., Hossain, M. S., Hoque, M. J., Sejuti, S. I., Shammy, U. S., &amp; Arefin, K. S. (2026). Climatological assessment of pre-monsoon heatwave days in Bangladesh and their relationship to Indo-Pacific circulation anomalies. *Natural Hazards, 122*(1), 1–32. https://doi.org/10.1007/s11069-025-07746-7</w:t>
      </w:r>
    </w:p>
    <w:p/>
    <w:p>
      <w:r>
        <w:rPr>
          <w:color w:val="000000"/>
        </w:rPr>
        <w:t>Gallo, E., Quijal-Zamorano, M., Méndez Turrubiates, R. F., Tonne, C., Basagaña, X., Achebak, H., &amp; Ballester, J. (2024). Heat-related mortality in Europe during 2023 and the role of adaptation in protecting health. *Nature Medicine, 30*, 3101–3105. https://doi.org/10.1038/s41591-024-03186-1</w:t>
      </w:r>
    </w:p>
    <w:p/>
    <w:p>
      <w:r>
        <w:rPr>
          <w:color w:val="000000"/>
        </w:rPr>
        <w:t>Ghumman, U., &amp; Horney, J. (2016). Characterizing the impact of extreme heat on mortality, Karachi, Pakistan, June 2015. *Prehospital and Disaster Medicine, 31*(3), 263–266. https://doi.org/10.1017/S1049023X16000273</w:t>
      </w:r>
    </w:p>
    <w:p/>
    <w:p>
      <w:r>
        <w:rPr>
          <w:color w:val="000000"/>
        </w:rPr>
        <w:t>Global Forest Watch. (2024). *Tree cover loss data for Dhaka Division, Bangladesh, 2001–2023*. World Resources Institute. https://www.globalforestwatch.org/</w:t>
      </w:r>
    </w:p>
    <w:p/>
    <w:p>
      <w:r>
        <w:rPr>
          <w:color w:val="000000"/>
        </w:rPr>
        <w:t>Haque, F., Lampe, F. C., Hajat, S., Stavrianaki, K., Hasan, S. M. T., Faruque, A. S. G., Ahmed, T., Jubayer, S., &amp; Kelman, I. (2024). Is heat wave a predictor of diarrhoea in Dhaka, Bangladesh? A time-series analysis in a South Asian tropical monsoon climate. *PLOS Global Public Health, 4*(9), e0003629. https://doi.org/10.1371/journal.pgph.0003629</w:t>
      </w:r>
    </w:p>
    <w:p/>
    <w:p>
      <w:r>
        <w:rPr>
          <w:color w:val="000000"/>
        </w:rPr>
        <w:t>Hess, J. J., Sathish, L. M., Knowlton, K., Saha, S., Dutta, P., Ganguly, P., Tiwari, A., Jaiswal, A., Sheffield, P., Sarkar, J., Bhan, S. C., Begda, A., Shah, T., Solanki, B., &amp; Mavalankar, D. (2018). Building resilience to climate change: Pilot evaluation of the impact of India's first heat action plan on all-cause mortality. *Journal of Environmental and Public Health, 2018*, 7973519. https://doi.org/10.1155/2018/7973519</w:t>
      </w:r>
    </w:p>
    <w:p/>
    <w:p>
      <w:r>
        <w:rPr>
          <w:color w:val="000000"/>
        </w:rPr>
        <w:t>Hochreiter, S., &amp; Schmidhuber, J. (1997). Long short-term memory. *Neural Computation, 9*(8), 1735–1780. https://doi.org/10.1162/neco.1997.9.8.1735</w:t>
      </w:r>
    </w:p>
    <w:p/>
    <w:p>
      <w:r>
        <w:rPr>
          <w:color w:val="000000"/>
        </w:rPr>
        <w:t>Huang, W., Kan, H., &amp; Kovats, S. (2010). The impact of the 2003 heat wave on mortality in Shanghai, China. *Science of the Total Environment, 408*(11), 2418–2420. https://doi.org/10.1016/j.scitotenv.2010.02.009</w:t>
      </w:r>
    </w:p>
    <w:p/>
    <w:p>
      <w:r>
        <w:rPr>
          <w:color w:val="000000"/>
        </w:rPr>
        <w:t>Im, E.-S., Pal, J. S., &amp; Eltahir, E. A. B. (2017). Deadly heat waves projected in the densely populated agricultural regions of South Asia. *Science Advances, 3*(8), e1603322. https://doi.org/10.1126/sciadv.1603322</w:t>
      </w:r>
    </w:p>
    <w:p/>
    <w:p>
      <w:r>
        <w:rPr>
          <w:color w:val="000000"/>
        </w:rPr>
        <w:t>Intergovernmental Panel on Climate Change. (2021). *Climate change 2021: The physical science basis: Contribution of Working Group I to the Sixth Assessment Report of the Intergovernmental Panel on Climate Change*. Cambridge University Press. https://doi.org/10.1017/9781009157896</w:t>
      </w:r>
    </w:p>
    <w:p/>
    <w:p>
      <w:r>
        <w:rPr>
          <w:color w:val="000000"/>
        </w:rPr>
        <w:t>Islam, M. Y., Mohiuddin, M., Tanvir Hossain, K., Salauddin, M., &amp; Farin, S. (2024). Trend of heat waves in Dhaka Metropolitan City and its impact on livelihood and health of exposed people. *Arabian Journal of Geosciences, 17*, 232. https://doi.org/10.1007/s12517-024-12027-x</w:t>
      </w:r>
    </w:p>
    <w:p/>
    <w:p>
      <w:r>
        <w:rPr>
          <w:color w:val="000000"/>
        </w:rPr>
        <w:t>Kan, J.-C., Vieira Passos, M., Destouni, G., Barquet, K., Ferreira, C. S. S., &amp; Kalantari, Z. (2025). Seasonal heatwave forecasting with explainable machine learning and remote sensing data. *Stochastic Environmental Research and Risk Assessment, 39*, 3333–3352. https://doi.org/10.1007/s00477-025-03020-1</w:t>
      </w:r>
    </w:p>
    <w:p/>
    <w:p>
      <w:r>
        <w:rPr>
          <w:color w:val="000000"/>
        </w:rPr>
        <w:t>Karmakar, S., &amp; Das, M. K. (2020). On the heat waves in Bangladesh, their trends and associated large-scale tropospheric conditions. *Journal of Engineering Science, 11*(1), 19–36. https://doi.org/10.3329/jes.v11i1.49544</w:t>
      </w:r>
    </w:p>
    <w:p/>
    <w:p>
      <w:r>
        <w:rPr>
          <w:color w:val="000000"/>
        </w:rPr>
        <w:t>Khatun, K., Samad, M. A., &amp; Rashid, M. B. (2017). Time series analysis of temperature and rainfall data of Dhaka Division. *Dhaka University Journal of Science, 65*(2), 119–123. https://doi.org/10.3329/dujs.v65i2.54519</w:t>
      </w:r>
    </w:p>
    <w:p/>
    <w:p>
      <w:r>
        <w:rPr>
          <w:color w:val="000000"/>
        </w:rPr>
        <w:t>Liu, Z., Zhan, W., Bechtel, B., Voogt, J., Lai, J., Chakraborty, T., Wang, Z.-H., Li, M., Huang, F., &amp; Lee, X. (2022). Surface warming in global cities is substantially more rapid than in rural background areas. *Communications Earth &amp; Environment, 3*, 219. https://doi.org/10.1038/s43247-022-00539-x</w:t>
      </w:r>
    </w:p>
    <w:p/>
    <w:p>
      <w:r>
        <w:rPr>
          <w:color w:val="000000"/>
        </w:rPr>
        <w:t>Lu, Y.-C., &amp; Romps, D. M. (2022). Extending the heat index. *Journal of Applied Meteorology and Climatology, 61*(10), 1367–1383. https://doi.org/10.1175/JAMC-D-22-0021.1</w:t>
      </w:r>
    </w:p>
    <w:p/>
    <w:p>
      <w:r>
        <w:rPr>
          <w:color w:val="000000"/>
        </w:rPr>
        <w:t>Lundberg, S. M., &amp; Lee, S.-I. (2017). A unified approach to interpreting model predictions. In *Advances in Neural Information Processing Systems 30* (pp. 4765–4774).</w:t>
      </w:r>
    </w:p>
    <w:p/>
    <w:p>
      <w:r>
        <w:rPr>
          <w:color w:val="000000"/>
        </w:rPr>
        <w:t>Ma, F., &amp; Yuan, X. (2021). More persistent summer compound hot extremes caused by global urbanization. *Geophysical Research Letters, 48*(15), e2021GL093721. https://doi.org/10.1029/2021GL093721</w:t>
      </w:r>
    </w:p>
    <w:p/>
    <w:p>
      <w:r>
        <w:rPr>
          <w:color w:val="000000"/>
        </w:rPr>
        <w:t>Mallik, M. A. K., Sultana, A., Islam, M. K., Akter, M. Y., Alam, E., &amp; Islam, A. R. M. T. (2024). Are hotspots and frequencies of heat waves changing over time? Exploring causes of heat waves in a tropical country. *PLOS ONE, 19*, e0300070. https://doi.org/10.1371/journal.pone.0300070</w:t>
      </w:r>
    </w:p>
    <w:p/>
    <w:p>
      <w:r>
        <w:rPr>
          <w:color w:val="000000"/>
        </w:rPr>
        <w:t>Manoli, G., Fatichi, S., Schläpfer, M., Yu, K., Crowther, T. W., Meili, N., Burlando, P., Katul, G. G., &amp; Bou-Zeid, E. (2019). Magnitude of urban heat islands largely explained by climate and population. *Nature, 573*, 55–60. https://doi.org/10.1038/s41586-019-1512-9</w:t>
      </w:r>
    </w:p>
    <w:p/>
    <w:p>
      <w:r>
        <w:rPr>
          <w:color w:val="000000"/>
        </w:rPr>
        <w:t>Meteoblue. (2024). *Historical weather data for Dhaka, Bangladesh*. https://www.meteoblue.com/</w:t>
      </w:r>
    </w:p>
    <w:p/>
    <w:p>
      <w:r>
        <w:rPr>
          <w:color w:val="000000"/>
        </w:rPr>
        <w:t>Molla, M. A. M., Hassan, Q. K., &amp; Dewan, A. (2025). Unveiling heatwave events in Bangladesh: Insights from observational records and ERA5 reanalysis data. *Climate Services, 40*, 100609. https://doi.org/10.1016/j.cliser.2025.100609</w:t>
      </w:r>
    </w:p>
    <w:p/>
    <w:p>
      <w:r>
        <w:rPr>
          <w:color w:val="000000"/>
        </w:rPr>
        <w:t>Mora, C., Dousset, B., Caldwell, I. R., Powell, F. E., Geronimo, R. C., Bielecki, C. R., Counsell, C. W. W., Dietrich, B. S., Johnston, E. T., Louis, L. V., Lucas, M. P., McKenzie, M. M., Shea, A. G., Tseng, H., Giambelluca, T. W., Leon, L. R., Hawkins, E., &amp; Trauernicht, C. (2017). Global risk of deadly heat. *Nature Climate Change, 7*(7), 501–506. https://doi.org/10.1038/nclimate3322</w:t>
      </w:r>
    </w:p>
    <w:p/>
    <w:p>
      <w:r>
        <w:rPr>
          <w:color w:val="000000"/>
        </w:rPr>
        <w:t>Nawaro, J., Gianquintieri, L., Pagliosa, A., Sechi, G. M., &amp; Caiani, E. G. (2023). Heatwave definition and impact on cardiovascular health: A systematic review. *Public Health Reviews, 44*, 1606266. https://doi.org/10.3389/phrs.2023.1606266</w:t>
      </w:r>
    </w:p>
    <w:p/>
    <w:p>
      <w:r>
        <w:rPr>
          <w:color w:val="000000"/>
        </w:rPr>
        <w:t>Nissan, H., Burkart, K., Coughlan de Perez, E., van Aalst, M., &amp; Mason, S. (2017). Defining and predicting heat waves in Bangladesh. *Journal of Applied Meteorology and Climatology, 56*(10), 2653–2670. https://doi.org/10.1175/JAMC-D-17-0035.1</w:t>
      </w:r>
    </w:p>
    <w:p/>
    <w:p>
      <w:r>
        <w:rPr>
          <w:color w:val="000000"/>
        </w:rPr>
        <w:t>Nissan, H., Muñoz, Á. G., &amp; Mason, S. J. (2020). Targeted model evaluations for climate services: A case study on heat waves in Bangladesh. *Climate Risk Management, 28*, 100213. https://doi.org/10.1016/j.crm.2020.100213</w:t>
      </w:r>
    </w:p>
    <w:p/>
    <w:p>
      <w:r>
        <w:rPr>
          <w:color w:val="000000"/>
        </w:rPr>
        <w:t>Perkins, S. E., &amp; Alexander, L. V. (2013). On the measurement of heat waves. *Journal of Climate, 26*(13), 4500–4517. https://doi.org/10.1175/JCLI-D-12-00383.1</w:t>
      </w:r>
    </w:p>
    <w:p/>
    <w:p>
      <w:r>
        <w:rPr>
          <w:color w:val="000000"/>
        </w:rPr>
        <w:t>Perkins-Kirkpatrick, S. E., &amp; Lewis, S. C. (2020). Increasing trends in regional heatwaves. *Nature Communications, 11*, 3357. https://doi.org/10.1038/s41467-020-16970-7</w:t>
      </w:r>
    </w:p>
    <w:p/>
    <w:p>
      <w:r>
        <w:rPr>
          <w:color w:val="000000"/>
        </w:rPr>
        <w:t>Qureshi, M. M. U., Ahmed, A. B., Dulmini, A., Khan, M. M. H., &amp; Rois, R. (2025). Developing a seasonal-adjusted machine-learning-based hybrid time-series model to forecast heatwave warning. *Scientific Reports, 15*, 8699. https://doi.org/10.1038/s41598-025-93227-7</w:t>
      </w:r>
    </w:p>
    <w:p/>
    <w:p>
      <w:r>
        <w:rPr>
          <w:color w:val="000000"/>
        </w:rPr>
        <w:t>Rahman, M. M., Garcia, E., Lim, C. C., Ghazipura, M., Alam, N., Palinkas, L. A., McConnell, R., &amp; Thurston, G. (2022). Temperature variability associations with cardiovascular and respiratory emergency department visits in Dhaka, Bangladesh. *Environment International, 164*, 107267. https://doi.org/10.1016/j.envint.2022.107267</w:t>
      </w:r>
    </w:p>
    <w:p/>
    <w:p>
      <w:r>
        <w:rPr>
          <w:color w:val="000000"/>
        </w:rPr>
        <w:t>Ravindra, K., Bhardwaj, S., Ram, C., Goyal, A., Singh, V., Venkataraman, C., Bhan, S., Sokhi, R., &amp; Mor, S. (2024). Temperature projections and heatwave attribution scenarios over India: A systematic review. *Heliyon, 10*(4), e26431. https://doi.org/10.1016/j.heliyon.2024.e26431</w:t>
      </w:r>
    </w:p>
    <w:p/>
    <w:p>
      <w:r>
        <w:rPr>
          <w:color w:val="000000"/>
        </w:rPr>
        <w:t>Raymond, C., Matthews, T., &amp; Horton, R. M. (2020). The emergence of heat and humidity too severe for human tolerance. *Science Advances, 6*(19), eaaw1838. https://doi.org/10.1126/sciadv.aaw1838</w:t>
      </w:r>
    </w:p>
    <w:p/>
    <w:p>
      <w:r>
        <w:rPr>
          <w:color w:val="000000"/>
        </w:rPr>
        <w:t>Rashid, G. M., Hossain, M. M. T., Akhter, M. A. E., &amp; Mallik, M. A. K. (2024). A study on the heat wave conditions over Bangladesh during 1990–2019. *Journal of Engineering Science, 14*(2), 59–67. https://doi.org/10.3329/jes.v14i2.71227</w:t>
      </w:r>
    </w:p>
    <w:p/>
    <w:p>
      <w:r>
        <w:rPr>
          <w:color w:val="000000"/>
        </w:rPr>
        <w:t>Robinson, P. J. (2001). On the definition of a heat wave. *Journal of Applied Meteorology, 40*(4), 762–775. https://doi.org/10.1175/1520-0450(2001)040%3C0762:OTDOAH%3E2.0.CO;2</w:t>
      </w:r>
    </w:p>
    <w:p/>
    <w:p>
      <w:r>
        <w:rPr>
          <w:color w:val="000000"/>
        </w:rPr>
        <w:t>Rothfusz, L. P. (1990). *The heat index “equation” (or, more than you ever wanted to know about heat index)*. National Weather Service, Southern Region Headquarters.</w:t>
      </w:r>
    </w:p>
    <w:p/>
    <w:p>
      <w:r>
        <w:rPr>
          <w:color w:val="000000"/>
        </w:rPr>
        <w:t>Russo, S., Dosio, A., Graversen, R. G., Sillmann, J., Carrao, H., Dunbar, M. B., Singleton, A., Montagna, P., Barbola, P., &amp; Vogt, J. V. (2014). Magnitude of extreme heat waves in present climate and their projection in a warming world. *Journal of Geophysical Research: Atmospheres, 119*(22), 12,500–12,512. https://doi.org/10.1002/2014JD022098</w:t>
      </w:r>
    </w:p>
    <w:p/>
    <w:p>
      <w:r>
        <w:rPr>
          <w:color w:val="000000"/>
        </w:rPr>
        <w:t>Saito, T., &amp; Rehmsmeier, M. (2015). The precision–recall plot is more informative than the ROC plot when evaluating binary classifiers on imbalanced datasets. *PLOS ONE, 10*(3), e0118432. https://doi.org/10.1371/journal.pone.0118432</w:t>
      </w:r>
    </w:p>
    <w:p/>
    <w:p>
      <w:r>
        <w:rPr>
          <w:color w:val="000000"/>
        </w:rPr>
        <w:t>Saeed, F., Schleussner, C.-F., &amp; Ashfaq, M. (2021). Deadly heat stress to become commonplace across South Asia already at 1.5 °C of global warming. *Geophysical Research Letters, 48*(7), e2020GL091191. https://doi.org/10.1029/2020GL091191</w:t>
      </w:r>
    </w:p>
    <w:p/>
    <w:p>
      <w:r>
        <w:rPr>
          <w:color w:val="000000"/>
        </w:rPr>
        <w:t>Sarangi, C., Qian, Y., Li, J., Leung, L. R., Chakraborty, T., &amp; Liu, Y. (2021). Urbanization amplifies nighttime heat stress on warmer days over the United States. *Geophysical Research Letters, 48*, e2021GL095678. https://doi.org/10.1029/2021GL095678</w:t>
      </w:r>
    </w:p>
    <w:p/>
    <w:p>
      <w:r>
        <w:rPr>
          <w:color w:val="000000"/>
        </w:rPr>
        <w:t>Sera, F., Armstrong, B., Tobias, A., Vicedo-Cabrera, A. M., Åström, C., Bell, M. L., Chen, B.-Y., de Sousa Zanotti Stagliorio Coelho, M., Matus Correa, P., Cruz, J. C., Dang, T. N., Hurtado-Díaz, M., Do Van, D., Forsberg, B., Guo, Y.-L. L., Guo, Y., Hashizume, M., Honda, Y., Iñiguez, C., … Gasparrini, A. (2019). How urban characteristics affect vulnerability to heat and cold: A multi-country analysis. *International Journal of Epidemiology, 48*(4), 1101–1112. https://doi.org/10.1093/ije/dyz008</w:t>
      </w:r>
    </w:p>
    <w:p/>
    <w:p>
      <w:r>
        <w:rPr>
          <w:color w:val="000000"/>
        </w:rPr>
        <w:t>Shahrujjaman, S. M., Sikder, B. B., Zahid, D., &amp; Pal, B. (2025). Heat wave adaptation strategies among informal workers in an urban setting: A study in Dhaka city, Bangladesh. *Natural Hazards Research, 5*(3), 509–522. https://doi.org/10.1016/j.nhres.2025.01.006</w:t>
      </w:r>
    </w:p>
    <w:p/>
    <w:p>
      <w:r>
        <w:rPr>
          <w:color w:val="000000"/>
        </w:rPr>
        <w:t>Sharma, A., Andhikaputra, G., &amp; Wang, Y.-C. (2022). Heatwaves in South Asia: Characterization, consequences on human health, and adaptation strategies. *Atmosphere, 13*(5), 734. https://doi.org/10.3390/atmos13050734</w:t>
      </w:r>
    </w:p>
    <w:p/>
    <w:p>
      <w:r>
        <w:rPr>
          <w:color w:val="000000"/>
        </w:rPr>
        <w:t>Shi, Z., Xu, X., &amp; Jia, G. (2021). Urbanization magnified nighttime heat waves in China. *Geophysical Research Letters, 48*(15), e2021GL093603. https://doi.org/10.1029/2021GL093603</w:t>
      </w:r>
    </w:p>
    <w:p/>
    <w:p>
      <w:r>
        <w:rPr>
          <w:color w:val="000000"/>
        </w:rPr>
        <w:t>Singh, S., Yadav, A., &amp; Goyal, M. K. (2024). Univariate and bivariate spatiotemporal characteristics of heat waves and relative influence of large-scale climate oscillations over India. *Journal of Hydrology, 628*, 130596. https://doi.org/10.1016/j.jhydrol.2023.130596</w:t>
      </w:r>
    </w:p>
    <w:p/>
    <w:p>
      <w:r>
        <w:rPr>
          <w:color w:val="000000"/>
        </w:rPr>
        <w:t>Tabassum, A., Park, K., Seo, J. M., Han, J.-Y., Hong, S. H., &amp; Baik, J.-J. (2024). Characteristics of the urban heat island in Dhaka, Bangladesh, and its interaction with heat waves. *Asia-Pacific Journal of Atmospheric Sciences, 60*, 479–493. https://doi.org/10.1007/s13143-024-00362-8</w:t>
      </w:r>
    </w:p>
    <w:p/>
    <w:p>
      <w:r>
        <w:rPr>
          <w:color w:val="000000"/>
        </w:rPr>
        <w:t>Tashman, L. J. (2000). Out-of-sample tests of forecasting accuracy: An analysis and review. *International Journal of Forecasting, 16*(4), 437–450. https://doi.org/10.1016/S0169-2070(00)00065-0</w:t>
      </w:r>
    </w:p>
    <w:p/>
    <w:p>
      <w:r>
        <w:rPr>
          <w:color w:val="000000"/>
        </w:rPr>
        <w:t>Tuholske, C., Caylor, K., Funk, C., Verdin, A., Sweeney, S., Grace, K., Peterson, P., &amp; Evans, T. (2021). Global urban population exposure to extreme heat. *Proceedings of the National Academy of Sciences of the United States of America, 118*(41), e2024792118. https://doi.org/10.1073/pnas.2024792118</w:t>
      </w:r>
    </w:p>
    <w:p/>
    <w:p>
      <w:r>
        <w:rPr>
          <w:color w:val="000000"/>
        </w:rPr>
        <w:t>Van Calster, B., McLernon, D. J., van Smeden, M., Wynants, L., &amp; Steyerberg, E. W. (2019). Calibration: The Achilles heel of predictive analytics. *BMC Medicine, 17*, 230. https://doi.org/10.1186/s12916-019-1466-7</w:t>
      </w:r>
    </w:p>
    <w:p/>
    <w:p>
      <w:r>
        <w:rPr>
          <w:color w:val="000000"/>
        </w:rPr>
        <w:t>Vecellio, D. J., Wolf, S. T., Cottle, R. M., &amp; Kenney, W. L. (2022). Evaluating the 35 °C wet-bulb temperature adaptability threshold for young, healthy subjects (PSU HEAT Project). *Journal of Applied Physiology, 132*(2), 340–345. https://doi.org/10.1152/japplphysiol.00738.2021</w:t>
      </w:r>
    </w:p>
    <w:p/>
    <w:p>
      <w:r>
        <w:rPr>
          <w:color w:val="000000"/>
        </w:rPr>
        <w:t>Vicedo-Cabrera, A. M., Scovronick, N., Sera, F., Royé, D., Schneider, R., Tobias, A., Åström, C., Guo, Y., Honda, Y., Hondula, D. M., Abrutzky, R., Tong, S., de Sousa Zanotti Stagliorio Coelho, M., Nascimento Saldiva, P. H., Lavigne, E., Matus Correa, P., Valdés Ortega, N., Kan, H., Osorio, S., … Gasparrini, A. (2021). The burden of heat-related mortality attributable to recent human-induced climate change. *Nature Climate Change, 11*(6), 492–500. https://doi.org/10.1038/s41558-021-01058-x</w:t>
      </w:r>
    </w:p>
    <w:p/>
    <w:p>
      <w:r>
        <w:rPr>
          <w:color w:val="000000"/>
        </w:rPr>
        <w:t>Zhang, Y., Mao, G., Chen, C., Lu, Z., Luo, Z., &amp; Zhou, W. (2020). Population exposure to concurrent daytime and nighttime heatwaves in Huai River Basin, China. *Sustainable Cities and Society, 61*, 102309. https://doi.org/10.1016/j.scs.2020.102309</w:t>
      </w:r>
    </w:p>
    <w:p/>
    <w:p>
      <w:r>
        <w:rPr>
          <w:color w:val="000000"/>
        </w:rPr>
        <w:t>Zhao, L., Lee, X., Smith, R. B., &amp; Oleson, K. (2014). Strong contributions of local background climate to urban heat islands. *Nature, 511*, 216–219. https://doi.org/10.1038/nature13462</w:t>
      </w:r>
    </w:p>
    <w:p/>
    <w:p>
      <w:r>
        <w:rPr>
          <w:color w:val="000000"/>
        </w:rPr>
        <w:t>Zscheischler, J., Westra, S., van den Hurk, B. J. J. M., Seneviratne, S. I., Ward, P. J., Pitman, A., AghaKouchak, A., Bresch, D. N., Leonard, M., Wahl, T., &amp; Zhang, X. (2018). Future climate risk from compound events. *Nature Climate Change, 8*, 469–477. https://doi.org/10.1038/s41558-018-0156-3</w:t>
      </w:r>
    </w:p>
    <w:p>
      <w:pPr>
        <w:sectPr>
          <w:pgSz w:w="12240" w:h="15840"/>
          <w:pgMar w:top="1440" w:right="1440" w:bottom="1440" w:left="1440" w:header="720" w:footer="720" w:gutter="0"/>
          <w:cols w:space="720"/>
          <w:docGrid w:linePitch="360"/>
        </w:sectPr>
      </w:pPr>
    </w:p>
    <w:p>
      <w:pPr>
        <w:pStyle w:val="Heading1"/>
      </w:pPr>
      <w:r>
        <w:t>Tables</w:t>
      </w:r>
    </w:p>
    <w:p>
      <w:pPr>
        <w:pStyle w:val="Caption"/>
        <w:jc w:val="left"/>
      </w:pPr>
      <w:r>
        <w:rPr>
          <w:color w:val="000000"/>
        </w:rPr>
        <w:t>Table 1. Data completeness and descriptive statistics.</w:t>
      </w:r>
    </w:p>
    <w:tbl>
      <w:tblPr>
        <w:tblStyle w:val="TableGrid"/>
        <w:tblW w:type="auto" w:w="0"/>
        <w:tblLayout w:type="autofit"/>
        <w:tblLook w:firstColumn="1" w:firstRow="1" w:lastColumn="0" w:lastRow="0" w:noHBand="0" w:noVBand="1" w:val="04A0"/>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c>
          <w:tcPr>
            <w:tcW w:type="dxa" w:w="468"/>
            <w:vAlign w:val="center"/>
            <w:shd w:fill="D9EAF7"/>
          </w:tcPr>
          <w:p>
            <w:r>
              <w:rPr>
                <w:rFonts w:ascii="Arial" w:hAnsi="Arial"/>
                <w:b/>
                <w:color w:val="000000"/>
                <w:sz w:val="14"/>
              </w:rPr>
              <w:t>stratum</w:t>
            </w:r>
          </w:p>
        </w:tc>
        <w:tc>
          <w:tcPr>
            <w:tcW w:type="dxa" w:w="468"/>
            <w:vAlign w:val="center"/>
            <w:shd w:fill="D9EAF7"/>
          </w:tcPr>
          <w:p>
            <w:r>
              <w:rPr>
                <w:rFonts w:ascii="Arial" w:hAnsi="Arial"/>
                <w:b/>
                <w:color w:val="000000"/>
                <w:sz w:val="14"/>
              </w:rPr>
              <w:t>variable</w:t>
            </w:r>
          </w:p>
        </w:tc>
        <w:tc>
          <w:tcPr>
            <w:tcW w:type="dxa" w:w="468"/>
            <w:vAlign w:val="center"/>
            <w:shd w:fill="D9EAF7"/>
          </w:tcPr>
          <w:p>
            <w:r>
              <w:rPr>
                <w:rFonts w:ascii="Arial" w:hAnsi="Arial"/>
                <w:b/>
                <w:color w:val="000000"/>
                <w:sz w:val="14"/>
              </w:rPr>
              <w:t>valid n</w:t>
            </w:r>
          </w:p>
        </w:tc>
        <w:tc>
          <w:tcPr>
            <w:tcW w:type="dxa" w:w="468"/>
            <w:vAlign w:val="center"/>
            <w:shd w:fill="D9EAF7"/>
          </w:tcPr>
          <w:p>
            <w:r>
              <w:rPr>
                <w:rFonts w:ascii="Arial" w:hAnsi="Arial"/>
                <w:b/>
                <w:color w:val="000000"/>
                <w:sz w:val="14"/>
              </w:rPr>
              <w:t>missing n</w:t>
            </w:r>
          </w:p>
        </w:tc>
        <w:tc>
          <w:tcPr>
            <w:tcW w:type="dxa" w:w="468"/>
            <w:vAlign w:val="center"/>
            <w:shd w:fill="D9EAF7"/>
          </w:tcPr>
          <w:p>
            <w:r>
              <w:rPr>
                <w:rFonts w:ascii="Arial" w:hAnsi="Arial"/>
                <w:b/>
                <w:color w:val="000000"/>
                <w:sz w:val="14"/>
              </w:rPr>
              <w:t>mean</w:t>
            </w:r>
          </w:p>
        </w:tc>
        <w:tc>
          <w:tcPr>
            <w:tcW w:type="dxa" w:w="468"/>
            <w:vAlign w:val="center"/>
            <w:shd w:fill="D9EAF7"/>
          </w:tcPr>
          <w:p>
            <w:r>
              <w:rPr>
                <w:rFonts w:ascii="Arial" w:hAnsi="Arial"/>
                <w:b/>
                <w:color w:val="000000"/>
                <w:sz w:val="14"/>
              </w:rPr>
              <w:t>standard deviation</w:t>
            </w:r>
          </w:p>
        </w:tc>
        <w:tc>
          <w:tcPr>
            <w:tcW w:type="dxa" w:w="468"/>
            <w:vAlign w:val="center"/>
            <w:shd w:fill="D9EAF7"/>
          </w:tcPr>
          <w:p>
            <w:r>
              <w:rPr>
                <w:rFonts w:ascii="Arial" w:hAnsi="Arial"/>
                <w:b/>
                <w:color w:val="000000"/>
                <w:sz w:val="14"/>
              </w:rPr>
              <w:t>median</w:t>
            </w:r>
          </w:p>
        </w:tc>
        <w:tc>
          <w:tcPr>
            <w:tcW w:type="dxa" w:w="468"/>
            <w:vAlign w:val="center"/>
            <w:shd w:fill="D9EAF7"/>
          </w:tcPr>
          <w:p>
            <w:r>
              <w:rPr>
                <w:rFonts w:ascii="Arial" w:hAnsi="Arial"/>
                <w:b/>
                <w:color w:val="000000"/>
                <w:sz w:val="14"/>
              </w:rPr>
              <w:t>first quartile</w:t>
            </w:r>
          </w:p>
        </w:tc>
        <w:tc>
          <w:tcPr>
            <w:tcW w:type="dxa" w:w="468"/>
            <w:vAlign w:val="center"/>
            <w:shd w:fill="D9EAF7"/>
          </w:tcPr>
          <w:p>
            <w:r>
              <w:rPr>
                <w:rFonts w:ascii="Arial" w:hAnsi="Arial"/>
                <w:b/>
                <w:color w:val="000000"/>
                <w:sz w:val="14"/>
              </w:rPr>
              <w:t>third quartile</w:t>
            </w:r>
          </w:p>
        </w:tc>
        <w:tc>
          <w:tcPr>
            <w:tcW w:type="dxa" w:w="468"/>
            <w:vAlign w:val="center"/>
            <w:shd w:fill="D9EAF7"/>
          </w:tcPr>
          <w:p>
            <w:r>
              <w:rPr>
                <w:rFonts w:ascii="Arial" w:hAnsi="Arial"/>
                <w:b/>
                <w:color w:val="000000"/>
                <w:sz w:val="14"/>
              </w:rPr>
              <w:t>interquartile range</w:t>
            </w:r>
          </w:p>
        </w:tc>
        <w:tc>
          <w:tcPr>
            <w:tcW w:type="dxa" w:w="468"/>
            <w:vAlign w:val="center"/>
            <w:shd w:fill="D9EAF7"/>
          </w:tcPr>
          <w:p>
            <w:r>
              <w:rPr>
                <w:rFonts w:ascii="Arial" w:hAnsi="Arial"/>
                <w:b/>
                <w:color w:val="000000"/>
                <w:sz w:val="14"/>
              </w:rPr>
              <w:t>minimum</w:t>
            </w:r>
          </w:p>
        </w:tc>
        <w:tc>
          <w:tcPr>
            <w:tcW w:type="dxa" w:w="468"/>
            <w:vAlign w:val="center"/>
            <w:shd w:fill="D9EAF7"/>
          </w:tcPr>
          <w:p>
            <w:r>
              <w:rPr>
                <w:rFonts w:ascii="Arial" w:hAnsi="Arial"/>
                <w:b/>
                <w:color w:val="000000"/>
                <w:sz w:val="14"/>
              </w:rPr>
              <w:t>maximum</w:t>
            </w:r>
          </w:p>
        </w:tc>
        <w:tc>
          <w:tcPr>
            <w:tcW w:type="dxa" w:w="468"/>
            <w:vAlign w:val="center"/>
            <w:shd w:fill="D9EAF7"/>
          </w:tcPr>
          <w:p>
            <w:r>
              <w:rPr>
                <w:rFonts w:ascii="Arial" w:hAnsi="Arial"/>
                <w:b/>
                <w:color w:val="000000"/>
                <w:sz w:val="14"/>
              </w:rPr>
              <w:t>skewness</w:t>
            </w:r>
          </w:p>
        </w:tc>
        <w:tc>
          <w:tcPr>
            <w:tcW w:type="dxa" w:w="468"/>
            <w:vAlign w:val="center"/>
            <w:shd w:fill="D9EAF7"/>
          </w:tcPr>
          <w:p>
            <w:r>
              <w:rPr>
                <w:rFonts w:ascii="Arial" w:hAnsi="Arial"/>
                <w:b/>
                <w:color w:val="000000"/>
                <w:sz w:val="14"/>
              </w:rPr>
              <w:t>kurtosis</w:t>
            </w:r>
          </w:p>
        </w:tc>
        <w:tc>
          <w:tcPr>
            <w:tcW w:type="dxa" w:w="468"/>
            <w:vAlign w:val="center"/>
            <w:shd w:fill="D9EAF7"/>
          </w:tcPr>
          <w:p>
            <w:r>
              <w:rPr>
                <w:rFonts w:ascii="Arial" w:hAnsi="Arial"/>
                <w:b/>
                <w:color w:val="000000"/>
                <w:sz w:val="14"/>
              </w:rPr>
              <w:t>outcome</w:t>
            </w:r>
          </w:p>
        </w:tc>
        <w:tc>
          <w:tcPr>
            <w:tcW w:type="dxa" w:w="468"/>
            <w:vAlign w:val="center"/>
            <w:shd w:fill="D9EAF7"/>
          </w:tcPr>
          <w:p>
            <w:r>
              <w:rPr>
                <w:rFonts w:ascii="Arial" w:hAnsi="Arial"/>
                <w:b/>
                <w:color w:val="000000"/>
                <w:sz w:val="14"/>
              </w:rPr>
              <w:t>n</w:t>
            </w:r>
          </w:p>
        </w:tc>
        <w:tc>
          <w:tcPr>
            <w:tcW w:type="dxa" w:w="468"/>
            <w:vAlign w:val="center"/>
            <w:shd w:fill="D9EAF7"/>
          </w:tcPr>
          <w:p>
            <w:r>
              <w:rPr>
                <w:rFonts w:ascii="Arial" w:hAnsi="Arial"/>
                <w:b/>
                <w:color w:val="000000"/>
                <w:sz w:val="14"/>
              </w:rPr>
              <w:t>variance</w:t>
            </w:r>
          </w:p>
        </w:tc>
        <w:tc>
          <w:tcPr>
            <w:tcW w:type="dxa" w:w="468"/>
            <w:vAlign w:val="center"/>
            <w:shd w:fill="D9EAF7"/>
          </w:tcPr>
          <w:p>
            <w:r>
              <w:rPr>
                <w:rFonts w:ascii="Arial" w:hAnsi="Arial"/>
                <w:b/>
                <w:color w:val="000000"/>
                <w:sz w:val="14"/>
              </w:rPr>
              <w:t>variance to mean</w:t>
            </w:r>
          </w:p>
        </w:tc>
        <w:tc>
          <w:tcPr>
            <w:tcW w:type="dxa" w:w="468"/>
            <w:vAlign w:val="center"/>
            <w:shd w:fill="D9EAF7"/>
          </w:tcPr>
          <w:p>
            <w:r>
              <w:rPr>
                <w:rFonts w:ascii="Arial" w:hAnsi="Arial"/>
                <w:b/>
                <w:color w:val="000000"/>
                <w:sz w:val="14"/>
              </w:rPr>
              <w:t>zero count</w:t>
            </w:r>
          </w:p>
        </w:tc>
        <w:tc>
          <w:tcPr>
            <w:tcW w:type="dxa" w:w="468"/>
            <w:vAlign w:val="center"/>
            <w:shd w:fill="D9EAF7"/>
          </w:tcPr>
          <w:p>
            <w:r>
              <w:rPr>
                <w:rFonts w:ascii="Arial" w:hAnsi="Arial"/>
                <w:b/>
                <w:color w:val="000000"/>
                <w:sz w:val="14"/>
              </w:rPr>
              <w:t>zero fraction</w:t>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tmax</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30.14</w:t>
            </w:r>
          </w:p>
        </w:tc>
        <w:tc>
          <w:tcPr>
            <w:tcW w:type="dxa" w:w="468"/>
            <w:vAlign w:val="center"/>
          </w:tcPr>
          <w:p>
            <w:r>
              <w:rPr>
                <w:rFonts w:ascii="Arial" w:hAnsi="Arial"/>
                <w:color w:val="000000"/>
                <w:sz w:val="14"/>
              </w:rPr>
              <w:t>3.3451</w:t>
            </w:r>
          </w:p>
        </w:tc>
        <w:tc>
          <w:tcPr>
            <w:tcW w:type="dxa" w:w="468"/>
            <w:vAlign w:val="center"/>
          </w:tcPr>
          <w:p>
            <w:r>
              <w:rPr>
                <w:rFonts w:ascii="Arial" w:hAnsi="Arial"/>
                <w:color w:val="000000"/>
                <w:sz w:val="14"/>
              </w:rPr>
              <w:t>30.69</w:t>
            </w:r>
          </w:p>
        </w:tc>
        <w:tc>
          <w:tcPr>
            <w:tcW w:type="dxa" w:w="468"/>
            <w:vAlign w:val="center"/>
          </w:tcPr>
          <w:p>
            <w:r>
              <w:rPr>
                <w:rFonts w:ascii="Arial" w:hAnsi="Arial"/>
                <w:color w:val="000000"/>
                <w:sz w:val="14"/>
              </w:rPr>
              <w:t>28.03</w:t>
            </w:r>
          </w:p>
        </w:tc>
        <w:tc>
          <w:tcPr>
            <w:tcW w:type="dxa" w:w="468"/>
            <w:vAlign w:val="center"/>
          </w:tcPr>
          <w:p>
            <w:r>
              <w:rPr>
                <w:rFonts w:ascii="Arial" w:hAnsi="Arial"/>
                <w:color w:val="000000"/>
                <w:sz w:val="14"/>
              </w:rPr>
              <w:t>32.45</w:t>
            </w:r>
          </w:p>
        </w:tc>
        <w:tc>
          <w:tcPr>
            <w:tcW w:type="dxa" w:w="468"/>
            <w:vAlign w:val="center"/>
          </w:tcPr>
          <w:p>
            <w:r>
              <w:rPr>
                <w:rFonts w:ascii="Arial" w:hAnsi="Arial"/>
                <w:color w:val="000000"/>
                <w:sz w:val="14"/>
              </w:rPr>
              <w:t>4.42</w:t>
            </w:r>
          </w:p>
        </w:tc>
        <w:tc>
          <w:tcPr>
            <w:tcW w:type="dxa" w:w="468"/>
            <w:vAlign w:val="center"/>
          </w:tcPr>
          <w:p>
            <w:r>
              <w:rPr>
                <w:rFonts w:ascii="Arial" w:hAnsi="Arial"/>
                <w:color w:val="000000"/>
                <w:sz w:val="14"/>
              </w:rPr>
              <w:t>16.33</w:t>
            </w:r>
          </w:p>
        </w:tc>
        <w:tc>
          <w:tcPr>
            <w:tcW w:type="dxa" w:w="468"/>
            <w:vAlign w:val="center"/>
          </w:tcPr>
          <w:p>
            <w:r>
              <w:rPr>
                <w:rFonts w:ascii="Arial" w:hAnsi="Arial"/>
                <w:color w:val="000000"/>
                <w:sz w:val="14"/>
              </w:rPr>
              <w:t>40.2</w:t>
            </w:r>
          </w:p>
        </w:tc>
        <w:tc>
          <w:tcPr>
            <w:tcW w:type="dxa" w:w="468"/>
            <w:vAlign w:val="center"/>
          </w:tcPr>
          <w:p>
            <w:r>
              <w:rPr>
                <w:rFonts w:ascii="Arial" w:hAnsi="Arial"/>
                <w:color w:val="000000"/>
                <w:sz w:val="14"/>
              </w:rPr>
              <w:t>-0.50671</w:t>
            </w:r>
          </w:p>
        </w:tc>
        <w:tc>
          <w:tcPr>
            <w:tcW w:type="dxa" w:w="468"/>
            <w:vAlign w:val="center"/>
          </w:tcPr>
          <w:p>
            <w:r>
              <w:rPr>
                <w:rFonts w:ascii="Arial" w:hAnsi="Arial"/>
                <w:color w:val="000000"/>
                <w:sz w:val="14"/>
              </w:rPr>
              <w:t>0.015387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tmin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21.614</w:t>
            </w:r>
          </w:p>
        </w:tc>
        <w:tc>
          <w:tcPr>
            <w:tcW w:type="dxa" w:w="468"/>
            <w:vAlign w:val="center"/>
          </w:tcPr>
          <w:p>
            <w:r>
              <w:rPr>
                <w:rFonts w:ascii="Arial" w:hAnsi="Arial"/>
                <w:color w:val="000000"/>
                <w:sz w:val="14"/>
              </w:rPr>
              <w:t>5.2433</w:t>
            </w:r>
          </w:p>
        </w:tc>
        <w:tc>
          <w:tcPr>
            <w:tcW w:type="dxa" w:w="468"/>
            <w:vAlign w:val="center"/>
          </w:tcPr>
          <w:p>
            <w:r>
              <w:rPr>
                <w:rFonts w:ascii="Arial" w:hAnsi="Arial"/>
                <w:color w:val="000000"/>
                <w:sz w:val="14"/>
              </w:rPr>
              <w:t>23.77</w:t>
            </w:r>
          </w:p>
        </w:tc>
        <w:tc>
          <w:tcPr>
            <w:tcW w:type="dxa" w:w="468"/>
            <w:vAlign w:val="center"/>
          </w:tcPr>
          <w:p>
            <w:r>
              <w:rPr>
                <w:rFonts w:ascii="Arial" w:hAnsi="Arial"/>
                <w:color w:val="000000"/>
                <w:sz w:val="14"/>
              </w:rPr>
              <w:t>17.16</w:t>
            </w:r>
          </w:p>
        </w:tc>
        <w:tc>
          <w:tcPr>
            <w:tcW w:type="dxa" w:w="468"/>
            <w:vAlign w:val="center"/>
          </w:tcPr>
          <w:p>
            <w:r>
              <w:rPr>
                <w:rFonts w:ascii="Arial" w:hAnsi="Arial"/>
                <w:color w:val="000000"/>
                <w:sz w:val="14"/>
              </w:rPr>
              <w:t>25.99</w:t>
            </w:r>
          </w:p>
        </w:tc>
        <w:tc>
          <w:tcPr>
            <w:tcW w:type="dxa" w:w="468"/>
            <w:vAlign w:val="center"/>
          </w:tcPr>
          <w:p>
            <w:r>
              <w:rPr>
                <w:rFonts w:ascii="Arial" w:hAnsi="Arial"/>
                <w:color w:val="000000"/>
                <w:sz w:val="14"/>
              </w:rPr>
              <w:t>8.83</w:t>
            </w:r>
          </w:p>
        </w:tc>
        <w:tc>
          <w:tcPr>
            <w:tcW w:type="dxa" w:w="468"/>
            <w:vAlign w:val="center"/>
          </w:tcPr>
          <w:p>
            <w:r>
              <w:rPr>
                <w:rFonts w:ascii="Arial" w:hAnsi="Arial"/>
                <w:color w:val="000000"/>
                <w:sz w:val="14"/>
              </w:rPr>
              <w:t>6.4504</w:t>
            </w:r>
          </w:p>
        </w:tc>
        <w:tc>
          <w:tcPr>
            <w:tcW w:type="dxa" w:w="468"/>
            <w:vAlign w:val="center"/>
          </w:tcPr>
          <w:p>
            <w:r>
              <w:rPr>
                <w:rFonts w:ascii="Arial" w:hAnsi="Arial"/>
                <w:color w:val="000000"/>
                <w:sz w:val="14"/>
              </w:rPr>
              <w:t>29.5</w:t>
            </w:r>
          </w:p>
        </w:tc>
        <w:tc>
          <w:tcPr>
            <w:tcW w:type="dxa" w:w="468"/>
            <w:vAlign w:val="center"/>
          </w:tcPr>
          <w:p>
            <w:r>
              <w:rPr>
                <w:rFonts w:ascii="Arial" w:hAnsi="Arial"/>
                <w:color w:val="000000"/>
                <w:sz w:val="14"/>
              </w:rPr>
              <w:t>-0.70085</w:t>
            </w:r>
          </w:p>
        </w:tc>
        <w:tc>
          <w:tcPr>
            <w:tcW w:type="dxa" w:w="468"/>
            <w:vAlign w:val="center"/>
          </w:tcPr>
          <w:p>
            <w:r>
              <w:rPr>
                <w:rFonts w:ascii="Arial" w:hAnsi="Arial"/>
                <w:color w:val="000000"/>
                <w:sz w:val="14"/>
              </w:rPr>
              <w:t>-0.86492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tmean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25.476</w:t>
            </w:r>
          </w:p>
        </w:tc>
        <w:tc>
          <w:tcPr>
            <w:tcW w:type="dxa" w:w="468"/>
            <w:vAlign w:val="center"/>
          </w:tcPr>
          <w:p>
            <w:r>
              <w:rPr>
                <w:rFonts w:ascii="Arial" w:hAnsi="Arial"/>
                <w:color w:val="000000"/>
                <w:sz w:val="14"/>
              </w:rPr>
              <w:t>4.1707</w:t>
            </w:r>
          </w:p>
        </w:tc>
        <w:tc>
          <w:tcPr>
            <w:tcW w:type="dxa" w:w="468"/>
            <w:vAlign w:val="center"/>
          </w:tcPr>
          <w:p>
            <w:r>
              <w:rPr>
                <w:rFonts w:ascii="Arial" w:hAnsi="Arial"/>
                <w:color w:val="000000"/>
                <w:sz w:val="14"/>
              </w:rPr>
              <w:t>26.996</w:t>
            </w:r>
          </w:p>
        </w:tc>
        <w:tc>
          <w:tcPr>
            <w:tcW w:type="dxa" w:w="468"/>
            <w:vAlign w:val="center"/>
          </w:tcPr>
          <w:p>
            <w:r>
              <w:rPr>
                <w:rFonts w:ascii="Arial" w:hAnsi="Arial"/>
                <w:color w:val="000000"/>
                <w:sz w:val="14"/>
              </w:rPr>
              <w:t>22.387</w:t>
            </w:r>
          </w:p>
        </w:tc>
        <w:tc>
          <w:tcPr>
            <w:tcW w:type="dxa" w:w="468"/>
            <w:vAlign w:val="center"/>
          </w:tcPr>
          <w:p>
            <w:r>
              <w:rPr>
                <w:rFonts w:ascii="Arial" w:hAnsi="Arial"/>
                <w:color w:val="000000"/>
                <w:sz w:val="14"/>
              </w:rPr>
              <w:t>28.661</w:t>
            </w:r>
          </w:p>
        </w:tc>
        <w:tc>
          <w:tcPr>
            <w:tcW w:type="dxa" w:w="468"/>
            <w:vAlign w:val="center"/>
          </w:tcPr>
          <w:p>
            <w:r>
              <w:rPr>
                <w:rFonts w:ascii="Arial" w:hAnsi="Arial"/>
                <w:color w:val="000000"/>
                <w:sz w:val="14"/>
              </w:rPr>
              <w:t>6.2741</w:t>
            </w:r>
          </w:p>
        </w:tc>
        <w:tc>
          <w:tcPr>
            <w:tcW w:type="dxa" w:w="468"/>
            <w:vAlign w:val="center"/>
          </w:tcPr>
          <w:p>
            <w:r>
              <w:rPr>
                <w:rFonts w:ascii="Arial" w:hAnsi="Arial"/>
                <w:color w:val="000000"/>
                <w:sz w:val="14"/>
              </w:rPr>
              <w:t>10.638</w:t>
            </w:r>
          </w:p>
        </w:tc>
        <w:tc>
          <w:tcPr>
            <w:tcW w:type="dxa" w:w="468"/>
            <w:vAlign w:val="center"/>
          </w:tcPr>
          <w:p>
            <w:r>
              <w:rPr>
                <w:rFonts w:ascii="Arial" w:hAnsi="Arial"/>
                <w:color w:val="000000"/>
                <w:sz w:val="14"/>
              </w:rPr>
              <w:t>34.043</w:t>
            </w:r>
          </w:p>
        </w:tc>
        <w:tc>
          <w:tcPr>
            <w:tcW w:type="dxa" w:w="468"/>
            <w:vAlign w:val="center"/>
          </w:tcPr>
          <w:p>
            <w:r>
              <w:rPr>
                <w:rFonts w:ascii="Arial" w:hAnsi="Arial"/>
                <w:color w:val="000000"/>
                <w:sz w:val="14"/>
              </w:rPr>
              <w:t>-0.77322</w:t>
            </w:r>
          </w:p>
        </w:tc>
        <w:tc>
          <w:tcPr>
            <w:tcW w:type="dxa" w:w="468"/>
            <w:vAlign w:val="center"/>
          </w:tcPr>
          <w:p>
            <w:r>
              <w:rPr>
                <w:rFonts w:ascii="Arial" w:hAnsi="Arial"/>
                <w:color w:val="000000"/>
                <w:sz w:val="14"/>
              </w:rPr>
              <w:t>-0.52461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day_night_range</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8.5255</w:t>
            </w:r>
          </w:p>
        </w:tc>
        <w:tc>
          <w:tcPr>
            <w:tcW w:type="dxa" w:w="468"/>
            <w:vAlign w:val="center"/>
          </w:tcPr>
          <w:p>
            <w:r>
              <w:rPr>
                <w:rFonts w:ascii="Arial" w:hAnsi="Arial"/>
                <w:color w:val="000000"/>
                <w:sz w:val="14"/>
              </w:rPr>
              <w:t>3.3096</w:t>
            </w:r>
          </w:p>
        </w:tc>
        <w:tc>
          <w:tcPr>
            <w:tcW w:type="dxa" w:w="468"/>
            <w:vAlign w:val="center"/>
          </w:tcPr>
          <w:p>
            <w:r>
              <w:rPr>
                <w:rFonts w:ascii="Arial" w:hAnsi="Arial"/>
                <w:color w:val="000000"/>
                <w:sz w:val="14"/>
              </w:rPr>
              <w:t>8.11</w:t>
            </w:r>
          </w:p>
        </w:tc>
        <w:tc>
          <w:tcPr>
            <w:tcW w:type="dxa" w:w="468"/>
            <w:vAlign w:val="center"/>
          </w:tcPr>
          <w:p>
            <w:r>
              <w:rPr>
                <w:rFonts w:ascii="Arial" w:hAnsi="Arial"/>
                <w:color w:val="000000"/>
                <w:sz w:val="14"/>
              </w:rPr>
              <w:t>5.76</w:t>
            </w:r>
          </w:p>
        </w:tc>
        <w:tc>
          <w:tcPr>
            <w:tcW w:type="dxa" w:w="468"/>
            <w:vAlign w:val="center"/>
          </w:tcPr>
          <w:p>
            <w:r>
              <w:rPr>
                <w:rFonts w:ascii="Arial" w:hAnsi="Arial"/>
                <w:color w:val="000000"/>
                <w:sz w:val="14"/>
              </w:rPr>
              <w:t>11.31</w:t>
            </w:r>
          </w:p>
        </w:tc>
        <w:tc>
          <w:tcPr>
            <w:tcW w:type="dxa" w:w="468"/>
            <w:vAlign w:val="center"/>
          </w:tcPr>
          <w:p>
            <w:r>
              <w:rPr>
                <w:rFonts w:ascii="Arial" w:hAnsi="Arial"/>
                <w:color w:val="000000"/>
                <w:sz w:val="14"/>
              </w:rPr>
              <w:t>5.55</w:t>
            </w:r>
          </w:p>
        </w:tc>
        <w:tc>
          <w:tcPr>
            <w:tcW w:type="dxa" w:w="468"/>
            <w:vAlign w:val="center"/>
          </w:tcPr>
          <w:p>
            <w:r>
              <w:rPr>
                <w:rFonts w:ascii="Arial" w:hAnsi="Arial"/>
                <w:color w:val="000000"/>
                <w:sz w:val="14"/>
              </w:rPr>
              <w:t>0.58</w:t>
            </w:r>
          </w:p>
        </w:tc>
        <w:tc>
          <w:tcPr>
            <w:tcW w:type="dxa" w:w="468"/>
            <w:vAlign w:val="center"/>
          </w:tcPr>
          <w:p>
            <w:r>
              <w:rPr>
                <w:rFonts w:ascii="Arial" w:hAnsi="Arial"/>
                <w:color w:val="000000"/>
                <w:sz w:val="14"/>
              </w:rPr>
              <w:t>18.67</w:t>
            </w:r>
          </w:p>
        </w:tc>
        <w:tc>
          <w:tcPr>
            <w:tcW w:type="dxa" w:w="468"/>
            <w:vAlign w:val="center"/>
          </w:tcPr>
          <w:p>
            <w:r>
              <w:rPr>
                <w:rFonts w:ascii="Arial" w:hAnsi="Arial"/>
                <w:color w:val="000000"/>
                <w:sz w:val="14"/>
              </w:rPr>
              <w:t>0.21914</w:t>
            </w:r>
          </w:p>
        </w:tc>
        <w:tc>
          <w:tcPr>
            <w:tcW w:type="dxa" w:w="468"/>
            <w:vAlign w:val="center"/>
          </w:tcPr>
          <w:p>
            <w:r>
              <w:rPr>
                <w:rFonts w:ascii="Arial" w:hAnsi="Arial"/>
                <w:color w:val="000000"/>
                <w:sz w:val="14"/>
              </w:rPr>
              <w:t>-0.97573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precipitation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5.3283</w:t>
            </w:r>
          </w:p>
        </w:tc>
        <w:tc>
          <w:tcPr>
            <w:tcW w:type="dxa" w:w="468"/>
            <w:vAlign w:val="center"/>
          </w:tcPr>
          <w:p>
            <w:r>
              <w:rPr>
                <w:rFonts w:ascii="Arial" w:hAnsi="Arial"/>
                <w:color w:val="000000"/>
                <w:sz w:val="14"/>
              </w:rPr>
              <w:t>10.513</w:t>
            </w:r>
          </w:p>
        </w:tc>
        <w:tc>
          <w:tcPr>
            <w:tcW w:type="dxa" w:w="468"/>
            <w:vAlign w:val="center"/>
          </w:tcPr>
          <w:p>
            <w:r>
              <w:rPr>
                <w:rFonts w:ascii="Arial" w:hAnsi="Arial"/>
                <w:color w:val="000000"/>
                <w:sz w:val="14"/>
              </w:rPr>
              <w:t>0.6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6.7</w:t>
            </w:r>
          </w:p>
        </w:tc>
        <w:tc>
          <w:tcPr>
            <w:tcW w:type="dxa" w:w="468"/>
            <w:vAlign w:val="center"/>
          </w:tcPr>
          <w:p>
            <w:r>
              <w:rPr>
                <w:rFonts w:ascii="Arial" w:hAnsi="Arial"/>
                <w:color w:val="000000"/>
                <w:sz w:val="14"/>
              </w:rPr>
              <w:t>6.7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261.1</w:t>
            </w:r>
          </w:p>
        </w:tc>
        <w:tc>
          <w:tcPr>
            <w:tcW w:type="dxa" w:w="468"/>
            <w:vAlign w:val="center"/>
          </w:tcPr>
          <w:p>
            <w:r>
              <w:rPr>
                <w:rFonts w:ascii="Arial" w:hAnsi="Arial"/>
                <w:color w:val="000000"/>
                <w:sz w:val="14"/>
              </w:rPr>
              <w:t>4.6848</w:t>
            </w:r>
          </w:p>
        </w:tc>
        <w:tc>
          <w:tcPr>
            <w:tcW w:type="dxa" w:w="468"/>
            <w:vAlign w:val="center"/>
          </w:tcPr>
          <w:p>
            <w:r>
              <w:rPr>
                <w:rFonts w:ascii="Arial" w:hAnsi="Arial"/>
                <w:color w:val="000000"/>
                <w:sz w:val="14"/>
              </w:rPr>
              <w:t>43.539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rh_mean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79.06</w:t>
            </w:r>
          </w:p>
        </w:tc>
        <w:tc>
          <w:tcPr>
            <w:tcW w:type="dxa" w:w="468"/>
            <w:vAlign w:val="center"/>
          </w:tcPr>
          <w:p>
            <w:r>
              <w:rPr>
                <w:rFonts w:ascii="Arial" w:hAnsi="Arial"/>
                <w:color w:val="000000"/>
                <w:sz w:val="14"/>
              </w:rPr>
              <w:t>8.4006</w:t>
            </w:r>
          </w:p>
        </w:tc>
        <w:tc>
          <w:tcPr>
            <w:tcW w:type="dxa" w:w="468"/>
            <w:vAlign w:val="center"/>
          </w:tcPr>
          <w:p>
            <w:r>
              <w:rPr>
                <w:rFonts w:ascii="Arial" w:hAnsi="Arial"/>
                <w:color w:val="000000"/>
                <w:sz w:val="14"/>
              </w:rPr>
              <w:t>80.574</w:t>
            </w:r>
          </w:p>
        </w:tc>
        <w:tc>
          <w:tcPr>
            <w:tcW w:type="dxa" w:w="468"/>
            <w:vAlign w:val="center"/>
          </w:tcPr>
          <w:p>
            <w:r>
              <w:rPr>
                <w:rFonts w:ascii="Arial" w:hAnsi="Arial"/>
                <w:color w:val="000000"/>
                <w:sz w:val="14"/>
              </w:rPr>
              <w:t>74.352</w:t>
            </w:r>
          </w:p>
        </w:tc>
        <w:tc>
          <w:tcPr>
            <w:tcW w:type="dxa" w:w="468"/>
            <w:vAlign w:val="center"/>
          </w:tcPr>
          <w:p>
            <w:r>
              <w:rPr>
                <w:rFonts w:ascii="Arial" w:hAnsi="Arial"/>
                <w:color w:val="000000"/>
                <w:sz w:val="14"/>
              </w:rPr>
              <w:t>85.005</w:t>
            </w:r>
          </w:p>
        </w:tc>
        <w:tc>
          <w:tcPr>
            <w:tcW w:type="dxa" w:w="468"/>
            <w:vAlign w:val="center"/>
          </w:tcPr>
          <w:p>
            <w:r>
              <w:rPr>
                <w:rFonts w:ascii="Arial" w:hAnsi="Arial"/>
                <w:color w:val="000000"/>
                <w:sz w:val="14"/>
              </w:rPr>
              <w:t>10.652</w:t>
            </w:r>
          </w:p>
        </w:tc>
        <w:tc>
          <w:tcPr>
            <w:tcW w:type="dxa" w:w="468"/>
            <w:vAlign w:val="center"/>
          </w:tcPr>
          <w:p>
            <w:r>
              <w:rPr>
                <w:rFonts w:ascii="Arial" w:hAnsi="Arial"/>
                <w:color w:val="000000"/>
                <w:sz w:val="14"/>
              </w:rPr>
              <w:t>42.205</w:t>
            </w:r>
          </w:p>
        </w:tc>
        <w:tc>
          <w:tcPr>
            <w:tcW w:type="dxa" w:w="468"/>
            <w:vAlign w:val="center"/>
          </w:tcPr>
          <w:p>
            <w:r>
              <w:rPr>
                <w:rFonts w:ascii="Arial" w:hAnsi="Arial"/>
                <w:color w:val="000000"/>
                <w:sz w:val="14"/>
              </w:rPr>
              <w:t>97.491</w:t>
            </w:r>
          </w:p>
        </w:tc>
        <w:tc>
          <w:tcPr>
            <w:tcW w:type="dxa" w:w="468"/>
            <w:vAlign w:val="center"/>
          </w:tcPr>
          <w:p>
            <w:r>
              <w:rPr>
                <w:rFonts w:ascii="Arial" w:hAnsi="Arial"/>
                <w:color w:val="000000"/>
                <w:sz w:val="14"/>
              </w:rPr>
              <w:t>-0.86866</w:t>
            </w:r>
          </w:p>
        </w:tc>
        <w:tc>
          <w:tcPr>
            <w:tcW w:type="dxa" w:w="468"/>
            <w:vAlign w:val="center"/>
          </w:tcPr>
          <w:p>
            <w:r>
              <w:rPr>
                <w:rFonts w:ascii="Arial" w:hAnsi="Arial"/>
                <w:color w:val="000000"/>
                <w:sz w:val="14"/>
              </w:rPr>
              <w:t>0.82815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wind_speed_mean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4.9316</w:t>
            </w:r>
          </w:p>
        </w:tc>
        <w:tc>
          <w:tcPr>
            <w:tcW w:type="dxa" w:w="468"/>
            <w:vAlign w:val="center"/>
          </w:tcPr>
          <w:p>
            <w:r>
              <w:rPr>
                <w:rFonts w:ascii="Arial" w:hAnsi="Arial"/>
                <w:color w:val="000000"/>
                <w:sz w:val="14"/>
              </w:rPr>
              <w:t>3.5341</w:t>
            </w:r>
          </w:p>
        </w:tc>
        <w:tc>
          <w:tcPr>
            <w:tcW w:type="dxa" w:w="468"/>
            <w:vAlign w:val="center"/>
          </w:tcPr>
          <w:p>
            <w:r>
              <w:rPr>
                <w:rFonts w:ascii="Arial" w:hAnsi="Arial"/>
                <w:color w:val="000000"/>
                <w:sz w:val="14"/>
              </w:rPr>
              <w:t>4.2137</w:t>
            </w:r>
          </w:p>
        </w:tc>
        <w:tc>
          <w:tcPr>
            <w:tcW w:type="dxa" w:w="468"/>
            <w:vAlign w:val="center"/>
          </w:tcPr>
          <w:p>
            <w:r>
              <w:rPr>
                <w:rFonts w:ascii="Arial" w:hAnsi="Arial"/>
                <w:color w:val="000000"/>
                <w:sz w:val="14"/>
              </w:rPr>
              <w:t>2.1898</w:t>
            </w:r>
          </w:p>
        </w:tc>
        <w:tc>
          <w:tcPr>
            <w:tcW w:type="dxa" w:w="468"/>
            <w:vAlign w:val="center"/>
          </w:tcPr>
          <w:p>
            <w:r>
              <w:rPr>
                <w:rFonts w:ascii="Arial" w:hAnsi="Arial"/>
                <w:color w:val="000000"/>
                <w:sz w:val="14"/>
              </w:rPr>
              <w:t>6.6185</w:t>
            </w:r>
          </w:p>
        </w:tc>
        <w:tc>
          <w:tcPr>
            <w:tcW w:type="dxa" w:w="468"/>
            <w:vAlign w:val="center"/>
          </w:tcPr>
          <w:p>
            <w:r>
              <w:rPr>
                <w:rFonts w:ascii="Arial" w:hAnsi="Arial"/>
                <w:color w:val="000000"/>
                <w:sz w:val="14"/>
              </w:rPr>
              <w:t>4.4287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36.933</w:t>
            </w:r>
          </w:p>
        </w:tc>
        <w:tc>
          <w:tcPr>
            <w:tcW w:type="dxa" w:w="468"/>
            <w:vAlign w:val="center"/>
          </w:tcPr>
          <w:p>
            <w:r>
              <w:rPr>
                <w:rFonts w:ascii="Arial" w:hAnsi="Arial"/>
                <w:color w:val="000000"/>
                <w:sz w:val="14"/>
              </w:rPr>
              <w:t>1.1331</w:t>
            </w:r>
          </w:p>
        </w:tc>
        <w:tc>
          <w:tcPr>
            <w:tcW w:type="dxa" w:w="468"/>
            <w:vAlign w:val="center"/>
          </w:tcPr>
          <w:p>
            <w:r>
              <w:rPr>
                <w:rFonts w:ascii="Arial" w:hAnsi="Arial"/>
                <w:color w:val="000000"/>
                <w:sz w:val="14"/>
              </w:rPr>
              <w:t>1.5201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cloud_cover</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32.442</w:t>
            </w:r>
          </w:p>
        </w:tc>
        <w:tc>
          <w:tcPr>
            <w:tcW w:type="dxa" w:w="468"/>
            <w:vAlign w:val="center"/>
          </w:tcPr>
          <w:p>
            <w:r>
              <w:rPr>
                <w:rFonts w:ascii="Arial" w:hAnsi="Arial"/>
                <w:color w:val="000000"/>
                <w:sz w:val="14"/>
              </w:rPr>
              <w:t>25.109</w:t>
            </w:r>
          </w:p>
        </w:tc>
        <w:tc>
          <w:tcPr>
            <w:tcW w:type="dxa" w:w="468"/>
            <w:vAlign w:val="center"/>
          </w:tcPr>
          <w:p>
            <w:r>
              <w:rPr>
                <w:rFonts w:ascii="Arial" w:hAnsi="Arial"/>
                <w:color w:val="000000"/>
                <w:sz w:val="14"/>
              </w:rPr>
              <w:t>28.979</w:t>
            </w:r>
          </w:p>
        </w:tc>
        <w:tc>
          <w:tcPr>
            <w:tcW w:type="dxa" w:w="468"/>
            <w:vAlign w:val="center"/>
          </w:tcPr>
          <w:p>
            <w:r>
              <w:rPr>
                <w:rFonts w:ascii="Arial" w:hAnsi="Arial"/>
                <w:color w:val="000000"/>
                <w:sz w:val="14"/>
              </w:rPr>
              <w:t>10.958</w:t>
            </w:r>
          </w:p>
        </w:tc>
        <w:tc>
          <w:tcPr>
            <w:tcW w:type="dxa" w:w="468"/>
            <w:vAlign w:val="center"/>
          </w:tcPr>
          <w:p>
            <w:r>
              <w:rPr>
                <w:rFonts w:ascii="Arial" w:hAnsi="Arial"/>
                <w:color w:val="000000"/>
                <w:sz w:val="14"/>
              </w:rPr>
              <w:t>49.542</w:t>
            </w:r>
          </w:p>
        </w:tc>
        <w:tc>
          <w:tcPr>
            <w:tcW w:type="dxa" w:w="468"/>
            <w:vAlign w:val="center"/>
          </w:tcPr>
          <w:p>
            <w:r>
              <w:rPr>
                <w:rFonts w:ascii="Arial" w:hAnsi="Arial"/>
                <w:color w:val="000000"/>
                <w:sz w:val="14"/>
              </w:rPr>
              <w:t>38.583</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99.958</w:t>
            </w:r>
          </w:p>
        </w:tc>
        <w:tc>
          <w:tcPr>
            <w:tcW w:type="dxa" w:w="468"/>
            <w:vAlign w:val="center"/>
          </w:tcPr>
          <w:p>
            <w:r>
              <w:rPr>
                <w:rFonts w:ascii="Arial" w:hAnsi="Arial"/>
                <w:color w:val="000000"/>
                <w:sz w:val="14"/>
              </w:rPr>
              <w:t>0.57932</w:t>
            </w:r>
          </w:p>
        </w:tc>
        <w:tc>
          <w:tcPr>
            <w:tcW w:type="dxa" w:w="468"/>
            <w:vAlign w:val="center"/>
          </w:tcPr>
          <w:p>
            <w:r>
              <w:rPr>
                <w:rFonts w:ascii="Arial" w:hAnsi="Arial"/>
                <w:color w:val="000000"/>
                <w:sz w:val="14"/>
              </w:rPr>
              <w:t>-0.50164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sunshine_duration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471.39</w:t>
            </w:r>
          </w:p>
        </w:tc>
        <w:tc>
          <w:tcPr>
            <w:tcW w:type="dxa" w:w="468"/>
            <w:vAlign w:val="center"/>
          </w:tcPr>
          <w:p>
            <w:r>
              <w:rPr>
                <w:rFonts w:ascii="Arial" w:hAnsi="Arial"/>
                <w:color w:val="000000"/>
                <w:sz w:val="14"/>
              </w:rPr>
              <w:t>172.65</w:t>
            </w:r>
          </w:p>
        </w:tc>
        <w:tc>
          <w:tcPr>
            <w:tcW w:type="dxa" w:w="468"/>
            <w:vAlign w:val="center"/>
          </w:tcPr>
          <w:p>
            <w:r>
              <w:rPr>
                <w:rFonts w:ascii="Arial" w:hAnsi="Arial"/>
                <w:color w:val="000000"/>
                <w:sz w:val="14"/>
              </w:rPr>
              <w:t>502.3</w:t>
            </w:r>
          </w:p>
        </w:tc>
        <w:tc>
          <w:tcPr>
            <w:tcW w:type="dxa" w:w="468"/>
            <w:vAlign w:val="center"/>
          </w:tcPr>
          <w:p>
            <w:r>
              <w:rPr>
                <w:rFonts w:ascii="Arial" w:hAnsi="Arial"/>
                <w:color w:val="000000"/>
                <w:sz w:val="14"/>
              </w:rPr>
              <w:t>360.18</w:t>
            </w:r>
          </w:p>
        </w:tc>
        <w:tc>
          <w:tcPr>
            <w:tcW w:type="dxa" w:w="468"/>
            <w:vAlign w:val="center"/>
          </w:tcPr>
          <w:p>
            <w:r>
              <w:rPr>
                <w:rFonts w:ascii="Arial" w:hAnsi="Arial"/>
                <w:color w:val="000000"/>
                <w:sz w:val="14"/>
              </w:rPr>
              <w:t>616.83</w:t>
            </w:r>
          </w:p>
        </w:tc>
        <w:tc>
          <w:tcPr>
            <w:tcW w:type="dxa" w:w="468"/>
            <w:vAlign w:val="center"/>
          </w:tcPr>
          <w:p>
            <w:r>
              <w:rPr>
                <w:rFonts w:ascii="Arial" w:hAnsi="Arial"/>
                <w:color w:val="000000"/>
                <w:sz w:val="14"/>
              </w:rPr>
              <w:t>256.65</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811.8</w:t>
            </w:r>
          </w:p>
        </w:tc>
        <w:tc>
          <w:tcPr>
            <w:tcW w:type="dxa" w:w="468"/>
            <w:vAlign w:val="center"/>
          </w:tcPr>
          <w:p>
            <w:r>
              <w:rPr>
                <w:rFonts w:ascii="Arial" w:hAnsi="Arial"/>
                <w:color w:val="000000"/>
                <w:sz w:val="14"/>
              </w:rPr>
              <w:t>-0.67389</w:t>
            </w:r>
          </w:p>
        </w:tc>
        <w:tc>
          <w:tcPr>
            <w:tcW w:type="dxa" w:w="468"/>
            <w:vAlign w:val="center"/>
          </w:tcPr>
          <w:p>
            <w:r>
              <w:rPr>
                <w:rFonts w:ascii="Arial" w:hAnsi="Arial"/>
                <w:color w:val="000000"/>
                <w:sz w:val="14"/>
              </w:rPr>
              <w:t>-0.28531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shortwave_radiation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4575.1</w:t>
            </w:r>
          </w:p>
        </w:tc>
        <w:tc>
          <w:tcPr>
            <w:tcW w:type="dxa" w:w="468"/>
            <w:vAlign w:val="center"/>
          </w:tcPr>
          <w:p>
            <w:r>
              <w:rPr>
                <w:rFonts w:ascii="Arial" w:hAnsi="Arial"/>
                <w:color w:val="000000"/>
                <w:sz w:val="14"/>
              </w:rPr>
              <w:t>1282.4</w:t>
            </w:r>
          </w:p>
        </w:tc>
        <w:tc>
          <w:tcPr>
            <w:tcW w:type="dxa" w:w="468"/>
            <w:vAlign w:val="center"/>
          </w:tcPr>
          <w:p>
            <w:r>
              <w:rPr>
                <w:rFonts w:ascii="Arial" w:hAnsi="Arial"/>
                <w:color w:val="000000"/>
                <w:sz w:val="14"/>
              </w:rPr>
              <w:t>4616</w:t>
            </w:r>
          </w:p>
        </w:tc>
        <w:tc>
          <w:tcPr>
            <w:tcW w:type="dxa" w:w="468"/>
            <w:vAlign w:val="center"/>
          </w:tcPr>
          <w:p>
            <w:r>
              <w:rPr>
                <w:rFonts w:ascii="Arial" w:hAnsi="Arial"/>
                <w:color w:val="000000"/>
                <w:sz w:val="14"/>
              </w:rPr>
              <w:t>3919</w:t>
            </w:r>
          </w:p>
        </w:tc>
        <w:tc>
          <w:tcPr>
            <w:tcW w:type="dxa" w:w="468"/>
            <w:vAlign w:val="center"/>
          </w:tcPr>
          <w:p>
            <w:r>
              <w:rPr>
                <w:rFonts w:ascii="Arial" w:hAnsi="Arial"/>
                <w:color w:val="000000"/>
                <w:sz w:val="14"/>
              </w:rPr>
              <w:t>5396.5</w:t>
            </w:r>
          </w:p>
        </w:tc>
        <w:tc>
          <w:tcPr>
            <w:tcW w:type="dxa" w:w="468"/>
            <w:vAlign w:val="center"/>
          </w:tcPr>
          <w:p>
            <w:r>
              <w:rPr>
                <w:rFonts w:ascii="Arial" w:hAnsi="Arial"/>
                <w:color w:val="000000"/>
                <w:sz w:val="14"/>
              </w:rPr>
              <w:t>1477.5</w:t>
            </w:r>
          </w:p>
        </w:tc>
        <w:tc>
          <w:tcPr>
            <w:tcW w:type="dxa" w:w="468"/>
            <w:vAlign w:val="center"/>
          </w:tcPr>
          <w:p>
            <w:r>
              <w:rPr>
                <w:rFonts w:ascii="Arial" w:hAnsi="Arial"/>
                <w:color w:val="000000"/>
                <w:sz w:val="14"/>
              </w:rPr>
              <w:t>266</w:t>
            </w:r>
          </w:p>
        </w:tc>
        <w:tc>
          <w:tcPr>
            <w:tcW w:type="dxa" w:w="468"/>
            <w:vAlign w:val="center"/>
          </w:tcPr>
          <w:p>
            <w:r>
              <w:rPr>
                <w:rFonts w:ascii="Arial" w:hAnsi="Arial"/>
                <w:color w:val="000000"/>
                <w:sz w:val="14"/>
              </w:rPr>
              <w:t>7991</w:t>
            </w:r>
          </w:p>
        </w:tc>
        <w:tc>
          <w:tcPr>
            <w:tcW w:type="dxa" w:w="468"/>
            <w:vAlign w:val="center"/>
          </w:tcPr>
          <w:p>
            <w:r>
              <w:rPr>
                <w:rFonts w:ascii="Arial" w:hAnsi="Arial"/>
                <w:color w:val="000000"/>
                <w:sz w:val="14"/>
              </w:rPr>
              <w:t>-0.44601</w:t>
            </w:r>
          </w:p>
        </w:tc>
        <w:tc>
          <w:tcPr>
            <w:tcW w:type="dxa" w:w="468"/>
            <w:vAlign w:val="center"/>
          </w:tcPr>
          <w:p>
            <w:r>
              <w:rPr>
                <w:rFonts w:ascii="Arial" w:hAnsi="Arial"/>
                <w:color w:val="000000"/>
                <w:sz w:val="14"/>
              </w:rPr>
              <w:t>0.29627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longwave_radiation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9556.4</w:t>
            </w:r>
          </w:p>
        </w:tc>
        <w:tc>
          <w:tcPr>
            <w:tcW w:type="dxa" w:w="468"/>
            <w:vAlign w:val="center"/>
          </w:tcPr>
          <w:p>
            <w:r>
              <w:rPr>
                <w:rFonts w:ascii="Arial" w:hAnsi="Arial"/>
                <w:color w:val="000000"/>
                <w:sz w:val="14"/>
              </w:rPr>
              <w:t>1088.5</w:t>
            </w:r>
          </w:p>
        </w:tc>
        <w:tc>
          <w:tcPr>
            <w:tcW w:type="dxa" w:w="468"/>
            <w:vAlign w:val="center"/>
          </w:tcPr>
          <w:p>
            <w:r>
              <w:rPr>
                <w:rFonts w:ascii="Arial" w:hAnsi="Arial"/>
                <w:color w:val="000000"/>
                <w:sz w:val="14"/>
              </w:rPr>
              <w:t>10012</w:t>
            </w:r>
          </w:p>
        </w:tc>
        <w:tc>
          <w:tcPr>
            <w:tcW w:type="dxa" w:w="468"/>
            <w:vAlign w:val="center"/>
          </w:tcPr>
          <w:p>
            <w:r>
              <w:rPr>
                <w:rFonts w:ascii="Arial" w:hAnsi="Arial"/>
                <w:color w:val="000000"/>
                <w:sz w:val="14"/>
              </w:rPr>
              <w:t>8599</w:t>
            </w:r>
          </w:p>
        </w:tc>
        <w:tc>
          <w:tcPr>
            <w:tcW w:type="dxa" w:w="468"/>
            <w:vAlign w:val="center"/>
          </w:tcPr>
          <w:p>
            <w:r>
              <w:rPr>
                <w:rFonts w:ascii="Arial" w:hAnsi="Arial"/>
                <w:color w:val="000000"/>
                <w:sz w:val="14"/>
              </w:rPr>
              <w:t>10514</w:t>
            </w:r>
          </w:p>
        </w:tc>
        <w:tc>
          <w:tcPr>
            <w:tcW w:type="dxa" w:w="468"/>
            <w:vAlign w:val="center"/>
          </w:tcPr>
          <w:p>
            <w:r>
              <w:rPr>
                <w:rFonts w:ascii="Arial" w:hAnsi="Arial"/>
                <w:color w:val="000000"/>
                <w:sz w:val="14"/>
              </w:rPr>
              <w:t>1915.5</w:t>
            </w:r>
          </w:p>
        </w:tc>
        <w:tc>
          <w:tcPr>
            <w:tcW w:type="dxa" w:w="468"/>
            <w:vAlign w:val="center"/>
          </w:tcPr>
          <w:p>
            <w:r>
              <w:rPr>
                <w:rFonts w:ascii="Arial" w:hAnsi="Arial"/>
                <w:color w:val="000000"/>
                <w:sz w:val="14"/>
              </w:rPr>
              <w:t>6588</w:t>
            </w:r>
          </w:p>
        </w:tc>
        <w:tc>
          <w:tcPr>
            <w:tcW w:type="dxa" w:w="468"/>
            <w:vAlign w:val="center"/>
          </w:tcPr>
          <w:p>
            <w:r>
              <w:rPr>
                <w:rFonts w:ascii="Arial" w:hAnsi="Arial"/>
                <w:color w:val="000000"/>
                <w:sz w:val="14"/>
              </w:rPr>
              <w:t>11220</w:t>
            </w:r>
          </w:p>
        </w:tc>
        <w:tc>
          <w:tcPr>
            <w:tcW w:type="dxa" w:w="468"/>
            <w:vAlign w:val="center"/>
          </w:tcPr>
          <w:p>
            <w:r>
              <w:rPr>
                <w:rFonts w:ascii="Arial" w:hAnsi="Arial"/>
                <w:color w:val="000000"/>
                <w:sz w:val="14"/>
              </w:rPr>
              <w:t>-0.62036</w:t>
            </w:r>
          </w:p>
        </w:tc>
        <w:tc>
          <w:tcPr>
            <w:tcW w:type="dxa" w:w="468"/>
            <w:vAlign w:val="center"/>
          </w:tcPr>
          <w:p>
            <w:r>
              <w:rPr>
                <w:rFonts w:ascii="Arial" w:hAnsi="Arial"/>
                <w:color w:val="000000"/>
                <w:sz w:val="14"/>
              </w:rPr>
              <w:t>-1.0503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uv_radiation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533.61</w:t>
            </w:r>
          </w:p>
        </w:tc>
        <w:tc>
          <w:tcPr>
            <w:tcW w:type="dxa" w:w="468"/>
            <w:vAlign w:val="center"/>
          </w:tcPr>
          <w:p>
            <w:r>
              <w:rPr>
                <w:rFonts w:ascii="Arial" w:hAnsi="Arial"/>
                <w:color w:val="000000"/>
                <w:sz w:val="14"/>
              </w:rPr>
              <w:t>140.98</w:t>
            </w:r>
          </w:p>
        </w:tc>
        <w:tc>
          <w:tcPr>
            <w:tcW w:type="dxa" w:w="468"/>
            <w:vAlign w:val="center"/>
          </w:tcPr>
          <w:p>
            <w:r>
              <w:rPr>
                <w:rFonts w:ascii="Arial" w:hAnsi="Arial"/>
                <w:color w:val="000000"/>
                <w:sz w:val="14"/>
              </w:rPr>
              <w:t>529.64</w:t>
            </w:r>
          </w:p>
        </w:tc>
        <w:tc>
          <w:tcPr>
            <w:tcW w:type="dxa" w:w="468"/>
            <w:vAlign w:val="center"/>
          </w:tcPr>
          <w:p>
            <w:r>
              <w:rPr>
                <w:rFonts w:ascii="Arial" w:hAnsi="Arial"/>
                <w:color w:val="000000"/>
                <w:sz w:val="14"/>
              </w:rPr>
              <w:t>457.1</w:t>
            </w:r>
          </w:p>
        </w:tc>
        <w:tc>
          <w:tcPr>
            <w:tcW w:type="dxa" w:w="468"/>
            <w:vAlign w:val="center"/>
          </w:tcPr>
          <w:p>
            <w:r>
              <w:rPr>
                <w:rFonts w:ascii="Arial" w:hAnsi="Arial"/>
                <w:color w:val="000000"/>
                <w:sz w:val="14"/>
              </w:rPr>
              <w:t>629.54</w:t>
            </w:r>
          </w:p>
        </w:tc>
        <w:tc>
          <w:tcPr>
            <w:tcW w:type="dxa" w:w="468"/>
            <w:vAlign w:val="center"/>
          </w:tcPr>
          <w:p>
            <w:r>
              <w:rPr>
                <w:rFonts w:ascii="Arial" w:hAnsi="Arial"/>
                <w:color w:val="000000"/>
                <w:sz w:val="14"/>
              </w:rPr>
              <w:t>172.44</w:t>
            </w:r>
          </w:p>
        </w:tc>
        <w:tc>
          <w:tcPr>
            <w:tcW w:type="dxa" w:w="468"/>
            <w:vAlign w:val="center"/>
          </w:tcPr>
          <w:p>
            <w:r>
              <w:rPr>
                <w:rFonts w:ascii="Arial" w:hAnsi="Arial"/>
                <w:color w:val="000000"/>
                <w:sz w:val="14"/>
              </w:rPr>
              <w:t>36.63</w:t>
            </w:r>
          </w:p>
        </w:tc>
        <w:tc>
          <w:tcPr>
            <w:tcW w:type="dxa" w:w="468"/>
            <w:vAlign w:val="center"/>
          </w:tcPr>
          <w:p>
            <w:r>
              <w:rPr>
                <w:rFonts w:ascii="Arial" w:hAnsi="Arial"/>
                <w:color w:val="000000"/>
                <w:sz w:val="14"/>
              </w:rPr>
              <w:t>900.11</w:t>
            </w:r>
          </w:p>
        </w:tc>
        <w:tc>
          <w:tcPr>
            <w:tcW w:type="dxa" w:w="468"/>
            <w:vAlign w:val="center"/>
          </w:tcPr>
          <w:p>
            <w:r>
              <w:rPr>
                <w:rFonts w:ascii="Arial" w:hAnsi="Arial"/>
                <w:color w:val="000000"/>
                <w:sz w:val="14"/>
              </w:rPr>
              <w:t>-0.29595</w:t>
            </w:r>
          </w:p>
        </w:tc>
        <w:tc>
          <w:tcPr>
            <w:tcW w:type="dxa" w:w="468"/>
            <w:vAlign w:val="center"/>
          </w:tcPr>
          <w:p>
            <w:r>
              <w:rPr>
                <w:rFonts w:ascii="Arial" w:hAnsi="Arial"/>
                <w:color w:val="000000"/>
                <w:sz w:val="14"/>
              </w:rPr>
              <w:t>0.22175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pressure_mean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1008</w:t>
            </w:r>
          </w:p>
        </w:tc>
        <w:tc>
          <w:tcPr>
            <w:tcW w:type="dxa" w:w="468"/>
            <w:vAlign w:val="center"/>
          </w:tcPr>
          <w:p>
            <w:r>
              <w:rPr>
                <w:rFonts w:ascii="Arial" w:hAnsi="Arial"/>
                <w:color w:val="000000"/>
                <w:sz w:val="14"/>
              </w:rPr>
              <w:t>5.672</w:t>
            </w:r>
          </w:p>
        </w:tc>
        <w:tc>
          <w:tcPr>
            <w:tcW w:type="dxa" w:w="468"/>
            <w:vAlign w:val="center"/>
          </w:tcPr>
          <w:p>
            <w:r>
              <w:rPr>
                <w:rFonts w:ascii="Arial" w:hAnsi="Arial"/>
                <w:color w:val="000000"/>
                <w:sz w:val="14"/>
              </w:rPr>
              <w:t>1008.1</w:t>
            </w:r>
          </w:p>
        </w:tc>
        <w:tc>
          <w:tcPr>
            <w:tcW w:type="dxa" w:w="468"/>
            <w:vAlign w:val="center"/>
          </w:tcPr>
          <w:p>
            <w:r>
              <w:rPr>
                <w:rFonts w:ascii="Arial" w:hAnsi="Arial"/>
                <w:color w:val="000000"/>
                <w:sz w:val="14"/>
              </w:rPr>
              <w:t>1003.4</w:t>
            </w:r>
          </w:p>
        </w:tc>
        <w:tc>
          <w:tcPr>
            <w:tcW w:type="dxa" w:w="468"/>
            <w:vAlign w:val="center"/>
          </w:tcPr>
          <w:p>
            <w:r>
              <w:rPr>
                <w:rFonts w:ascii="Arial" w:hAnsi="Arial"/>
                <w:color w:val="000000"/>
                <w:sz w:val="14"/>
              </w:rPr>
              <w:t>1012.8</w:t>
            </w:r>
          </w:p>
        </w:tc>
        <w:tc>
          <w:tcPr>
            <w:tcW w:type="dxa" w:w="468"/>
            <w:vAlign w:val="center"/>
          </w:tcPr>
          <w:p>
            <w:r>
              <w:rPr>
                <w:rFonts w:ascii="Arial" w:hAnsi="Arial"/>
                <w:color w:val="000000"/>
                <w:sz w:val="14"/>
              </w:rPr>
              <w:t>9.4207</w:t>
            </w:r>
          </w:p>
        </w:tc>
        <w:tc>
          <w:tcPr>
            <w:tcW w:type="dxa" w:w="468"/>
            <w:vAlign w:val="center"/>
          </w:tcPr>
          <w:p>
            <w:r>
              <w:rPr>
                <w:rFonts w:ascii="Arial" w:hAnsi="Arial"/>
                <w:color w:val="000000"/>
                <w:sz w:val="14"/>
              </w:rPr>
              <w:t>987.86</w:t>
            </w:r>
          </w:p>
        </w:tc>
        <w:tc>
          <w:tcPr>
            <w:tcW w:type="dxa" w:w="468"/>
            <w:vAlign w:val="center"/>
          </w:tcPr>
          <w:p>
            <w:r>
              <w:rPr>
                <w:rFonts w:ascii="Arial" w:hAnsi="Arial"/>
                <w:color w:val="000000"/>
                <w:sz w:val="14"/>
              </w:rPr>
              <w:t>1021.1</w:t>
            </w:r>
          </w:p>
        </w:tc>
        <w:tc>
          <w:tcPr>
            <w:tcW w:type="dxa" w:w="468"/>
            <w:vAlign w:val="center"/>
          </w:tcPr>
          <w:p>
            <w:r>
              <w:rPr>
                <w:rFonts w:ascii="Arial" w:hAnsi="Arial"/>
                <w:color w:val="000000"/>
                <w:sz w:val="14"/>
              </w:rPr>
              <w:t>-0.1243</w:t>
            </w:r>
          </w:p>
        </w:tc>
        <w:tc>
          <w:tcPr>
            <w:tcW w:type="dxa" w:w="468"/>
            <w:vAlign w:val="center"/>
          </w:tcPr>
          <w:p>
            <w:r>
              <w:rPr>
                <w:rFonts w:ascii="Arial" w:hAnsi="Arial"/>
                <w:color w:val="000000"/>
                <w:sz w:val="14"/>
              </w:rPr>
              <w:t>-0.94683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evapotranspiration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3.3003</w:t>
            </w:r>
          </w:p>
        </w:tc>
        <w:tc>
          <w:tcPr>
            <w:tcW w:type="dxa" w:w="468"/>
            <w:vAlign w:val="center"/>
          </w:tcPr>
          <w:p>
            <w:r>
              <w:rPr>
                <w:rFonts w:ascii="Arial" w:hAnsi="Arial"/>
                <w:color w:val="000000"/>
                <w:sz w:val="14"/>
              </w:rPr>
              <w:t>1.0349</w:t>
            </w:r>
          </w:p>
        </w:tc>
        <w:tc>
          <w:tcPr>
            <w:tcW w:type="dxa" w:w="468"/>
            <w:vAlign w:val="center"/>
          </w:tcPr>
          <w:p>
            <w:r>
              <w:rPr>
                <w:rFonts w:ascii="Arial" w:hAnsi="Arial"/>
                <w:color w:val="000000"/>
                <w:sz w:val="14"/>
              </w:rPr>
              <w:t>3.2818</w:t>
            </w:r>
          </w:p>
        </w:tc>
        <w:tc>
          <w:tcPr>
            <w:tcW w:type="dxa" w:w="468"/>
            <w:vAlign w:val="center"/>
          </w:tcPr>
          <w:p>
            <w:r>
              <w:rPr>
                <w:rFonts w:ascii="Arial" w:hAnsi="Arial"/>
                <w:color w:val="000000"/>
                <w:sz w:val="14"/>
              </w:rPr>
              <w:t>2.4178</w:t>
            </w:r>
          </w:p>
        </w:tc>
        <w:tc>
          <w:tcPr>
            <w:tcW w:type="dxa" w:w="468"/>
            <w:vAlign w:val="center"/>
          </w:tcPr>
          <w:p>
            <w:r>
              <w:rPr>
                <w:rFonts w:ascii="Arial" w:hAnsi="Arial"/>
                <w:color w:val="000000"/>
                <w:sz w:val="14"/>
              </w:rPr>
              <w:t>4.0997</w:t>
            </w:r>
          </w:p>
        </w:tc>
        <w:tc>
          <w:tcPr>
            <w:tcW w:type="dxa" w:w="468"/>
            <w:vAlign w:val="center"/>
          </w:tcPr>
          <w:p>
            <w:r>
              <w:rPr>
                <w:rFonts w:ascii="Arial" w:hAnsi="Arial"/>
                <w:color w:val="000000"/>
                <w:sz w:val="14"/>
              </w:rPr>
              <w:t>1.6819</w:t>
            </w:r>
          </w:p>
        </w:tc>
        <w:tc>
          <w:tcPr>
            <w:tcW w:type="dxa" w:w="468"/>
            <w:vAlign w:val="center"/>
          </w:tcPr>
          <w:p>
            <w:r>
              <w:rPr>
                <w:rFonts w:ascii="Arial" w:hAnsi="Arial"/>
                <w:color w:val="000000"/>
                <w:sz w:val="14"/>
              </w:rPr>
              <w:t>0.39024</w:t>
            </w:r>
          </w:p>
        </w:tc>
        <w:tc>
          <w:tcPr>
            <w:tcW w:type="dxa" w:w="468"/>
            <w:vAlign w:val="center"/>
          </w:tcPr>
          <w:p>
            <w:r>
              <w:rPr>
                <w:rFonts w:ascii="Arial" w:hAnsi="Arial"/>
                <w:color w:val="000000"/>
                <w:sz w:val="14"/>
              </w:rPr>
              <w:t>6.7378</w:t>
            </w:r>
          </w:p>
        </w:tc>
        <w:tc>
          <w:tcPr>
            <w:tcW w:type="dxa" w:w="468"/>
            <w:vAlign w:val="center"/>
          </w:tcPr>
          <w:p>
            <w:r>
              <w:rPr>
                <w:rFonts w:ascii="Arial" w:hAnsi="Arial"/>
                <w:color w:val="000000"/>
                <w:sz w:val="14"/>
              </w:rPr>
              <w:t>0.14567</w:t>
            </w:r>
          </w:p>
        </w:tc>
        <w:tc>
          <w:tcPr>
            <w:tcW w:type="dxa" w:w="468"/>
            <w:vAlign w:val="center"/>
          </w:tcPr>
          <w:p>
            <w:r>
              <w:rPr>
                <w:rFonts w:ascii="Arial" w:hAnsi="Arial"/>
                <w:color w:val="000000"/>
                <w:sz w:val="14"/>
              </w:rPr>
              <w:t>-0.84164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soil_temperature_mean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26.47</w:t>
            </w:r>
          </w:p>
        </w:tc>
        <w:tc>
          <w:tcPr>
            <w:tcW w:type="dxa" w:w="468"/>
            <w:vAlign w:val="center"/>
          </w:tcPr>
          <w:p>
            <w:r>
              <w:rPr>
                <w:rFonts w:ascii="Arial" w:hAnsi="Arial"/>
                <w:color w:val="000000"/>
                <w:sz w:val="14"/>
              </w:rPr>
              <w:t>4.0074</w:t>
            </w:r>
          </w:p>
        </w:tc>
        <w:tc>
          <w:tcPr>
            <w:tcW w:type="dxa" w:w="468"/>
            <w:vAlign w:val="center"/>
          </w:tcPr>
          <w:p>
            <w:r>
              <w:rPr>
                <w:rFonts w:ascii="Arial" w:hAnsi="Arial"/>
                <w:color w:val="000000"/>
                <w:sz w:val="14"/>
              </w:rPr>
              <w:t>27.913</w:t>
            </w:r>
          </w:p>
        </w:tc>
        <w:tc>
          <w:tcPr>
            <w:tcW w:type="dxa" w:w="468"/>
            <w:vAlign w:val="center"/>
          </w:tcPr>
          <w:p>
            <w:r>
              <w:rPr>
                <w:rFonts w:ascii="Arial" w:hAnsi="Arial"/>
                <w:color w:val="000000"/>
                <w:sz w:val="14"/>
              </w:rPr>
              <w:t>23.423</w:t>
            </w:r>
          </w:p>
        </w:tc>
        <w:tc>
          <w:tcPr>
            <w:tcW w:type="dxa" w:w="468"/>
            <w:vAlign w:val="center"/>
          </w:tcPr>
          <w:p>
            <w:r>
              <w:rPr>
                <w:rFonts w:ascii="Arial" w:hAnsi="Arial"/>
                <w:color w:val="000000"/>
                <w:sz w:val="14"/>
              </w:rPr>
              <w:t>29.513</w:t>
            </w:r>
          </w:p>
        </w:tc>
        <w:tc>
          <w:tcPr>
            <w:tcW w:type="dxa" w:w="468"/>
            <w:vAlign w:val="center"/>
          </w:tcPr>
          <w:p>
            <w:r>
              <w:rPr>
                <w:rFonts w:ascii="Arial" w:hAnsi="Arial"/>
                <w:color w:val="000000"/>
                <w:sz w:val="14"/>
              </w:rPr>
              <w:t>6.0896</w:t>
            </w:r>
          </w:p>
        </w:tc>
        <w:tc>
          <w:tcPr>
            <w:tcW w:type="dxa" w:w="468"/>
            <w:vAlign w:val="center"/>
          </w:tcPr>
          <w:p>
            <w:r>
              <w:rPr>
                <w:rFonts w:ascii="Arial" w:hAnsi="Arial"/>
                <w:color w:val="000000"/>
                <w:sz w:val="14"/>
              </w:rPr>
              <w:t>12.92</w:t>
            </w:r>
          </w:p>
        </w:tc>
        <w:tc>
          <w:tcPr>
            <w:tcW w:type="dxa" w:w="468"/>
            <w:vAlign w:val="center"/>
          </w:tcPr>
          <w:p>
            <w:r>
              <w:rPr>
                <w:rFonts w:ascii="Arial" w:hAnsi="Arial"/>
                <w:color w:val="000000"/>
                <w:sz w:val="14"/>
              </w:rPr>
              <w:t>36.623</w:t>
            </w:r>
          </w:p>
        </w:tc>
        <w:tc>
          <w:tcPr>
            <w:tcW w:type="dxa" w:w="468"/>
            <w:vAlign w:val="center"/>
          </w:tcPr>
          <w:p>
            <w:r>
              <w:rPr>
                <w:rFonts w:ascii="Arial" w:hAnsi="Arial"/>
                <w:color w:val="000000"/>
                <w:sz w:val="14"/>
              </w:rPr>
              <w:t>-0.73999</w:t>
            </w:r>
          </w:p>
        </w:tc>
        <w:tc>
          <w:tcPr>
            <w:tcW w:type="dxa" w:w="468"/>
            <w:vAlign w:val="center"/>
          </w:tcPr>
          <w:p>
            <w:r>
              <w:rPr>
                <w:rFonts w:ascii="Arial" w:hAnsi="Arial"/>
                <w:color w:val="000000"/>
                <w:sz w:val="14"/>
              </w:rPr>
              <w:t>-0.59409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soil_moisture_mean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0.30158</w:t>
            </w:r>
          </w:p>
        </w:tc>
        <w:tc>
          <w:tcPr>
            <w:tcW w:type="dxa" w:w="468"/>
            <w:vAlign w:val="center"/>
          </w:tcPr>
          <w:p>
            <w:r>
              <w:rPr>
                <w:rFonts w:ascii="Arial" w:hAnsi="Arial"/>
                <w:color w:val="000000"/>
                <w:sz w:val="14"/>
              </w:rPr>
              <w:t>0.10338</w:t>
            </w:r>
          </w:p>
        </w:tc>
        <w:tc>
          <w:tcPr>
            <w:tcW w:type="dxa" w:w="468"/>
            <w:vAlign w:val="center"/>
          </w:tcPr>
          <w:p>
            <w:r>
              <w:rPr>
                <w:rFonts w:ascii="Arial" w:hAnsi="Arial"/>
                <w:color w:val="000000"/>
                <w:sz w:val="14"/>
              </w:rPr>
              <w:t>0.32894</w:t>
            </w:r>
          </w:p>
        </w:tc>
        <w:tc>
          <w:tcPr>
            <w:tcW w:type="dxa" w:w="468"/>
            <w:vAlign w:val="center"/>
          </w:tcPr>
          <w:p>
            <w:r>
              <w:rPr>
                <w:rFonts w:ascii="Arial" w:hAnsi="Arial"/>
                <w:color w:val="000000"/>
                <w:sz w:val="14"/>
              </w:rPr>
              <w:t>0.18907</w:t>
            </w:r>
          </w:p>
        </w:tc>
        <w:tc>
          <w:tcPr>
            <w:tcW w:type="dxa" w:w="468"/>
            <w:vAlign w:val="center"/>
          </w:tcPr>
          <w:p>
            <w:r>
              <w:rPr>
                <w:rFonts w:ascii="Arial" w:hAnsi="Arial"/>
                <w:color w:val="000000"/>
                <w:sz w:val="14"/>
              </w:rPr>
              <w:t>0.40254</w:t>
            </w:r>
          </w:p>
        </w:tc>
        <w:tc>
          <w:tcPr>
            <w:tcW w:type="dxa" w:w="468"/>
            <w:vAlign w:val="center"/>
          </w:tcPr>
          <w:p>
            <w:r>
              <w:rPr>
                <w:rFonts w:ascii="Arial" w:hAnsi="Arial"/>
                <w:color w:val="000000"/>
                <w:sz w:val="14"/>
              </w:rPr>
              <w:t>0.21347</w:t>
            </w:r>
          </w:p>
        </w:tc>
        <w:tc>
          <w:tcPr>
            <w:tcW w:type="dxa" w:w="468"/>
            <w:vAlign w:val="center"/>
          </w:tcPr>
          <w:p>
            <w:r>
              <w:rPr>
                <w:rFonts w:ascii="Arial" w:hAnsi="Arial"/>
                <w:color w:val="000000"/>
                <w:sz w:val="14"/>
              </w:rPr>
              <w:t>0.12858</w:t>
            </w:r>
          </w:p>
        </w:tc>
        <w:tc>
          <w:tcPr>
            <w:tcW w:type="dxa" w:w="468"/>
            <w:vAlign w:val="center"/>
          </w:tcPr>
          <w:p>
            <w:r>
              <w:rPr>
                <w:rFonts w:ascii="Arial" w:hAnsi="Arial"/>
                <w:color w:val="000000"/>
                <w:sz w:val="14"/>
              </w:rPr>
              <w:t>0.43792</w:t>
            </w:r>
          </w:p>
        </w:tc>
        <w:tc>
          <w:tcPr>
            <w:tcW w:type="dxa" w:w="468"/>
            <w:vAlign w:val="center"/>
          </w:tcPr>
          <w:p>
            <w:r>
              <w:rPr>
                <w:rFonts w:ascii="Arial" w:hAnsi="Arial"/>
                <w:color w:val="000000"/>
                <w:sz w:val="14"/>
              </w:rPr>
              <w:t>-0.2077</w:t>
            </w:r>
          </w:p>
        </w:tc>
        <w:tc>
          <w:tcPr>
            <w:tcW w:type="dxa" w:w="468"/>
            <w:vAlign w:val="center"/>
          </w:tcPr>
          <w:p>
            <w:r>
              <w:rPr>
                <w:rFonts w:ascii="Arial" w:hAnsi="Arial"/>
                <w:color w:val="000000"/>
                <w:sz w:val="14"/>
              </w:rPr>
              <w:t>-1.6187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tmax</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32.276</w:t>
            </w:r>
          </w:p>
        </w:tc>
        <w:tc>
          <w:tcPr>
            <w:tcW w:type="dxa" w:w="468"/>
            <w:vAlign w:val="center"/>
          </w:tcPr>
          <w:p>
            <w:r>
              <w:rPr>
                <w:rFonts w:ascii="Arial" w:hAnsi="Arial"/>
                <w:color w:val="000000"/>
                <w:sz w:val="14"/>
              </w:rPr>
              <w:t>2.5112</w:t>
            </w:r>
          </w:p>
        </w:tc>
        <w:tc>
          <w:tcPr>
            <w:tcW w:type="dxa" w:w="468"/>
            <w:vAlign w:val="center"/>
          </w:tcPr>
          <w:p>
            <w:r>
              <w:rPr>
                <w:rFonts w:ascii="Arial" w:hAnsi="Arial"/>
                <w:color w:val="000000"/>
                <w:sz w:val="14"/>
              </w:rPr>
              <w:t>32.38</w:t>
            </w:r>
          </w:p>
        </w:tc>
        <w:tc>
          <w:tcPr>
            <w:tcW w:type="dxa" w:w="468"/>
            <w:vAlign w:val="center"/>
          </w:tcPr>
          <w:p>
            <w:r>
              <w:rPr>
                <w:rFonts w:ascii="Arial" w:hAnsi="Arial"/>
                <w:color w:val="000000"/>
                <w:sz w:val="14"/>
              </w:rPr>
              <w:t>30.663</w:t>
            </w:r>
          </w:p>
        </w:tc>
        <w:tc>
          <w:tcPr>
            <w:tcW w:type="dxa" w:w="468"/>
            <w:vAlign w:val="center"/>
          </w:tcPr>
          <w:p>
            <w:r>
              <w:rPr>
                <w:rFonts w:ascii="Arial" w:hAnsi="Arial"/>
                <w:color w:val="000000"/>
                <w:sz w:val="14"/>
              </w:rPr>
              <w:t>33.99</w:t>
            </w:r>
          </w:p>
        </w:tc>
        <w:tc>
          <w:tcPr>
            <w:tcW w:type="dxa" w:w="468"/>
            <w:vAlign w:val="center"/>
          </w:tcPr>
          <w:p>
            <w:r>
              <w:rPr>
                <w:rFonts w:ascii="Arial" w:hAnsi="Arial"/>
                <w:color w:val="000000"/>
                <w:sz w:val="14"/>
              </w:rPr>
              <w:t>3.3275</w:t>
            </w:r>
          </w:p>
        </w:tc>
        <w:tc>
          <w:tcPr>
            <w:tcW w:type="dxa" w:w="468"/>
            <w:vAlign w:val="center"/>
          </w:tcPr>
          <w:p>
            <w:r>
              <w:rPr>
                <w:rFonts w:ascii="Arial" w:hAnsi="Arial"/>
                <w:color w:val="000000"/>
                <w:sz w:val="14"/>
              </w:rPr>
              <w:t>21.46</w:t>
            </w:r>
          </w:p>
        </w:tc>
        <w:tc>
          <w:tcPr>
            <w:tcW w:type="dxa" w:w="468"/>
            <w:vAlign w:val="center"/>
          </w:tcPr>
          <w:p>
            <w:r>
              <w:rPr>
                <w:rFonts w:ascii="Arial" w:hAnsi="Arial"/>
                <w:color w:val="000000"/>
                <w:sz w:val="14"/>
              </w:rPr>
              <w:t>40.2</w:t>
            </w:r>
          </w:p>
        </w:tc>
        <w:tc>
          <w:tcPr>
            <w:tcW w:type="dxa" w:w="468"/>
            <w:vAlign w:val="center"/>
          </w:tcPr>
          <w:p>
            <w:r>
              <w:rPr>
                <w:rFonts w:ascii="Arial" w:hAnsi="Arial"/>
                <w:color w:val="000000"/>
                <w:sz w:val="14"/>
              </w:rPr>
              <w:t>-0.29076</w:t>
            </w:r>
          </w:p>
        </w:tc>
        <w:tc>
          <w:tcPr>
            <w:tcW w:type="dxa" w:w="468"/>
            <w:vAlign w:val="center"/>
          </w:tcPr>
          <w:p>
            <w:r>
              <w:rPr>
                <w:rFonts w:ascii="Arial" w:hAnsi="Arial"/>
                <w:color w:val="000000"/>
                <w:sz w:val="14"/>
              </w:rPr>
              <w:t>0.32409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tmin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23.824</w:t>
            </w:r>
          </w:p>
        </w:tc>
        <w:tc>
          <w:tcPr>
            <w:tcW w:type="dxa" w:w="468"/>
            <w:vAlign w:val="center"/>
          </w:tcPr>
          <w:p>
            <w:r>
              <w:rPr>
                <w:rFonts w:ascii="Arial" w:hAnsi="Arial"/>
                <w:color w:val="000000"/>
                <w:sz w:val="14"/>
              </w:rPr>
              <w:t>3.0391</w:t>
            </w:r>
          </w:p>
        </w:tc>
        <w:tc>
          <w:tcPr>
            <w:tcW w:type="dxa" w:w="468"/>
            <w:vAlign w:val="center"/>
          </w:tcPr>
          <w:p>
            <w:r>
              <w:rPr>
                <w:rFonts w:ascii="Arial" w:hAnsi="Arial"/>
                <w:color w:val="000000"/>
                <w:sz w:val="14"/>
              </w:rPr>
              <w:t>24.55</w:t>
            </w:r>
          </w:p>
        </w:tc>
        <w:tc>
          <w:tcPr>
            <w:tcW w:type="dxa" w:w="468"/>
            <w:vAlign w:val="center"/>
          </w:tcPr>
          <w:p>
            <w:r>
              <w:rPr>
                <w:rFonts w:ascii="Arial" w:hAnsi="Arial"/>
                <w:color w:val="000000"/>
                <w:sz w:val="14"/>
              </w:rPr>
              <w:t>22.06</w:t>
            </w:r>
          </w:p>
        </w:tc>
        <w:tc>
          <w:tcPr>
            <w:tcW w:type="dxa" w:w="468"/>
            <w:vAlign w:val="center"/>
          </w:tcPr>
          <w:p>
            <w:r>
              <w:rPr>
                <w:rFonts w:ascii="Arial" w:hAnsi="Arial"/>
                <w:color w:val="000000"/>
                <w:sz w:val="14"/>
              </w:rPr>
              <w:t>26.11</w:t>
            </w:r>
          </w:p>
        </w:tc>
        <w:tc>
          <w:tcPr>
            <w:tcW w:type="dxa" w:w="468"/>
            <w:vAlign w:val="center"/>
          </w:tcPr>
          <w:p>
            <w:r>
              <w:rPr>
                <w:rFonts w:ascii="Arial" w:hAnsi="Arial"/>
                <w:color w:val="000000"/>
                <w:sz w:val="14"/>
              </w:rPr>
              <w:t>4.05</w:t>
            </w:r>
          </w:p>
        </w:tc>
        <w:tc>
          <w:tcPr>
            <w:tcW w:type="dxa" w:w="468"/>
            <w:vAlign w:val="center"/>
          </w:tcPr>
          <w:p>
            <w:r>
              <w:rPr>
                <w:rFonts w:ascii="Arial" w:hAnsi="Arial"/>
                <w:color w:val="000000"/>
                <w:sz w:val="14"/>
              </w:rPr>
              <w:t>12.06</w:t>
            </w:r>
          </w:p>
        </w:tc>
        <w:tc>
          <w:tcPr>
            <w:tcW w:type="dxa" w:w="468"/>
            <w:vAlign w:val="center"/>
          </w:tcPr>
          <w:p>
            <w:r>
              <w:rPr>
                <w:rFonts w:ascii="Arial" w:hAnsi="Arial"/>
                <w:color w:val="000000"/>
                <w:sz w:val="14"/>
              </w:rPr>
              <w:t>29.5</w:t>
            </w:r>
          </w:p>
        </w:tc>
        <w:tc>
          <w:tcPr>
            <w:tcW w:type="dxa" w:w="468"/>
            <w:vAlign w:val="center"/>
          </w:tcPr>
          <w:p>
            <w:r>
              <w:rPr>
                <w:rFonts w:ascii="Arial" w:hAnsi="Arial"/>
                <w:color w:val="000000"/>
                <w:sz w:val="14"/>
              </w:rPr>
              <w:t>-0.92671</w:t>
            </w:r>
          </w:p>
        </w:tc>
        <w:tc>
          <w:tcPr>
            <w:tcW w:type="dxa" w:w="468"/>
            <w:vAlign w:val="center"/>
          </w:tcPr>
          <w:p>
            <w:r>
              <w:rPr>
                <w:rFonts w:ascii="Arial" w:hAnsi="Arial"/>
                <w:color w:val="000000"/>
                <w:sz w:val="14"/>
              </w:rPr>
              <w:t>0.45388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tmean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27.746</w:t>
            </w:r>
          </w:p>
        </w:tc>
        <w:tc>
          <w:tcPr>
            <w:tcW w:type="dxa" w:w="468"/>
            <w:vAlign w:val="center"/>
          </w:tcPr>
          <w:p>
            <w:r>
              <w:rPr>
                <w:rFonts w:ascii="Arial" w:hAnsi="Arial"/>
                <w:color w:val="000000"/>
                <w:sz w:val="14"/>
              </w:rPr>
              <w:t>2.2934</w:t>
            </w:r>
          </w:p>
        </w:tc>
        <w:tc>
          <w:tcPr>
            <w:tcW w:type="dxa" w:w="468"/>
            <w:vAlign w:val="center"/>
          </w:tcPr>
          <w:p>
            <w:r>
              <w:rPr>
                <w:rFonts w:ascii="Arial" w:hAnsi="Arial"/>
                <w:color w:val="000000"/>
                <w:sz w:val="14"/>
              </w:rPr>
              <w:t>28.031</w:t>
            </w:r>
          </w:p>
        </w:tc>
        <w:tc>
          <w:tcPr>
            <w:tcW w:type="dxa" w:w="468"/>
            <w:vAlign w:val="center"/>
          </w:tcPr>
          <w:p>
            <w:r>
              <w:rPr>
                <w:rFonts w:ascii="Arial" w:hAnsi="Arial"/>
                <w:color w:val="000000"/>
                <w:sz w:val="14"/>
              </w:rPr>
              <w:t>26.404</w:t>
            </w:r>
          </w:p>
        </w:tc>
        <w:tc>
          <w:tcPr>
            <w:tcW w:type="dxa" w:w="468"/>
            <w:vAlign w:val="center"/>
          </w:tcPr>
          <w:p>
            <w:r>
              <w:rPr>
                <w:rFonts w:ascii="Arial" w:hAnsi="Arial"/>
                <w:color w:val="000000"/>
                <w:sz w:val="14"/>
              </w:rPr>
              <w:t>29.396</w:t>
            </w:r>
          </w:p>
        </w:tc>
        <w:tc>
          <w:tcPr>
            <w:tcW w:type="dxa" w:w="468"/>
            <w:vAlign w:val="center"/>
          </w:tcPr>
          <w:p>
            <w:r>
              <w:rPr>
                <w:rFonts w:ascii="Arial" w:hAnsi="Arial"/>
                <w:color w:val="000000"/>
                <w:sz w:val="14"/>
              </w:rPr>
              <w:t>2.9917</w:t>
            </w:r>
          </w:p>
        </w:tc>
        <w:tc>
          <w:tcPr>
            <w:tcW w:type="dxa" w:w="468"/>
            <w:vAlign w:val="center"/>
          </w:tcPr>
          <w:p>
            <w:r>
              <w:rPr>
                <w:rFonts w:ascii="Arial" w:hAnsi="Arial"/>
                <w:color w:val="000000"/>
                <w:sz w:val="14"/>
              </w:rPr>
              <w:t>18.274</w:t>
            </w:r>
          </w:p>
        </w:tc>
        <w:tc>
          <w:tcPr>
            <w:tcW w:type="dxa" w:w="468"/>
            <w:vAlign w:val="center"/>
          </w:tcPr>
          <w:p>
            <w:r>
              <w:rPr>
                <w:rFonts w:ascii="Arial" w:hAnsi="Arial"/>
                <w:color w:val="000000"/>
                <w:sz w:val="14"/>
              </w:rPr>
              <w:t>34.043</w:t>
            </w:r>
          </w:p>
        </w:tc>
        <w:tc>
          <w:tcPr>
            <w:tcW w:type="dxa" w:w="468"/>
            <w:vAlign w:val="center"/>
          </w:tcPr>
          <w:p>
            <w:r>
              <w:rPr>
                <w:rFonts w:ascii="Arial" w:hAnsi="Arial"/>
                <w:color w:val="000000"/>
                <w:sz w:val="14"/>
              </w:rPr>
              <w:t>-0.62702</w:t>
            </w:r>
          </w:p>
        </w:tc>
        <w:tc>
          <w:tcPr>
            <w:tcW w:type="dxa" w:w="468"/>
            <w:vAlign w:val="center"/>
          </w:tcPr>
          <w:p>
            <w:r>
              <w:rPr>
                <w:rFonts w:ascii="Arial" w:hAnsi="Arial"/>
                <w:color w:val="000000"/>
                <w:sz w:val="14"/>
              </w:rPr>
              <w:t>0.25982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day_night_range</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8.4512</w:t>
            </w:r>
          </w:p>
        </w:tc>
        <w:tc>
          <w:tcPr>
            <w:tcW w:type="dxa" w:w="468"/>
            <w:vAlign w:val="center"/>
          </w:tcPr>
          <w:p>
            <w:r>
              <w:rPr>
                <w:rFonts w:ascii="Arial" w:hAnsi="Arial"/>
                <w:color w:val="000000"/>
                <w:sz w:val="14"/>
              </w:rPr>
              <w:t>2.9684</w:t>
            </w:r>
          </w:p>
        </w:tc>
        <w:tc>
          <w:tcPr>
            <w:tcW w:type="dxa" w:w="468"/>
            <w:vAlign w:val="center"/>
          </w:tcPr>
          <w:p>
            <w:r>
              <w:rPr>
                <w:rFonts w:ascii="Arial" w:hAnsi="Arial"/>
                <w:color w:val="000000"/>
                <w:sz w:val="14"/>
              </w:rPr>
              <w:t>8.16</w:t>
            </w:r>
          </w:p>
        </w:tc>
        <w:tc>
          <w:tcPr>
            <w:tcW w:type="dxa" w:w="468"/>
            <w:vAlign w:val="center"/>
          </w:tcPr>
          <w:p>
            <w:r>
              <w:rPr>
                <w:rFonts w:ascii="Arial" w:hAnsi="Arial"/>
                <w:color w:val="000000"/>
                <w:sz w:val="14"/>
              </w:rPr>
              <w:t>6.23</w:t>
            </w:r>
          </w:p>
        </w:tc>
        <w:tc>
          <w:tcPr>
            <w:tcW w:type="dxa" w:w="468"/>
            <w:vAlign w:val="center"/>
          </w:tcPr>
          <w:p>
            <w:r>
              <w:rPr>
                <w:rFonts w:ascii="Arial" w:hAnsi="Arial"/>
                <w:color w:val="000000"/>
                <w:sz w:val="14"/>
              </w:rPr>
              <w:t>10.42</w:t>
            </w:r>
          </w:p>
        </w:tc>
        <w:tc>
          <w:tcPr>
            <w:tcW w:type="dxa" w:w="468"/>
            <w:vAlign w:val="center"/>
          </w:tcPr>
          <w:p>
            <w:r>
              <w:rPr>
                <w:rFonts w:ascii="Arial" w:hAnsi="Arial"/>
                <w:color w:val="000000"/>
                <w:sz w:val="14"/>
              </w:rPr>
              <w:t>4.19</w:t>
            </w:r>
          </w:p>
        </w:tc>
        <w:tc>
          <w:tcPr>
            <w:tcW w:type="dxa" w:w="468"/>
            <w:vAlign w:val="center"/>
          </w:tcPr>
          <w:p>
            <w:r>
              <w:rPr>
                <w:rFonts w:ascii="Arial" w:hAnsi="Arial"/>
                <w:color w:val="000000"/>
                <w:sz w:val="14"/>
              </w:rPr>
              <w:t>0.58</w:t>
            </w:r>
          </w:p>
        </w:tc>
        <w:tc>
          <w:tcPr>
            <w:tcW w:type="dxa" w:w="468"/>
            <w:vAlign w:val="center"/>
          </w:tcPr>
          <w:p>
            <w:r>
              <w:rPr>
                <w:rFonts w:ascii="Arial" w:hAnsi="Arial"/>
                <w:color w:val="000000"/>
                <w:sz w:val="14"/>
              </w:rPr>
              <w:t>18.67</w:t>
            </w:r>
          </w:p>
        </w:tc>
        <w:tc>
          <w:tcPr>
            <w:tcW w:type="dxa" w:w="468"/>
            <w:vAlign w:val="center"/>
          </w:tcPr>
          <w:p>
            <w:r>
              <w:rPr>
                <w:rFonts w:ascii="Arial" w:hAnsi="Arial"/>
                <w:color w:val="000000"/>
                <w:sz w:val="14"/>
              </w:rPr>
              <w:t>0.36694</w:t>
            </w:r>
          </w:p>
        </w:tc>
        <w:tc>
          <w:tcPr>
            <w:tcW w:type="dxa" w:w="468"/>
            <w:vAlign w:val="center"/>
          </w:tcPr>
          <w:p>
            <w:r>
              <w:rPr>
                <w:rFonts w:ascii="Arial" w:hAnsi="Arial"/>
                <w:color w:val="000000"/>
                <w:sz w:val="14"/>
              </w:rPr>
              <w:t>-0.30102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precipitation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7.2669</w:t>
            </w:r>
          </w:p>
        </w:tc>
        <w:tc>
          <w:tcPr>
            <w:tcW w:type="dxa" w:w="468"/>
            <w:vAlign w:val="center"/>
          </w:tcPr>
          <w:p>
            <w:r>
              <w:rPr>
                <w:rFonts w:ascii="Arial" w:hAnsi="Arial"/>
                <w:color w:val="000000"/>
                <w:sz w:val="14"/>
              </w:rPr>
              <w:t>13.036</w:t>
            </w:r>
          </w:p>
        </w:tc>
        <w:tc>
          <w:tcPr>
            <w:tcW w:type="dxa" w:w="468"/>
            <w:vAlign w:val="center"/>
          </w:tcPr>
          <w:p>
            <w:r>
              <w:rPr>
                <w:rFonts w:ascii="Arial" w:hAnsi="Arial"/>
                <w:color w:val="000000"/>
                <w:sz w:val="14"/>
              </w:rPr>
              <w:t>1.7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9.4</w:t>
            </w:r>
          </w:p>
        </w:tc>
        <w:tc>
          <w:tcPr>
            <w:tcW w:type="dxa" w:w="468"/>
            <w:vAlign w:val="center"/>
          </w:tcPr>
          <w:p>
            <w:r>
              <w:rPr>
                <w:rFonts w:ascii="Arial" w:hAnsi="Arial"/>
                <w:color w:val="000000"/>
                <w:sz w:val="14"/>
              </w:rPr>
              <w:t>9.4</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261.1</w:t>
            </w:r>
          </w:p>
        </w:tc>
        <w:tc>
          <w:tcPr>
            <w:tcW w:type="dxa" w:w="468"/>
            <w:vAlign w:val="center"/>
          </w:tcPr>
          <w:p>
            <w:r>
              <w:rPr>
                <w:rFonts w:ascii="Arial" w:hAnsi="Arial"/>
                <w:color w:val="000000"/>
                <w:sz w:val="14"/>
              </w:rPr>
              <w:t>4.3037</w:t>
            </w:r>
          </w:p>
        </w:tc>
        <w:tc>
          <w:tcPr>
            <w:tcW w:type="dxa" w:w="468"/>
            <w:vAlign w:val="center"/>
          </w:tcPr>
          <w:p>
            <w:r>
              <w:rPr>
                <w:rFonts w:ascii="Arial" w:hAnsi="Arial"/>
                <w:color w:val="000000"/>
                <w:sz w:val="14"/>
              </w:rPr>
              <w:t>38.05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rh_mean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77.378</w:t>
            </w:r>
          </w:p>
        </w:tc>
        <w:tc>
          <w:tcPr>
            <w:tcW w:type="dxa" w:w="468"/>
            <w:vAlign w:val="center"/>
          </w:tcPr>
          <w:p>
            <w:r>
              <w:rPr>
                <w:rFonts w:ascii="Arial" w:hAnsi="Arial"/>
                <w:color w:val="000000"/>
                <w:sz w:val="14"/>
              </w:rPr>
              <w:t>9.6665</w:t>
            </w:r>
          </w:p>
        </w:tc>
        <w:tc>
          <w:tcPr>
            <w:tcW w:type="dxa" w:w="468"/>
            <w:vAlign w:val="center"/>
          </w:tcPr>
          <w:p>
            <w:r>
              <w:rPr>
                <w:rFonts w:ascii="Arial" w:hAnsi="Arial"/>
                <w:color w:val="000000"/>
                <w:sz w:val="14"/>
              </w:rPr>
              <w:t>79.583</w:t>
            </w:r>
          </w:p>
        </w:tc>
        <w:tc>
          <w:tcPr>
            <w:tcW w:type="dxa" w:w="468"/>
            <w:vAlign w:val="center"/>
          </w:tcPr>
          <w:p>
            <w:r>
              <w:rPr>
                <w:rFonts w:ascii="Arial" w:hAnsi="Arial"/>
                <w:color w:val="000000"/>
                <w:sz w:val="14"/>
              </w:rPr>
              <w:t>71.941</w:t>
            </w:r>
          </w:p>
        </w:tc>
        <w:tc>
          <w:tcPr>
            <w:tcW w:type="dxa" w:w="468"/>
            <w:vAlign w:val="center"/>
          </w:tcPr>
          <w:p>
            <w:r>
              <w:rPr>
                <w:rFonts w:ascii="Arial" w:hAnsi="Arial"/>
                <w:color w:val="000000"/>
                <w:sz w:val="14"/>
              </w:rPr>
              <w:t>84.345</w:t>
            </w:r>
          </w:p>
        </w:tc>
        <w:tc>
          <w:tcPr>
            <w:tcW w:type="dxa" w:w="468"/>
            <w:vAlign w:val="center"/>
          </w:tcPr>
          <w:p>
            <w:r>
              <w:rPr>
                <w:rFonts w:ascii="Arial" w:hAnsi="Arial"/>
                <w:color w:val="000000"/>
                <w:sz w:val="14"/>
              </w:rPr>
              <w:t>12.405</w:t>
            </w:r>
          </w:p>
        </w:tc>
        <w:tc>
          <w:tcPr>
            <w:tcW w:type="dxa" w:w="468"/>
            <w:vAlign w:val="center"/>
          </w:tcPr>
          <w:p>
            <w:r>
              <w:rPr>
                <w:rFonts w:ascii="Arial" w:hAnsi="Arial"/>
                <w:color w:val="000000"/>
                <w:sz w:val="14"/>
              </w:rPr>
              <w:t>42.205</w:t>
            </w:r>
          </w:p>
        </w:tc>
        <w:tc>
          <w:tcPr>
            <w:tcW w:type="dxa" w:w="468"/>
            <w:vAlign w:val="center"/>
          </w:tcPr>
          <w:p>
            <w:r>
              <w:rPr>
                <w:rFonts w:ascii="Arial" w:hAnsi="Arial"/>
                <w:color w:val="000000"/>
                <w:sz w:val="14"/>
              </w:rPr>
              <w:t>97.47</w:t>
            </w:r>
          </w:p>
        </w:tc>
        <w:tc>
          <w:tcPr>
            <w:tcW w:type="dxa" w:w="468"/>
            <w:vAlign w:val="center"/>
          </w:tcPr>
          <w:p>
            <w:r>
              <w:rPr>
                <w:rFonts w:ascii="Arial" w:hAnsi="Arial"/>
                <w:color w:val="000000"/>
                <w:sz w:val="14"/>
              </w:rPr>
              <w:t>-0.85257</w:t>
            </w:r>
          </w:p>
        </w:tc>
        <w:tc>
          <w:tcPr>
            <w:tcW w:type="dxa" w:w="468"/>
            <w:vAlign w:val="center"/>
          </w:tcPr>
          <w:p>
            <w:r>
              <w:rPr>
                <w:rFonts w:ascii="Arial" w:hAnsi="Arial"/>
                <w:color w:val="000000"/>
                <w:sz w:val="14"/>
              </w:rPr>
              <w:t>0.35268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wind_speed_mean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5.4647</w:t>
            </w:r>
          </w:p>
        </w:tc>
        <w:tc>
          <w:tcPr>
            <w:tcW w:type="dxa" w:w="468"/>
            <w:vAlign w:val="center"/>
          </w:tcPr>
          <w:p>
            <w:r>
              <w:rPr>
                <w:rFonts w:ascii="Arial" w:hAnsi="Arial"/>
                <w:color w:val="000000"/>
                <w:sz w:val="14"/>
              </w:rPr>
              <w:t>3.7875</w:t>
            </w:r>
          </w:p>
        </w:tc>
        <w:tc>
          <w:tcPr>
            <w:tcW w:type="dxa" w:w="468"/>
            <w:vAlign w:val="center"/>
          </w:tcPr>
          <w:p>
            <w:r>
              <w:rPr>
                <w:rFonts w:ascii="Arial" w:hAnsi="Arial"/>
                <w:color w:val="000000"/>
                <w:sz w:val="14"/>
              </w:rPr>
              <w:t>4.68</w:t>
            </w:r>
          </w:p>
        </w:tc>
        <w:tc>
          <w:tcPr>
            <w:tcW w:type="dxa" w:w="468"/>
            <w:vAlign w:val="center"/>
          </w:tcPr>
          <w:p>
            <w:r>
              <w:rPr>
                <w:rFonts w:ascii="Arial" w:hAnsi="Arial"/>
                <w:color w:val="000000"/>
                <w:sz w:val="14"/>
              </w:rPr>
              <w:t>2.596</w:t>
            </w:r>
          </w:p>
        </w:tc>
        <w:tc>
          <w:tcPr>
            <w:tcW w:type="dxa" w:w="468"/>
            <w:vAlign w:val="center"/>
          </w:tcPr>
          <w:p>
            <w:r>
              <w:rPr>
                <w:rFonts w:ascii="Arial" w:hAnsi="Arial"/>
                <w:color w:val="000000"/>
                <w:sz w:val="14"/>
              </w:rPr>
              <w:t>7.4216</w:t>
            </w:r>
          </w:p>
        </w:tc>
        <w:tc>
          <w:tcPr>
            <w:tcW w:type="dxa" w:w="468"/>
            <w:vAlign w:val="center"/>
          </w:tcPr>
          <w:p>
            <w:r>
              <w:rPr>
                <w:rFonts w:ascii="Arial" w:hAnsi="Arial"/>
                <w:color w:val="000000"/>
                <w:sz w:val="14"/>
              </w:rPr>
              <w:t>4.8256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36.933</w:t>
            </w:r>
          </w:p>
        </w:tc>
        <w:tc>
          <w:tcPr>
            <w:tcW w:type="dxa" w:w="468"/>
            <w:vAlign w:val="center"/>
          </w:tcPr>
          <w:p>
            <w:r>
              <w:rPr>
                <w:rFonts w:ascii="Arial" w:hAnsi="Arial"/>
                <w:color w:val="000000"/>
                <w:sz w:val="14"/>
              </w:rPr>
              <w:t>1.1168</w:t>
            </w:r>
          </w:p>
        </w:tc>
        <w:tc>
          <w:tcPr>
            <w:tcW w:type="dxa" w:w="468"/>
            <w:vAlign w:val="center"/>
          </w:tcPr>
          <w:p>
            <w:r>
              <w:rPr>
                <w:rFonts w:ascii="Arial" w:hAnsi="Arial"/>
                <w:color w:val="000000"/>
                <w:sz w:val="14"/>
              </w:rPr>
              <w:t>1.7014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cloud_cover</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34.85</w:t>
            </w:r>
          </w:p>
        </w:tc>
        <w:tc>
          <w:tcPr>
            <w:tcW w:type="dxa" w:w="468"/>
            <w:vAlign w:val="center"/>
          </w:tcPr>
          <w:p>
            <w:r>
              <w:rPr>
                <w:rFonts w:ascii="Arial" w:hAnsi="Arial"/>
                <w:color w:val="000000"/>
                <w:sz w:val="14"/>
              </w:rPr>
              <w:t>23.699</w:t>
            </w:r>
          </w:p>
        </w:tc>
        <w:tc>
          <w:tcPr>
            <w:tcW w:type="dxa" w:w="468"/>
            <w:vAlign w:val="center"/>
          </w:tcPr>
          <w:p>
            <w:r>
              <w:rPr>
                <w:rFonts w:ascii="Arial" w:hAnsi="Arial"/>
                <w:color w:val="000000"/>
                <w:sz w:val="14"/>
              </w:rPr>
              <w:t>30.973</w:t>
            </w:r>
          </w:p>
        </w:tc>
        <w:tc>
          <w:tcPr>
            <w:tcW w:type="dxa" w:w="468"/>
            <w:vAlign w:val="center"/>
          </w:tcPr>
          <w:p>
            <w:r>
              <w:rPr>
                <w:rFonts w:ascii="Arial" w:hAnsi="Arial"/>
                <w:color w:val="000000"/>
                <w:sz w:val="14"/>
              </w:rPr>
              <w:t>16.631</w:t>
            </w:r>
          </w:p>
        </w:tc>
        <w:tc>
          <w:tcPr>
            <w:tcW w:type="dxa" w:w="468"/>
            <w:vAlign w:val="center"/>
          </w:tcPr>
          <w:p>
            <w:r>
              <w:rPr>
                <w:rFonts w:ascii="Arial" w:hAnsi="Arial"/>
                <w:color w:val="000000"/>
                <w:sz w:val="14"/>
              </w:rPr>
              <w:t>50.058</w:t>
            </w:r>
          </w:p>
        </w:tc>
        <w:tc>
          <w:tcPr>
            <w:tcW w:type="dxa" w:w="468"/>
            <w:vAlign w:val="center"/>
          </w:tcPr>
          <w:p>
            <w:r>
              <w:rPr>
                <w:rFonts w:ascii="Arial" w:hAnsi="Arial"/>
                <w:color w:val="000000"/>
                <w:sz w:val="14"/>
              </w:rPr>
              <w:t>33.427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99.833</w:t>
            </w:r>
          </w:p>
        </w:tc>
        <w:tc>
          <w:tcPr>
            <w:tcW w:type="dxa" w:w="468"/>
            <w:vAlign w:val="center"/>
          </w:tcPr>
          <w:p>
            <w:r>
              <w:rPr>
                <w:rFonts w:ascii="Arial" w:hAnsi="Arial"/>
                <w:color w:val="000000"/>
                <w:sz w:val="14"/>
              </w:rPr>
              <w:t>0.60395</w:t>
            </w:r>
          </w:p>
        </w:tc>
        <w:tc>
          <w:tcPr>
            <w:tcW w:type="dxa" w:w="468"/>
            <w:vAlign w:val="center"/>
          </w:tcPr>
          <w:p>
            <w:r>
              <w:rPr>
                <w:rFonts w:ascii="Arial" w:hAnsi="Arial"/>
                <w:color w:val="000000"/>
                <w:sz w:val="14"/>
              </w:rPr>
              <w:t>-0.32179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sunshine_duration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484.26</w:t>
            </w:r>
          </w:p>
        </w:tc>
        <w:tc>
          <w:tcPr>
            <w:tcW w:type="dxa" w:w="468"/>
            <w:vAlign w:val="center"/>
          </w:tcPr>
          <w:p>
            <w:r>
              <w:rPr>
                <w:rFonts w:ascii="Arial" w:hAnsi="Arial"/>
                <w:color w:val="000000"/>
                <w:sz w:val="14"/>
              </w:rPr>
              <w:t>176.86</w:t>
            </w:r>
          </w:p>
        </w:tc>
        <w:tc>
          <w:tcPr>
            <w:tcW w:type="dxa" w:w="468"/>
            <w:vAlign w:val="center"/>
          </w:tcPr>
          <w:p>
            <w:r>
              <w:rPr>
                <w:rFonts w:ascii="Arial" w:hAnsi="Arial"/>
                <w:color w:val="000000"/>
                <w:sz w:val="14"/>
              </w:rPr>
              <w:t>512.87</w:t>
            </w:r>
          </w:p>
        </w:tc>
        <w:tc>
          <w:tcPr>
            <w:tcW w:type="dxa" w:w="468"/>
            <w:vAlign w:val="center"/>
          </w:tcPr>
          <w:p>
            <w:r>
              <w:rPr>
                <w:rFonts w:ascii="Arial" w:hAnsi="Arial"/>
                <w:color w:val="000000"/>
                <w:sz w:val="14"/>
              </w:rPr>
              <w:t>369.98</w:t>
            </w:r>
          </w:p>
        </w:tc>
        <w:tc>
          <w:tcPr>
            <w:tcW w:type="dxa" w:w="468"/>
            <w:vAlign w:val="center"/>
          </w:tcPr>
          <w:p>
            <w:r>
              <w:rPr>
                <w:rFonts w:ascii="Arial" w:hAnsi="Arial"/>
                <w:color w:val="000000"/>
                <w:sz w:val="14"/>
              </w:rPr>
              <w:t>621.65</w:t>
            </w:r>
          </w:p>
        </w:tc>
        <w:tc>
          <w:tcPr>
            <w:tcW w:type="dxa" w:w="468"/>
            <w:vAlign w:val="center"/>
          </w:tcPr>
          <w:p>
            <w:r>
              <w:rPr>
                <w:rFonts w:ascii="Arial" w:hAnsi="Arial"/>
                <w:color w:val="000000"/>
                <w:sz w:val="14"/>
              </w:rPr>
              <w:t>251.67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811.8</w:t>
            </w:r>
          </w:p>
        </w:tc>
        <w:tc>
          <w:tcPr>
            <w:tcW w:type="dxa" w:w="468"/>
            <w:vAlign w:val="center"/>
          </w:tcPr>
          <w:p>
            <w:r>
              <w:rPr>
                <w:rFonts w:ascii="Arial" w:hAnsi="Arial"/>
                <w:color w:val="000000"/>
                <w:sz w:val="14"/>
              </w:rPr>
              <w:t>-0.6164</w:t>
            </w:r>
          </w:p>
        </w:tc>
        <w:tc>
          <w:tcPr>
            <w:tcW w:type="dxa" w:w="468"/>
            <w:vAlign w:val="center"/>
          </w:tcPr>
          <w:p>
            <w:r>
              <w:rPr>
                <w:rFonts w:ascii="Arial" w:hAnsi="Arial"/>
                <w:color w:val="000000"/>
                <w:sz w:val="14"/>
              </w:rPr>
              <w:t>-0.28658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shortwave_radiation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5198.6</w:t>
            </w:r>
          </w:p>
        </w:tc>
        <w:tc>
          <w:tcPr>
            <w:tcW w:type="dxa" w:w="468"/>
            <w:vAlign w:val="center"/>
          </w:tcPr>
          <w:p>
            <w:r>
              <w:rPr>
                <w:rFonts w:ascii="Arial" w:hAnsi="Arial"/>
                <w:color w:val="000000"/>
                <w:sz w:val="14"/>
              </w:rPr>
              <w:t>1444</w:t>
            </w:r>
          </w:p>
        </w:tc>
        <w:tc>
          <w:tcPr>
            <w:tcW w:type="dxa" w:w="468"/>
            <w:vAlign w:val="center"/>
          </w:tcPr>
          <w:p>
            <w:r>
              <w:rPr>
                <w:rFonts w:ascii="Arial" w:hAnsi="Arial"/>
                <w:color w:val="000000"/>
                <w:sz w:val="14"/>
              </w:rPr>
              <w:t>5519</w:t>
            </w:r>
          </w:p>
        </w:tc>
        <w:tc>
          <w:tcPr>
            <w:tcW w:type="dxa" w:w="468"/>
            <w:vAlign w:val="center"/>
          </w:tcPr>
          <w:p>
            <w:r>
              <w:rPr>
                <w:rFonts w:ascii="Arial" w:hAnsi="Arial"/>
                <w:color w:val="000000"/>
                <w:sz w:val="14"/>
              </w:rPr>
              <w:t>4322.5</w:t>
            </w:r>
          </w:p>
        </w:tc>
        <w:tc>
          <w:tcPr>
            <w:tcW w:type="dxa" w:w="468"/>
            <w:vAlign w:val="center"/>
          </w:tcPr>
          <w:p>
            <w:r>
              <w:rPr>
                <w:rFonts w:ascii="Arial" w:hAnsi="Arial"/>
                <w:color w:val="000000"/>
                <w:sz w:val="14"/>
              </w:rPr>
              <w:t>6331</w:t>
            </w:r>
          </w:p>
        </w:tc>
        <w:tc>
          <w:tcPr>
            <w:tcW w:type="dxa" w:w="468"/>
            <w:vAlign w:val="center"/>
          </w:tcPr>
          <w:p>
            <w:r>
              <w:rPr>
                <w:rFonts w:ascii="Arial" w:hAnsi="Arial"/>
                <w:color w:val="000000"/>
                <w:sz w:val="14"/>
              </w:rPr>
              <w:t>2008.5</w:t>
            </w:r>
          </w:p>
        </w:tc>
        <w:tc>
          <w:tcPr>
            <w:tcW w:type="dxa" w:w="468"/>
            <w:vAlign w:val="center"/>
          </w:tcPr>
          <w:p>
            <w:r>
              <w:rPr>
                <w:rFonts w:ascii="Arial" w:hAnsi="Arial"/>
                <w:color w:val="000000"/>
                <w:sz w:val="14"/>
              </w:rPr>
              <w:t>323</w:t>
            </w:r>
          </w:p>
        </w:tc>
        <w:tc>
          <w:tcPr>
            <w:tcW w:type="dxa" w:w="468"/>
            <w:vAlign w:val="center"/>
          </w:tcPr>
          <w:p>
            <w:r>
              <w:rPr>
                <w:rFonts w:ascii="Arial" w:hAnsi="Arial"/>
                <w:color w:val="000000"/>
                <w:sz w:val="14"/>
              </w:rPr>
              <w:t>7991</w:t>
            </w:r>
          </w:p>
        </w:tc>
        <w:tc>
          <w:tcPr>
            <w:tcW w:type="dxa" w:w="468"/>
            <w:vAlign w:val="center"/>
          </w:tcPr>
          <w:p>
            <w:r>
              <w:rPr>
                <w:rFonts w:ascii="Arial" w:hAnsi="Arial"/>
                <w:color w:val="000000"/>
                <w:sz w:val="14"/>
              </w:rPr>
              <w:t>-0.79604</w:t>
            </w:r>
          </w:p>
        </w:tc>
        <w:tc>
          <w:tcPr>
            <w:tcW w:type="dxa" w:w="468"/>
            <w:vAlign w:val="center"/>
          </w:tcPr>
          <w:p>
            <w:r>
              <w:rPr>
                <w:rFonts w:ascii="Arial" w:hAnsi="Arial"/>
                <w:color w:val="000000"/>
                <w:sz w:val="14"/>
              </w:rPr>
              <w:t>-0.01699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longwave_radiation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10011</w:t>
            </w:r>
          </w:p>
        </w:tc>
        <w:tc>
          <w:tcPr>
            <w:tcW w:type="dxa" w:w="468"/>
            <w:vAlign w:val="center"/>
          </w:tcPr>
          <w:p>
            <w:r>
              <w:rPr>
                <w:rFonts w:ascii="Arial" w:hAnsi="Arial"/>
                <w:color w:val="000000"/>
                <w:sz w:val="14"/>
              </w:rPr>
              <w:t>709.63</w:t>
            </w:r>
          </w:p>
        </w:tc>
        <w:tc>
          <w:tcPr>
            <w:tcW w:type="dxa" w:w="468"/>
            <w:vAlign w:val="center"/>
          </w:tcPr>
          <w:p>
            <w:r>
              <w:rPr>
                <w:rFonts w:ascii="Arial" w:hAnsi="Arial"/>
                <w:color w:val="000000"/>
                <w:sz w:val="14"/>
              </w:rPr>
              <w:t>10251</w:t>
            </w:r>
          </w:p>
        </w:tc>
        <w:tc>
          <w:tcPr>
            <w:tcW w:type="dxa" w:w="468"/>
            <w:vAlign w:val="center"/>
          </w:tcPr>
          <w:p>
            <w:r>
              <w:rPr>
                <w:rFonts w:ascii="Arial" w:hAnsi="Arial"/>
                <w:color w:val="000000"/>
                <w:sz w:val="14"/>
              </w:rPr>
              <w:t>9642.2</w:t>
            </w:r>
          </w:p>
        </w:tc>
        <w:tc>
          <w:tcPr>
            <w:tcW w:type="dxa" w:w="468"/>
            <w:vAlign w:val="center"/>
          </w:tcPr>
          <w:p>
            <w:r>
              <w:rPr>
                <w:rFonts w:ascii="Arial" w:hAnsi="Arial"/>
                <w:color w:val="000000"/>
                <w:sz w:val="14"/>
              </w:rPr>
              <w:t>10555</w:t>
            </w:r>
          </w:p>
        </w:tc>
        <w:tc>
          <w:tcPr>
            <w:tcW w:type="dxa" w:w="468"/>
            <w:vAlign w:val="center"/>
          </w:tcPr>
          <w:p>
            <w:r>
              <w:rPr>
                <w:rFonts w:ascii="Arial" w:hAnsi="Arial"/>
                <w:color w:val="000000"/>
                <w:sz w:val="14"/>
              </w:rPr>
              <w:t>912.75</w:t>
            </w:r>
          </w:p>
        </w:tc>
        <w:tc>
          <w:tcPr>
            <w:tcW w:type="dxa" w:w="468"/>
            <w:vAlign w:val="center"/>
          </w:tcPr>
          <w:p>
            <w:r>
              <w:rPr>
                <w:rFonts w:ascii="Arial" w:hAnsi="Arial"/>
                <w:color w:val="000000"/>
                <w:sz w:val="14"/>
              </w:rPr>
              <w:t>7313</w:t>
            </w:r>
          </w:p>
        </w:tc>
        <w:tc>
          <w:tcPr>
            <w:tcW w:type="dxa" w:w="468"/>
            <w:vAlign w:val="center"/>
          </w:tcPr>
          <w:p>
            <w:r>
              <w:rPr>
                <w:rFonts w:ascii="Arial" w:hAnsi="Arial"/>
                <w:color w:val="000000"/>
                <w:sz w:val="14"/>
              </w:rPr>
              <w:t>11220</w:t>
            </w:r>
          </w:p>
        </w:tc>
        <w:tc>
          <w:tcPr>
            <w:tcW w:type="dxa" w:w="468"/>
            <w:vAlign w:val="center"/>
          </w:tcPr>
          <w:p>
            <w:r>
              <w:rPr>
                <w:rFonts w:ascii="Arial" w:hAnsi="Arial"/>
                <w:color w:val="000000"/>
                <w:sz w:val="14"/>
              </w:rPr>
              <w:t>-1.1734</w:t>
            </w:r>
          </w:p>
        </w:tc>
        <w:tc>
          <w:tcPr>
            <w:tcW w:type="dxa" w:w="468"/>
            <w:vAlign w:val="center"/>
          </w:tcPr>
          <w:p>
            <w:r>
              <w:rPr>
                <w:rFonts w:ascii="Arial" w:hAnsi="Arial"/>
                <w:color w:val="000000"/>
                <w:sz w:val="14"/>
              </w:rPr>
              <w:t>0.7719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uv_radiation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615.98</w:t>
            </w:r>
          </w:p>
        </w:tc>
        <w:tc>
          <w:tcPr>
            <w:tcW w:type="dxa" w:w="468"/>
            <w:vAlign w:val="center"/>
          </w:tcPr>
          <w:p>
            <w:r>
              <w:rPr>
                <w:rFonts w:ascii="Arial" w:hAnsi="Arial"/>
                <w:color w:val="000000"/>
                <w:sz w:val="14"/>
              </w:rPr>
              <w:t>154.07</w:t>
            </w:r>
          </w:p>
        </w:tc>
        <w:tc>
          <w:tcPr>
            <w:tcW w:type="dxa" w:w="468"/>
            <w:vAlign w:val="center"/>
          </w:tcPr>
          <w:p>
            <w:r>
              <w:rPr>
                <w:rFonts w:ascii="Arial" w:hAnsi="Arial"/>
                <w:color w:val="000000"/>
                <w:sz w:val="14"/>
              </w:rPr>
              <w:t>653.68</w:t>
            </w:r>
          </w:p>
        </w:tc>
        <w:tc>
          <w:tcPr>
            <w:tcW w:type="dxa" w:w="468"/>
            <w:vAlign w:val="center"/>
          </w:tcPr>
          <w:p>
            <w:r>
              <w:rPr>
                <w:rFonts w:ascii="Arial" w:hAnsi="Arial"/>
                <w:color w:val="000000"/>
                <w:sz w:val="14"/>
              </w:rPr>
              <w:t>529.99</w:t>
            </w:r>
          </w:p>
        </w:tc>
        <w:tc>
          <w:tcPr>
            <w:tcW w:type="dxa" w:w="468"/>
            <w:vAlign w:val="center"/>
          </w:tcPr>
          <w:p>
            <w:r>
              <w:rPr>
                <w:rFonts w:ascii="Arial" w:hAnsi="Arial"/>
                <w:color w:val="000000"/>
                <w:sz w:val="14"/>
              </w:rPr>
              <w:t>729.55</w:t>
            </w:r>
          </w:p>
        </w:tc>
        <w:tc>
          <w:tcPr>
            <w:tcW w:type="dxa" w:w="468"/>
            <w:vAlign w:val="center"/>
          </w:tcPr>
          <w:p>
            <w:r>
              <w:rPr>
                <w:rFonts w:ascii="Arial" w:hAnsi="Arial"/>
                <w:color w:val="000000"/>
                <w:sz w:val="14"/>
              </w:rPr>
              <w:t>199.57</w:t>
            </w:r>
          </w:p>
        </w:tc>
        <w:tc>
          <w:tcPr>
            <w:tcW w:type="dxa" w:w="468"/>
            <w:vAlign w:val="center"/>
          </w:tcPr>
          <w:p>
            <w:r>
              <w:rPr>
                <w:rFonts w:ascii="Arial" w:hAnsi="Arial"/>
                <w:color w:val="000000"/>
                <w:sz w:val="14"/>
              </w:rPr>
              <w:t>46.46</w:t>
            </w:r>
          </w:p>
        </w:tc>
        <w:tc>
          <w:tcPr>
            <w:tcW w:type="dxa" w:w="468"/>
            <w:vAlign w:val="center"/>
          </w:tcPr>
          <w:p>
            <w:r>
              <w:rPr>
                <w:rFonts w:ascii="Arial" w:hAnsi="Arial"/>
                <w:color w:val="000000"/>
                <w:sz w:val="14"/>
              </w:rPr>
              <w:t>900.11</w:t>
            </w:r>
          </w:p>
        </w:tc>
        <w:tc>
          <w:tcPr>
            <w:tcW w:type="dxa" w:w="468"/>
            <w:vAlign w:val="center"/>
          </w:tcPr>
          <w:p>
            <w:r>
              <w:rPr>
                <w:rFonts w:ascii="Arial" w:hAnsi="Arial"/>
                <w:color w:val="000000"/>
                <w:sz w:val="14"/>
              </w:rPr>
              <w:t>-0.91361</w:t>
            </w:r>
          </w:p>
        </w:tc>
        <w:tc>
          <w:tcPr>
            <w:tcW w:type="dxa" w:w="468"/>
            <w:vAlign w:val="center"/>
          </w:tcPr>
          <w:p>
            <w:r>
              <w:rPr>
                <w:rFonts w:ascii="Arial" w:hAnsi="Arial"/>
                <w:color w:val="000000"/>
                <w:sz w:val="14"/>
              </w:rPr>
              <w:t>0.33579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pressure_mean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1005.5</w:t>
            </w:r>
          </w:p>
        </w:tc>
        <w:tc>
          <w:tcPr>
            <w:tcW w:type="dxa" w:w="468"/>
            <w:vAlign w:val="center"/>
          </w:tcPr>
          <w:p>
            <w:r>
              <w:rPr>
                <w:rFonts w:ascii="Arial" w:hAnsi="Arial"/>
                <w:color w:val="000000"/>
                <w:sz w:val="14"/>
              </w:rPr>
              <w:t>4.3107</w:t>
            </w:r>
          </w:p>
        </w:tc>
        <w:tc>
          <w:tcPr>
            <w:tcW w:type="dxa" w:w="468"/>
            <w:vAlign w:val="center"/>
          </w:tcPr>
          <w:p>
            <w:r>
              <w:rPr>
                <w:rFonts w:ascii="Arial" w:hAnsi="Arial"/>
                <w:color w:val="000000"/>
                <w:sz w:val="14"/>
              </w:rPr>
              <w:t>1005.6</w:t>
            </w:r>
          </w:p>
        </w:tc>
        <w:tc>
          <w:tcPr>
            <w:tcW w:type="dxa" w:w="468"/>
            <w:vAlign w:val="center"/>
          </w:tcPr>
          <w:p>
            <w:r>
              <w:rPr>
                <w:rFonts w:ascii="Arial" w:hAnsi="Arial"/>
                <w:color w:val="000000"/>
                <w:sz w:val="14"/>
              </w:rPr>
              <w:t>1002.6</w:t>
            </w:r>
          </w:p>
        </w:tc>
        <w:tc>
          <w:tcPr>
            <w:tcW w:type="dxa" w:w="468"/>
            <w:vAlign w:val="center"/>
          </w:tcPr>
          <w:p>
            <w:r>
              <w:rPr>
                <w:rFonts w:ascii="Arial" w:hAnsi="Arial"/>
                <w:color w:val="000000"/>
                <w:sz w:val="14"/>
              </w:rPr>
              <w:t>1008.8</w:t>
            </w:r>
          </w:p>
        </w:tc>
        <w:tc>
          <w:tcPr>
            <w:tcW w:type="dxa" w:w="468"/>
            <w:vAlign w:val="center"/>
          </w:tcPr>
          <w:p>
            <w:r>
              <w:rPr>
                <w:rFonts w:ascii="Arial" w:hAnsi="Arial"/>
                <w:color w:val="000000"/>
                <w:sz w:val="14"/>
              </w:rPr>
              <w:t>6.225</w:t>
            </w:r>
          </w:p>
        </w:tc>
        <w:tc>
          <w:tcPr>
            <w:tcW w:type="dxa" w:w="468"/>
            <w:vAlign w:val="center"/>
          </w:tcPr>
          <w:p>
            <w:r>
              <w:rPr>
                <w:rFonts w:ascii="Arial" w:hAnsi="Arial"/>
                <w:color w:val="000000"/>
                <w:sz w:val="14"/>
              </w:rPr>
              <w:t>987.86</w:t>
            </w:r>
          </w:p>
        </w:tc>
        <w:tc>
          <w:tcPr>
            <w:tcW w:type="dxa" w:w="468"/>
            <w:vAlign w:val="center"/>
          </w:tcPr>
          <w:p>
            <w:r>
              <w:rPr>
                <w:rFonts w:ascii="Arial" w:hAnsi="Arial"/>
                <w:color w:val="000000"/>
                <w:sz w:val="14"/>
              </w:rPr>
              <w:t>1017.1</w:t>
            </w:r>
          </w:p>
        </w:tc>
        <w:tc>
          <w:tcPr>
            <w:tcW w:type="dxa" w:w="468"/>
            <w:vAlign w:val="center"/>
          </w:tcPr>
          <w:p>
            <w:r>
              <w:rPr>
                <w:rFonts w:ascii="Arial" w:hAnsi="Arial"/>
                <w:color w:val="000000"/>
                <w:sz w:val="14"/>
              </w:rPr>
              <w:t>-0.15796</w:t>
            </w:r>
          </w:p>
        </w:tc>
        <w:tc>
          <w:tcPr>
            <w:tcW w:type="dxa" w:w="468"/>
            <w:vAlign w:val="center"/>
          </w:tcPr>
          <w:p>
            <w:r>
              <w:rPr>
                <w:rFonts w:ascii="Arial" w:hAnsi="Arial"/>
                <w:color w:val="000000"/>
                <w:sz w:val="14"/>
              </w:rPr>
              <w:t>-0.27747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evapotranspiration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3.8025</w:t>
            </w:r>
          </w:p>
        </w:tc>
        <w:tc>
          <w:tcPr>
            <w:tcW w:type="dxa" w:w="468"/>
            <w:vAlign w:val="center"/>
          </w:tcPr>
          <w:p>
            <w:r>
              <w:rPr>
                <w:rFonts w:ascii="Arial" w:hAnsi="Arial"/>
                <w:color w:val="000000"/>
                <w:sz w:val="14"/>
              </w:rPr>
              <w:t>0.92646</w:t>
            </w:r>
          </w:p>
        </w:tc>
        <w:tc>
          <w:tcPr>
            <w:tcW w:type="dxa" w:w="468"/>
            <w:vAlign w:val="center"/>
          </w:tcPr>
          <w:p>
            <w:r>
              <w:rPr>
                <w:rFonts w:ascii="Arial" w:hAnsi="Arial"/>
                <w:color w:val="000000"/>
                <w:sz w:val="14"/>
              </w:rPr>
              <w:t>3.7829</w:t>
            </w:r>
          </w:p>
        </w:tc>
        <w:tc>
          <w:tcPr>
            <w:tcW w:type="dxa" w:w="468"/>
            <w:vAlign w:val="center"/>
          </w:tcPr>
          <w:p>
            <w:r>
              <w:rPr>
                <w:rFonts w:ascii="Arial" w:hAnsi="Arial"/>
                <w:color w:val="000000"/>
                <w:sz w:val="14"/>
              </w:rPr>
              <w:t>3.1406</w:t>
            </w:r>
          </w:p>
        </w:tc>
        <w:tc>
          <w:tcPr>
            <w:tcW w:type="dxa" w:w="468"/>
            <w:vAlign w:val="center"/>
          </w:tcPr>
          <w:p>
            <w:r>
              <w:rPr>
                <w:rFonts w:ascii="Arial" w:hAnsi="Arial"/>
                <w:color w:val="000000"/>
                <w:sz w:val="14"/>
              </w:rPr>
              <w:t>4.513</w:t>
            </w:r>
          </w:p>
        </w:tc>
        <w:tc>
          <w:tcPr>
            <w:tcW w:type="dxa" w:w="468"/>
            <w:vAlign w:val="center"/>
          </w:tcPr>
          <w:p>
            <w:r>
              <w:rPr>
                <w:rFonts w:ascii="Arial" w:hAnsi="Arial"/>
                <w:color w:val="000000"/>
                <w:sz w:val="14"/>
              </w:rPr>
              <w:t>1.3723</w:t>
            </w:r>
          </w:p>
        </w:tc>
        <w:tc>
          <w:tcPr>
            <w:tcW w:type="dxa" w:w="468"/>
            <w:vAlign w:val="center"/>
          </w:tcPr>
          <w:p>
            <w:r>
              <w:rPr>
                <w:rFonts w:ascii="Arial" w:hAnsi="Arial"/>
                <w:color w:val="000000"/>
                <w:sz w:val="14"/>
              </w:rPr>
              <w:t>1.0469</w:t>
            </w:r>
          </w:p>
        </w:tc>
        <w:tc>
          <w:tcPr>
            <w:tcW w:type="dxa" w:w="468"/>
            <w:vAlign w:val="center"/>
          </w:tcPr>
          <w:p>
            <w:r>
              <w:rPr>
                <w:rFonts w:ascii="Arial" w:hAnsi="Arial"/>
                <w:color w:val="000000"/>
                <w:sz w:val="14"/>
              </w:rPr>
              <w:t>6.7378</w:t>
            </w:r>
          </w:p>
        </w:tc>
        <w:tc>
          <w:tcPr>
            <w:tcW w:type="dxa" w:w="468"/>
            <w:vAlign w:val="center"/>
          </w:tcPr>
          <w:p>
            <w:r>
              <w:rPr>
                <w:rFonts w:ascii="Arial" w:hAnsi="Arial"/>
                <w:color w:val="000000"/>
                <w:sz w:val="14"/>
              </w:rPr>
              <w:t>-0.057114</w:t>
            </w:r>
          </w:p>
        </w:tc>
        <w:tc>
          <w:tcPr>
            <w:tcW w:type="dxa" w:w="468"/>
            <w:vAlign w:val="center"/>
          </w:tcPr>
          <w:p>
            <w:r>
              <w:rPr>
                <w:rFonts w:ascii="Arial" w:hAnsi="Arial"/>
                <w:color w:val="000000"/>
                <w:sz w:val="14"/>
              </w:rPr>
              <w:t>-0.56504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soil_temperature_mean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28.656</w:t>
            </w:r>
          </w:p>
        </w:tc>
        <w:tc>
          <w:tcPr>
            <w:tcW w:type="dxa" w:w="468"/>
            <w:vAlign w:val="center"/>
          </w:tcPr>
          <w:p>
            <w:r>
              <w:rPr>
                <w:rFonts w:ascii="Arial" w:hAnsi="Arial"/>
                <w:color w:val="000000"/>
                <w:sz w:val="14"/>
              </w:rPr>
              <w:t>2.2149</w:t>
            </w:r>
          </w:p>
        </w:tc>
        <w:tc>
          <w:tcPr>
            <w:tcW w:type="dxa" w:w="468"/>
            <w:vAlign w:val="center"/>
          </w:tcPr>
          <w:p>
            <w:r>
              <w:rPr>
                <w:rFonts w:ascii="Arial" w:hAnsi="Arial"/>
                <w:color w:val="000000"/>
                <w:sz w:val="14"/>
              </w:rPr>
              <w:t>28.856</w:t>
            </w:r>
          </w:p>
        </w:tc>
        <w:tc>
          <w:tcPr>
            <w:tcW w:type="dxa" w:w="468"/>
            <w:vAlign w:val="center"/>
          </w:tcPr>
          <w:p>
            <w:r>
              <w:rPr>
                <w:rFonts w:ascii="Arial" w:hAnsi="Arial"/>
                <w:color w:val="000000"/>
                <w:sz w:val="14"/>
              </w:rPr>
              <w:t>27.385</w:t>
            </w:r>
          </w:p>
        </w:tc>
        <w:tc>
          <w:tcPr>
            <w:tcW w:type="dxa" w:w="468"/>
            <w:vAlign w:val="center"/>
          </w:tcPr>
          <w:p>
            <w:r>
              <w:rPr>
                <w:rFonts w:ascii="Arial" w:hAnsi="Arial"/>
                <w:color w:val="000000"/>
                <w:sz w:val="14"/>
              </w:rPr>
              <w:t>30.188</w:t>
            </w:r>
          </w:p>
        </w:tc>
        <w:tc>
          <w:tcPr>
            <w:tcW w:type="dxa" w:w="468"/>
            <w:vAlign w:val="center"/>
          </w:tcPr>
          <w:p>
            <w:r>
              <w:rPr>
                <w:rFonts w:ascii="Arial" w:hAnsi="Arial"/>
                <w:color w:val="000000"/>
                <w:sz w:val="14"/>
              </w:rPr>
              <w:t>2.8023</w:t>
            </w:r>
          </w:p>
        </w:tc>
        <w:tc>
          <w:tcPr>
            <w:tcW w:type="dxa" w:w="468"/>
            <w:vAlign w:val="center"/>
          </w:tcPr>
          <w:p>
            <w:r>
              <w:rPr>
                <w:rFonts w:ascii="Arial" w:hAnsi="Arial"/>
                <w:color w:val="000000"/>
                <w:sz w:val="14"/>
              </w:rPr>
              <w:t>19.832</w:t>
            </w:r>
          </w:p>
        </w:tc>
        <w:tc>
          <w:tcPr>
            <w:tcW w:type="dxa" w:w="468"/>
            <w:vAlign w:val="center"/>
          </w:tcPr>
          <w:p>
            <w:r>
              <w:rPr>
                <w:rFonts w:ascii="Arial" w:hAnsi="Arial"/>
                <w:color w:val="000000"/>
                <w:sz w:val="14"/>
              </w:rPr>
              <w:t>36.623</w:t>
            </w:r>
          </w:p>
        </w:tc>
        <w:tc>
          <w:tcPr>
            <w:tcW w:type="dxa" w:w="468"/>
            <w:vAlign w:val="center"/>
          </w:tcPr>
          <w:p>
            <w:r>
              <w:rPr>
                <w:rFonts w:ascii="Arial" w:hAnsi="Arial"/>
                <w:color w:val="000000"/>
                <w:sz w:val="14"/>
              </w:rPr>
              <w:t>-0.48382</w:t>
            </w:r>
          </w:p>
        </w:tc>
        <w:tc>
          <w:tcPr>
            <w:tcW w:type="dxa" w:w="468"/>
            <w:vAlign w:val="center"/>
          </w:tcPr>
          <w:p>
            <w:r>
              <w:rPr>
                <w:rFonts w:ascii="Arial" w:hAnsi="Arial"/>
                <w:color w:val="000000"/>
                <w:sz w:val="14"/>
              </w:rPr>
              <w:t>0.30144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soil_moisture_mean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0.30711</w:t>
            </w:r>
          </w:p>
        </w:tc>
        <w:tc>
          <w:tcPr>
            <w:tcW w:type="dxa" w:w="468"/>
            <w:vAlign w:val="center"/>
          </w:tcPr>
          <w:p>
            <w:r>
              <w:rPr>
                <w:rFonts w:ascii="Arial" w:hAnsi="Arial"/>
                <w:color w:val="000000"/>
                <w:sz w:val="14"/>
              </w:rPr>
              <w:t>0.10381</w:t>
            </w:r>
          </w:p>
        </w:tc>
        <w:tc>
          <w:tcPr>
            <w:tcW w:type="dxa" w:w="468"/>
            <w:vAlign w:val="center"/>
          </w:tcPr>
          <w:p>
            <w:r>
              <w:rPr>
                <w:rFonts w:ascii="Arial" w:hAnsi="Arial"/>
                <w:color w:val="000000"/>
                <w:sz w:val="14"/>
              </w:rPr>
              <w:t>0.34258</w:t>
            </w:r>
          </w:p>
        </w:tc>
        <w:tc>
          <w:tcPr>
            <w:tcW w:type="dxa" w:w="468"/>
            <w:vAlign w:val="center"/>
          </w:tcPr>
          <w:p>
            <w:r>
              <w:rPr>
                <w:rFonts w:ascii="Arial" w:hAnsi="Arial"/>
                <w:color w:val="000000"/>
                <w:sz w:val="14"/>
              </w:rPr>
              <w:t>0.1933</w:t>
            </w:r>
          </w:p>
        </w:tc>
        <w:tc>
          <w:tcPr>
            <w:tcW w:type="dxa" w:w="468"/>
            <w:vAlign w:val="center"/>
          </w:tcPr>
          <w:p>
            <w:r>
              <w:rPr>
                <w:rFonts w:ascii="Arial" w:hAnsi="Arial"/>
                <w:color w:val="000000"/>
                <w:sz w:val="14"/>
              </w:rPr>
              <w:t>0.40399</w:t>
            </w:r>
          </w:p>
        </w:tc>
        <w:tc>
          <w:tcPr>
            <w:tcW w:type="dxa" w:w="468"/>
            <w:vAlign w:val="center"/>
          </w:tcPr>
          <w:p>
            <w:r>
              <w:rPr>
                <w:rFonts w:ascii="Arial" w:hAnsi="Arial"/>
                <w:color w:val="000000"/>
                <w:sz w:val="14"/>
              </w:rPr>
              <w:t>0.21069</w:t>
            </w:r>
          </w:p>
        </w:tc>
        <w:tc>
          <w:tcPr>
            <w:tcW w:type="dxa" w:w="468"/>
            <w:vAlign w:val="center"/>
          </w:tcPr>
          <w:p>
            <w:r>
              <w:rPr>
                <w:rFonts w:ascii="Arial" w:hAnsi="Arial"/>
                <w:color w:val="000000"/>
                <w:sz w:val="14"/>
              </w:rPr>
              <w:t>0.12858</w:t>
            </w:r>
          </w:p>
        </w:tc>
        <w:tc>
          <w:tcPr>
            <w:tcW w:type="dxa" w:w="468"/>
            <w:vAlign w:val="center"/>
          </w:tcPr>
          <w:p>
            <w:r>
              <w:rPr>
                <w:rFonts w:ascii="Arial" w:hAnsi="Arial"/>
                <w:color w:val="000000"/>
                <w:sz w:val="14"/>
              </w:rPr>
              <w:t>0.43792</w:t>
            </w:r>
          </w:p>
        </w:tc>
        <w:tc>
          <w:tcPr>
            <w:tcW w:type="dxa" w:w="468"/>
            <w:vAlign w:val="center"/>
          </w:tcPr>
          <w:p>
            <w:r>
              <w:rPr>
                <w:rFonts w:ascii="Arial" w:hAnsi="Arial"/>
                <w:color w:val="000000"/>
                <w:sz w:val="14"/>
              </w:rPr>
              <w:t>-0.38777</w:t>
            </w:r>
          </w:p>
        </w:tc>
        <w:tc>
          <w:tcPr>
            <w:tcW w:type="dxa" w:w="468"/>
            <w:vAlign w:val="center"/>
          </w:tcPr>
          <w:p>
            <w:r>
              <w:rPr>
                <w:rFonts w:ascii="Arial" w:hAnsi="Arial"/>
                <w:color w:val="000000"/>
                <w:sz w:val="14"/>
              </w:rPr>
              <w:t>-1.4519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tmax</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37.2</w:t>
            </w:r>
          </w:p>
        </w:tc>
        <w:tc>
          <w:tcPr>
            <w:tcW w:type="dxa" w:w="468"/>
            <w:vAlign w:val="center"/>
          </w:tcPr>
          <w:p>
            <w:r>
              <w:rPr>
                <w:rFonts w:ascii="Arial" w:hAnsi="Arial"/>
                <w:color w:val="000000"/>
                <w:sz w:val="14"/>
              </w:rPr>
              <w:t>0.90734</w:t>
            </w:r>
          </w:p>
        </w:tc>
        <w:tc>
          <w:tcPr>
            <w:tcW w:type="dxa" w:w="468"/>
            <w:vAlign w:val="center"/>
          </w:tcPr>
          <w:p>
            <w:r>
              <w:rPr>
                <w:rFonts w:ascii="Arial" w:hAnsi="Arial"/>
                <w:color w:val="000000"/>
                <w:sz w:val="14"/>
              </w:rPr>
              <w:t>37.035</w:t>
            </w:r>
          </w:p>
        </w:tc>
        <w:tc>
          <w:tcPr>
            <w:tcW w:type="dxa" w:w="468"/>
            <w:vAlign w:val="center"/>
          </w:tcPr>
          <w:p>
            <w:r>
              <w:rPr>
                <w:rFonts w:ascii="Arial" w:hAnsi="Arial"/>
                <w:color w:val="000000"/>
                <w:sz w:val="14"/>
              </w:rPr>
              <w:t>36.495</w:t>
            </w:r>
          </w:p>
        </w:tc>
        <w:tc>
          <w:tcPr>
            <w:tcW w:type="dxa" w:w="468"/>
            <w:vAlign w:val="center"/>
          </w:tcPr>
          <w:p>
            <w:r>
              <w:rPr>
                <w:rFonts w:ascii="Arial" w:hAnsi="Arial"/>
                <w:color w:val="000000"/>
                <w:sz w:val="14"/>
              </w:rPr>
              <w:t>37.678</w:t>
            </w:r>
          </w:p>
        </w:tc>
        <w:tc>
          <w:tcPr>
            <w:tcW w:type="dxa" w:w="468"/>
            <w:vAlign w:val="center"/>
          </w:tcPr>
          <w:p>
            <w:r>
              <w:rPr>
                <w:rFonts w:ascii="Arial" w:hAnsi="Arial"/>
                <w:color w:val="000000"/>
                <w:sz w:val="14"/>
              </w:rPr>
              <w:t>1.1825</w:t>
            </w:r>
          </w:p>
        </w:tc>
        <w:tc>
          <w:tcPr>
            <w:tcW w:type="dxa" w:w="468"/>
            <w:vAlign w:val="center"/>
          </w:tcPr>
          <w:p>
            <w:r>
              <w:rPr>
                <w:rFonts w:ascii="Arial" w:hAnsi="Arial"/>
                <w:color w:val="000000"/>
                <w:sz w:val="14"/>
              </w:rPr>
              <w:t>36</w:t>
            </w:r>
          </w:p>
        </w:tc>
        <w:tc>
          <w:tcPr>
            <w:tcW w:type="dxa" w:w="468"/>
            <w:vAlign w:val="center"/>
          </w:tcPr>
          <w:p>
            <w:r>
              <w:rPr>
                <w:rFonts w:ascii="Arial" w:hAnsi="Arial"/>
                <w:color w:val="000000"/>
                <w:sz w:val="14"/>
              </w:rPr>
              <w:t>40.2</w:t>
            </w:r>
          </w:p>
        </w:tc>
        <w:tc>
          <w:tcPr>
            <w:tcW w:type="dxa" w:w="468"/>
            <w:vAlign w:val="center"/>
          </w:tcPr>
          <w:p>
            <w:r>
              <w:rPr>
                <w:rFonts w:ascii="Arial" w:hAnsi="Arial"/>
                <w:color w:val="000000"/>
                <w:sz w:val="14"/>
              </w:rPr>
              <w:t>1.0088</w:t>
            </w:r>
          </w:p>
        </w:tc>
        <w:tc>
          <w:tcPr>
            <w:tcW w:type="dxa" w:w="468"/>
            <w:vAlign w:val="center"/>
          </w:tcPr>
          <w:p>
            <w:r>
              <w:rPr>
                <w:rFonts w:ascii="Arial" w:hAnsi="Arial"/>
                <w:color w:val="000000"/>
                <w:sz w:val="14"/>
              </w:rPr>
              <w:t>0.71237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tmin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26.154</w:t>
            </w:r>
          </w:p>
        </w:tc>
        <w:tc>
          <w:tcPr>
            <w:tcW w:type="dxa" w:w="468"/>
            <w:vAlign w:val="center"/>
          </w:tcPr>
          <w:p>
            <w:r>
              <w:rPr>
                <w:rFonts w:ascii="Arial" w:hAnsi="Arial"/>
                <w:color w:val="000000"/>
                <w:sz w:val="14"/>
              </w:rPr>
              <w:t>1.6375</w:t>
            </w:r>
          </w:p>
        </w:tc>
        <w:tc>
          <w:tcPr>
            <w:tcW w:type="dxa" w:w="468"/>
            <w:vAlign w:val="center"/>
          </w:tcPr>
          <w:p>
            <w:r>
              <w:rPr>
                <w:rFonts w:ascii="Arial" w:hAnsi="Arial"/>
                <w:color w:val="000000"/>
                <w:sz w:val="14"/>
              </w:rPr>
              <w:t>26.29</w:t>
            </w:r>
          </w:p>
        </w:tc>
        <w:tc>
          <w:tcPr>
            <w:tcW w:type="dxa" w:w="468"/>
            <w:vAlign w:val="center"/>
          </w:tcPr>
          <w:p>
            <w:r>
              <w:rPr>
                <w:rFonts w:ascii="Arial" w:hAnsi="Arial"/>
                <w:color w:val="000000"/>
                <w:sz w:val="14"/>
              </w:rPr>
              <w:t>25.253</w:t>
            </w:r>
          </w:p>
        </w:tc>
        <w:tc>
          <w:tcPr>
            <w:tcW w:type="dxa" w:w="468"/>
            <w:vAlign w:val="center"/>
          </w:tcPr>
          <w:p>
            <w:r>
              <w:rPr>
                <w:rFonts w:ascii="Arial" w:hAnsi="Arial"/>
                <w:color w:val="000000"/>
                <w:sz w:val="14"/>
              </w:rPr>
              <w:t>27.37</w:t>
            </w:r>
          </w:p>
        </w:tc>
        <w:tc>
          <w:tcPr>
            <w:tcW w:type="dxa" w:w="468"/>
            <w:vAlign w:val="center"/>
          </w:tcPr>
          <w:p>
            <w:r>
              <w:rPr>
                <w:rFonts w:ascii="Arial" w:hAnsi="Arial"/>
                <w:color w:val="000000"/>
                <w:sz w:val="14"/>
              </w:rPr>
              <w:t>2.1175</w:t>
            </w:r>
          </w:p>
        </w:tc>
        <w:tc>
          <w:tcPr>
            <w:tcW w:type="dxa" w:w="468"/>
            <w:vAlign w:val="center"/>
          </w:tcPr>
          <w:p>
            <w:r>
              <w:rPr>
                <w:rFonts w:ascii="Arial" w:hAnsi="Arial"/>
                <w:color w:val="000000"/>
                <w:sz w:val="14"/>
              </w:rPr>
              <w:t>21.05</w:t>
            </w:r>
          </w:p>
        </w:tc>
        <w:tc>
          <w:tcPr>
            <w:tcW w:type="dxa" w:w="468"/>
            <w:vAlign w:val="center"/>
          </w:tcPr>
          <w:p>
            <w:r>
              <w:rPr>
                <w:rFonts w:ascii="Arial" w:hAnsi="Arial"/>
                <w:color w:val="000000"/>
                <w:sz w:val="14"/>
              </w:rPr>
              <w:t>29.29</w:t>
            </w:r>
          </w:p>
        </w:tc>
        <w:tc>
          <w:tcPr>
            <w:tcW w:type="dxa" w:w="468"/>
            <w:vAlign w:val="center"/>
          </w:tcPr>
          <w:p>
            <w:r>
              <w:rPr>
                <w:rFonts w:ascii="Arial" w:hAnsi="Arial"/>
                <w:color w:val="000000"/>
                <w:sz w:val="14"/>
              </w:rPr>
              <w:t>-0.72541</w:t>
            </w:r>
          </w:p>
        </w:tc>
        <w:tc>
          <w:tcPr>
            <w:tcW w:type="dxa" w:w="468"/>
            <w:vAlign w:val="center"/>
          </w:tcPr>
          <w:p>
            <w:r>
              <w:rPr>
                <w:rFonts w:ascii="Arial" w:hAnsi="Arial"/>
                <w:color w:val="000000"/>
                <w:sz w:val="14"/>
              </w:rPr>
              <w:t>0.36107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tmean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31.014</w:t>
            </w:r>
          </w:p>
        </w:tc>
        <w:tc>
          <w:tcPr>
            <w:tcW w:type="dxa" w:w="468"/>
            <w:vAlign w:val="center"/>
          </w:tcPr>
          <w:p>
            <w:r>
              <w:rPr>
                <w:rFonts w:ascii="Arial" w:hAnsi="Arial"/>
                <w:color w:val="000000"/>
                <w:sz w:val="14"/>
              </w:rPr>
              <w:t>1.0271</w:t>
            </w:r>
          </w:p>
        </w:tc>
        <w:tc>
          <w:tcPr>
            <w:tcW w:type="dxa" w:w="468"/>
            <w:vAlign w:val="center"/>
          </w:tcPr>
          <w:p>
            <w:r>
              <w:rPr>
                <w:rFonts w:ascii="Arial" w:hAnsi="Arial"/>
                <w:color w:val="000000"/>
                <w:sz w:val="14"/>
              </w:rPr>
              <w:t>31.025</w:t>
            </w:r>
          </w:p>
        </w:tc>
        <w:tc>
          <w:tcPr>
            <w:tcW w:type="dxa" w:w="468"/>
            <w:vAlign w:val="center"/>
          </w:tcPr>
          <w:p>
            <w:r>
              <w:rPr>
                <w:rFonts w:ascii="Arial" w:hAnsi="Arial"/>
                <w:color w:val="000000"/>
                <w:sz w:val="14"/>
              </w:rPr>
              <w:t>30.265</w:t>
            </w:r>
          </w:p>
        </w:tc>
        <w:tc>
          <w:tcPr>
            <w:tcW w:type="dxa" w:w="468"/>
            <w:vAlign w:val="center"/>
          </w:tcPr>
          <w:p>
            <w:r>
              <w:rPr>
                <w:rFonts w:ascii="Arial" w:hAnsi="Arial"/>
                <w:color w:val="000000"/>
                <w:sz w:val="14"/>
              </w:rPr>
              <w:t>31.71</w:t>
            </w:r>
          </w:p>
        </w:tc>
        <w:tc>
          <w:tcPr>
            <w:tcW w:type="dxa" w:w="468"/>
            <w:vAlign w:val="center"/>
          </w:tcPr>
          <w:p>
            <w:r>
              <w:rPr>
                <w:rFonts w:ascii="Arial" w:hAnsi="Arial"/>
                <w:color w:val="000000"/>
                <w:sz w:val="14"/>
              </w:rPr>
              <w:t>1.4455</w:t>
            </w:r>
          </w:p>
        </w:tc>
        <w:tc>
          <w:tcPr>
            <w:tcW w:type="dxa" w:w="468"/>
            <w:vAlign w:val="center"/>
          </w:tcPr>
          <w:p>
            <w:r>
              <w:rPr>
                <w:rFonts w:ascii="Arial" w:hAnsi="Arial"/>
                <w:color w:val="000000"/>
                <w:sz w:val="14"/>
              </w:rPr>
              <w:t>28.45</w:t>
            </w:r>
          </w:p>
        </w:tc>
        <w:tc>
          <w:tcPr>
            <w:tcW w:type="dxa" w:w="468"/>
            <w:vAlign w:val="center"/>
          </w:tcPr>
          <w:p>
            <w:r>
              <w:rPr>
                <w:rFonts w:ascii="Arial" w:hAnsi="Arial"/>
                <w:color w:val="000000"/>
                <w:sz w:val="14"/>
              </w:rPr>
              <w:t>34.043</w:t>
            </w:r>
          </w:p>
        </w:tc>
        <w:tc>
          <w:tcPr>
            <w:tcW w:type="dxa" w:w="468"/>
            <w:vAlign w:val="center"/>
          </w:tcPr>
          <w:p>
            <w:r>
              <w:rPr>
                <w:rFonts w:ascii="Arial" w:hAnsi="Arial"/>
                <w:color w:val="000000"/>
                <w:sz w:val="14"/>
              </w:rPr>
              <w:t>0.22092</w:t>
            </w:r>
          </w:p>
        </w:tc>
        <w:tc>
          <w:tcPr>
            <w:tcW w:type="dxa" w:w="468"/>
            <w:vAlign w:val="center"/>
          </w:tcPr>
          <w:p>
            <w:r>
              <w:rPr>
                <w:rFonts w:ascii="Arial" w:hAnsi="Arial"/>
                <w:color w:val="000000"/>
                <w:sz w:val="14"/>
              </w:rPr>
              <w:t>0.19055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day_night_range</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11.046</w:t>
            </w:r>
          </w:p>
        </w:tc>
        <w:tc>
          <w:tcPr>
            <w:tcW w:type="dxa" w:w="468"/>
            <w:vAlign w:val="center"/>
          </w:tcPr>
          <w:p>
            <w:r>
              <w:rPr>
                <w:rFonts w:ascii="Arial" w:hAnsi="Arial"/>
                <w:color w:val="000000"/>
                <w:sz w:val="14"/>
              </w:rPr>
              <w:t>1.7202</w:t>
            </w:r>
          </w:p>
        </w:tc>
        <w:tc>
          <w:tcPr>
            <w:tcW w:type="dxa" w:w="468"/>
            <w:vAlign w:val="center"/>
          </w:tcPr>
          <w:p>
            <w:r>
              <w:rPr>
                <w:rFonts w:ascii="Arial" w:hAnsi="Arial"/>
                <w:color w:val="000000"/>
                <w:sz w:val="14"/>
              </w:rPr>
              <w:t>10.85</w:t>
            </w:r>
          </w:p>
        </w:tc>
        <w:tc>
          <w:tcPr>
            <w:tcW w:type="dxa" w:w="468"/>
            <w:vAlign w:val="center"/>
          </w:tcPr>
          <w:p>
            <w:r>
              <w:rPr>
                <w:rFonts w:ascii="Arial" w:hAnsi="Arial"/>
                <w:color w:val="000000"/>
                <w:sz w:val="14"/>
              </w:rPr>
              <w:t>9.78</w:t>
            </w:r>
          </w:p>
        </w:tc>
        <w:tc>
          <w:tcPr>
            <w:tcW w:type="dxa" w:w="468"/>
            <w:vAlign w:val="center"/>
          </w:tcPr>
          <w:p>
            <w:r>
              <w:rPr>
                <w:rFonts w:ascii="Arial" w:hAnsi="Arial"/>
                <w:color w:val="000000"/>
                <w:sz w:val="14"/>
              </w:rPr>
              <w:t>12.155</w:t>
            </w:r>
          </w:p>
        </w:tc>
        <w:tc>
          <w:tcPr>
            <w:tcW w:type="dxa" w:w="468"/>
            <w:vAlign w:val="center"/>
          </w:tcPr>
          <w:p>
            <w:r>
              <w:rPr>
                <w:rFonts w:ascii="Arial" w:hAnsi="Arial"/>
                <w:color w:val="000000"/>
                <w:sz w:val="14"/>
              </w:rPr>
              <w:t>2.375</w:t>
            </w:r>
          </w:p>
        </w:tc>
        <w:tc>
          <w:tcPr>
            <w:tcW w:type="dxa" w:w="468"/>
            <w:vAlign w:val="center"/>
          </w:tcPr>
          <w:p>
            <w:r>
              <w:rPr>
                <w:rFonts w:ascii="Arial" w:hAnsi="Arial"/>
                <w:color w:val="000000"/>
                <w:sz w:val="14"/>
              </w:rPr>
              <w:t>7.79</w:t>
            </w:r>
          </w:p>
        </w:tc>
        <w:tc>
          <w:tcPr>
            <w:tcW w:type="dxa" w:w="468"/>
            <w:vAlign w:val="center"/>
          </w:tcPr>
          <w:p>
            <w:r>
              <w:rPr>
                <w:rFonts w:ascii="Arial" w:hAnsi="Arial"/>
                <w:color w:val="000000"/>
                <w:sz w:val="14"/>
              </w:rPr>
              <w:t>16.35</w:t>
            </w:r>
          </w:p>
        </w:tc>
        <w:tc>
          <w:tcPr>
            <w:tcW w:type="dxa" w:w="468"/>
            <w:vAlign w:val="center"/>
          </w:tcPr>
          <w:p>
            <w:r>
              <w:rPr>
                <w:rFonts w:ascii="Arial" w:hAnsi="Arial"/>
                <w:color w:val="000000"/>
                <w:sz w:val="14"/>
              </w:rPr>
              <w:t>0.45465</w:t>
            </w:r>
          </w:p>
        </w:tc>
        <w:tc>
          <w:tcPr>
            <w:tcW w:type="dxa" w:w="468"/>
            <w:vAlign w:val="center"/>
          </w:tcPr>
          <w:p>
            <w:r>
              <w:rPr>
                <w:rFonts w:ascii="Arial" w:hAnsi="Arial"/>
                <w:color w:val="000000"/>
                <w:sz w:val="14"/>
              </w:rPr>
              <w:t>-0.18576</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precipitation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1.077</w:t>
            </w:r>
          </w:p>
        </w:tc>
        <w:tc>
          <w:tcPr>
            <w:tcW w:type="dxa" w:w="468"/>
            <w:vAlign w:val="center"/>
          </w:tcPr>
          <w:p>
            <w:r>
              <w:rPr>
                <w:rFonts w:ascii="Arial" w:hAnsi="Arial"/>
                <w:color w:val="000000"/>
                <w:sz w:val="14"/>
              </w:rPr>
              <w:t>3.344</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0.375</w:t>
            </w:r>
          </w:p>
        </w:tc>
        <w:tc>
          <w:tcPr>
            <w:tcW w:type="dxa" w:w="468"/>
            <w:vAlign w:val="center"/>
          </w:tcPr>
          <w:p>
            <w:r>
              <w:rPr>
                <w:rFonts w:ascii="Arial" w:hAnsi="Arial"/>
                <w:color w:val="000000"/>
                <w:sz w:val="14"/>
              </w:rPr>
              <w:t>0.375</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27.9</w:t>
            </w:r>
          </w:p>
        </w:tc>
        <w:tc>
          <w:tcPr>
            <w:tcW w:type="dxa" w:w="468"/>
            <w:vAlign w:val="center"/>
          </w:tcPr>
          <w:p>
            <w:r>
              <w:rPr>
                <w:rFonts w:ascii="Arial" w:hAnsi="Arial"/>
                <w:color w:val="000000"/>
                <w:sz w:val="14"/>
              </w:rPr>
              <w:t>4.6878</w:t>
            </w:r>
          </w:p>
        </w:tc>
        <w:tc>
          <w:tcPr>
            <w:tcW w:type="dxa" w:w="468"/>
            <w:vAlign w:val="center"/>
          </w:tcPr>
          <w:p>
            <w:r>
              <w:rPr>
                <w:rFonts w:ascii="Arial" w:hAnsi="Arial"/>
                <w:color w:val="000000"/>
                <w:sz w:val="14"/>
              </w:rPr>
              <w:t>25.365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rh_mean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66.958</w:t>
            </w:r>
          </w:p>
        </w:tc>
        <w:tc>
          <w:tcPr>
            <w:tcW w:type="dxa" w:w="468"/>
            <w:vAlign w:val="center"/>
          </w:tcPr>
          <w:p>
            <w:r>
              <w:rPr>
                <w:rFonts w:ascii="Arial" w:hAnsi="Arial"/>
                <w:color w:val="000000"/>
                <w:sz w:val="14"/>
              </w:rPr>
              <w:t>6.7757</w:t>
            </w:r>
          </w:p>
        </w:tc>
        <w:tc>
          <w:tcPr>
            <w:tcW w:type="dxa" w:w="468"/>
            <w:vAlign w:val="center"/>
          </w:tcPr>
          <w:p>
            <w:r>
              <w:rPr>
                <w:rFonts w:ascii="Arial" w:hAnsi="Arial"/>
                <w:color w:val="000000"/>
                <w:sz w:val="14"/>
              </w:rPr>
              <w:t>68.305</w:t>
            </w:r>
          </w:p>
        </w:tc>
        <w:tc>
          <w:tcPr>
            <w:tcW w:type="dxa" w:w="468"/>
            <w:vAlign w:val="center"/>
          </w:tcPr>
          <w:p>
            <w:r>
              <w:rPr>
                <w:rFonts w:ascii="Arial" w:hAnsi="Arial"/>
                <w:color w:val="000000"/>
                <w:sz w:val="14"/>
              </w:rPr>
              <w:t>63.189</w:t>
            </w:r>
          </w:p>
        </w:tc>
        <w:tc>
          <w:tcPr>
            <w:tcW w:type="dxa" w:w="468"/>
            <w:vAlign w:val="center"/>
          </w:tcPr>
          <w:p>
            <w:r>
              <w:rPr>
                <w:rFonts w:ascii="Arial" w:hAnsi="Arial"/>
                <w:color w:val="000000"/>
                <w:sz w:val="14"/>
              </w:rPr>
              <w:t>71.903</w:t>
            </w:r>
          </w:p>
        </w:tc>
        <w:tc>
          <w:tcPr>
            <w:tcW w:type="dxa" w:w="468"/>
            <w:vAlign w:val="center"/>
          </w:tcPr>
          <w:p>
            <w:r>
              <w:rPr>
                <w:rFonts w:ascii="Arial" w:hAnsi="Arial"/>
                <w:color w:val="000000"/>
                <w:sz w:val="14"/>
              </w:rPr>
              <w:t>8.714</w:t>
            </w:r>
          </w:p>
        </w:tc>
        <w:tc>
          <w:tcPr>
            <w:tcW w:type="dxa" w:w="468"/>
            <w:vAlign w:val="center"/>
          </w:tcPr>
          <w:p>
            <w:r>
              <w:rPr>
                <w:rFonts w:ascii="Arial" w:hAnsi="Arial"/>
                <w:color w:val="000000"/>
                <w:sz w:val="14"/>
              </w:rPr>
              <w:t>45.884</w:t>
            </w:r>
          </w:p>
        </w:tc>
        <w:tc>
          <w:tcPr>
            <w:tcW w:type="dxa" w:w="468"/>
            <w:vAlign w:val="center"/>
          </w:tcPr>
          <w:p>
            <w:r>
              <w:rPr>
                <w:rFonts w:ascii="Arial" w:hAnsi="Arial"/>
                <w:color w:val="000000"/>
                <w:sz w:val="14"/>
              </w:rPr>
              <w:t>82.836</w:t>
            </w:r>
          </w:p>
        </w:tc>
        <w:tc>
          <w:tcPr>
            <w:tcW w:type="dxa" w:w="468"/>
            <w:vAlign w:val="center"/>
          </w:tcPr>
          <w:p>
            <w:r>
              <w:rPr>
                <w:rFonts w:ascii="Arial" w:hAnsi="Arial"/>
                <w:color w:val="000000"/>
                <w:sz w:val="14"/>
              </w:rPr>
              <w:t>-0.75896</w:t>
            </w:r>
          </w:p>
        </w:tc>
        <w:tc>
          <w:tcPr>
            <w:tcW w:type="dxa" w:w="468"/>
            <w:vAlign w:val="center"/>
          </w:tcPr>
          <w:p>
            <w:r>
              <w:rPr>
                <w:rFonts w:ascii="Arial" w:hAnsi="Arial"/>
                <w:color w:val="000000"/>
                <w:sz w:val="14"/>
              </w:rPr>
              <w:t>0.27697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wind_speed_mean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7.0946</w:t>
            </w:r>
          </w:p>
        </w:tc>
        <w:tc>
          <w:tcPr>
            <w:tcW w:type="dxa" w:w="468"/>
            <w:vAlign w:val="center"/>
          </w:tcPr>
          <w:p>
            <w:r>
              <w:rPr>
                <w:rFonts w:ascii="Arial" w:hAnsi="Arial"/>
                <w:color w:val="000000"/>
                <w:sz w:val="14"/>
              </w:rPr>
              <w:t>3.6878</w:t>
            </w:r>
          </w:p>
        </w:tc>
        <w:tc>
          <w:tcPr>
            <w:tcW w:type="dxa" w:w="468"/>
            <w:vAlign w:val="center"/>
          </w:tcPr>
          <w:p>
            <w:r>
              <w:rPr>
                <w:rFonts w:ascii="Arial" w:hAnsi="Arial"/>
                <w:color w:val="000000"/>
                <w:sz w:val="14"/>
              </w:rPr>
              <w:t>6.8778</w:t>
            </w:r>
          </w:p>
        </w:tc>
        <w:tc>
          <w:tcPr>
            <w:tcW w:type="dxa" w:w="468"/>
            <w:vAlign w:val="center"/>
          </w:tcPr>
          <w:p>
            <w:r>
              <w:rPr>
                <w:rFonts w:ascii="Arial" w:hAnsi="Arial"/>
                <w:color w:val="000000"/>
                <w:sz w:val="14"/>
              </w:rPr>
              <w:t>4.3944</w:t>
            </w:r>
          </w:p>
        </w:tc>
        <w:tc>
          <w:tcPr>
            <w:tcW w:type="dxa" w:w="468"/>
            <w:vAlign w:val="center"/>
          </w:tcPr>
          <w:p>
            <w:r>
              <w:rPr>
                <w:rFonts w:ascii="Arial" w:hAnsi="Arial"/>
                <w:color w:val="000000"/>
                <w:sz w:val="14"/>
              </w:rPr>
              <w:t>9.6464</w:t>
            </w:r>
          </w:p>
        </w:tc>
        <w:tc>
          <w:tcPr>
            <w:tcW w:type="dxa" w:w="468"/>
            <w:vAlign w:val="center"/>
          </w:tcPr>
          <w:p>
            <w:r>
              <w:rPr>
                <w:rFonts w:ascii="Arial" w:hAnsi="Arial"/>
                <w:color w:val="000000"/>
                <w:sz w:val="14"/>
              </w:rPr>
              <w:t>5.252</w:t>
            </w:r>
          </w:p>
        </w:tc>
        <w:tc>
          <w:tcPr>
            <w:tcW w:type="dxa" w:w="468"/>
            <w:vAlign w:val="center"/>
          </w:tcPr>
          <w:p>
            <w:r>
              <w:rPr>
                <w:rFonts w:ascii="Arial" w:hAnsi="Arial"/>
                <w:color w:val="000000"/>
                <w:sz w:val="14"/>
              </w:rPr>
              <w:t>0.36</w:t>
            </w:r>
          </w:p>
        </w:tc>
        <w:tc>
          <w:tcPr>
            <w:tcW w:type="dxa" w:w="468"/>
            <w:vAlign w:val="center"/>
          </w:tcPr>
          <w:p>
            <w:r>
              <w:rPr>
                <w:rFonts w:ascii="Arial" w:hAnsi="Arial"/>
                <w:color w:val="000000"/>
                <w:sz w:val="14"/>
              </w:rPr>
              <w:t>20.008</w:t>
            </w:r>
          </w:p>
        </w:tc>
        <w:tc>
          <w:tcPr>
            <w:tcW w:type="dxa" w:w="468"/>
            <w:vAlign w:val="center"/>
          </w:tcPr>
          <w:p>
            <w:r>
              <w:rPr>
                <w:rFonts w:ascii="Arial" w:hAnsi="Arial"/>
                <w:color w:val="000000"/>
                <w:sz w:val="14"/>
              </w:rPr>
              <w:t>0.48014</w:t>
            </w:r>
          </w:p>
        </w:tc>
        <w:tc>
          <w:tcPr>
            <w:tcW w:type="dxa" w:w="468"/>
            <w:vAlign w:val="center"/>
          </w:tcPr>
          <w:p>
            <w:r>
              <w:rPr>
                <w:rFonts w:ascii="Arial" w:hAnsi="Arial"/>
                <w:color w:val="000000"/>
                <w:sz w:val="14"/>
              </w:rPr>
              <w:t>-0.036137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cloud_cover</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17.815</w:t>
            </w:r>
          </w:p>
        </w:tc>
        <w:tc>
          <w:tcPr>
            <w:tcW w:type="dxa" w:w="468"/>
            <w:vAlign w:val="center"/>
          </w:tcPr>
          <w:p>
            <w:r>
              <w:rPr>
                <w:rFonts w:ascii="Arial" w:hAnsi="Arial"/>
                <w:color w:val="000000"/>
                <w:sz w:val="14"/>
              </w:rPr>
              <w:t>12.161</w:t>
            </w:r>
          </w:p>
        </w:tc>
        <w:tc>
          <w:tcPr>
            <w:tcW w:type="dxa" w:w="468"/>
            <w:vAlign w:val="center"/>
          </w:tcPr>
          <w:p>
            <w:r>
              <w:rPr>
                <w:rFonts w:ascii="Arial" w:hAnsi="Arial"/>
                <w:color w:val="000000"/>
                <w:sz w:val="14"/>
              </w:rPr>
              <w:t>17.204</w:t>
            </w:r>
          </w:p>
        </w:tc>
        <w:tc>
          <w:tcPr>
            <w:tcW w:type="dxa" w:w="468"/>
            <w:vAlign w:val="center"/>
          </w:tcPr>
          <w:p>
            <w:r>
              <w:rPr>
                <w:rFonts w:ascii="Arial" w:hAnsi="Arial"/>
                <w:color w:val="000000"/>
                <w:sz w:val="14"/>
              </w:rPr>
              <w:t>8.5656</w:t>
            </w:r>
          </w:p>
        </w:tc>
        <w:tc>
          <w:tcPr>
            <w:tcW w:type="dxa" w:w="468"/>
            <w:vAlign w:val="center"/>
          </w:tcPr>
          <w:p>
            <w:r>
              <w:rPr>
                <w:rFonts w:ascii="Arial" w:hAnsi="Arial"/>
                <w:color w:val="000000"/>
                <w:sz w:val="14"/>
              </w:rPr>
              <w:t>24.154</w:t>
            </w:r>
          </w:p>
        </w:tc>
        <w:tc>
          <w:tcPr>
            <w:tcW w:type="dxa" w:w="468"/>
            <w:vAlign w:val="center"/>
          </w:tcPr>
          <w:p>
            <w:r>
              <w:rPr>
                <w:rFonts w:ascii="Arial" w:hAnsi="Arial"/>
                <w:color w:val="000000"/>
                <w:sz w:val="14"/>
              </w:rPr>
              <w:t>15.589</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60.75</w:t>
            </w:r>
          </w:p>
        </w:tc>
        <w:tc>
          <w:tcPr>
            <w:tcW w:type="dxa" w:w="468"/>
            <w:vAlign w:val="center"/>
          </w:tcPr>
          <w:p>
            <w:r>
              <w:rPr>
                <w:rFonts w:ascii="Arial" w:hAnsi="Arial"/>
                <w:color w:val="000000"/>
                <w:sz w:val="14"/>
              </w:rPr>
              <w:t>1.0438</w:t>
            </w:r>
          </w:p>
        </w:tc>
        <w:tc>
          <w:tcPr>
            <w:tcW w:type="dxa" w:w="468"/>
            <w:vAlign w:val="center"/>
          </w:tcPr>
          <w:p>
            <w:r>
              <w:rPr>
                <w:rFonts w:ascii="Arial" w:hAnsi="Arial"/>
                <w:color w:val="000000"/>
                <w:sz w:val="14"/>
              </w:rPr>
              <w:t>1.5645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sunshine_duration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624.82</w:t>
            </w:r>
          </w:p>
        </w:tc>
        <w:tc>
          <w:tcPr>
            <w:tcW w:type="dxa" w:w="468"/>
            <w:vAlign w:val="center"/>
          </w:tcPr>
          <w:p>
            <w:r>
              <w:rPr>
                <w:rFonts w:ascii="Arial" w:hAnsi="Arial"/>
                <w:color w:val="000000"/>
                <w:sz w:val="14"/>
              </w:rPr>
              <w:t>101.1</w:t>
            </w:r>
          </w:p>
        </w:tc>
        <w:tc>
          <w:tcPr>
            <w:tcW w:type="dxa" w:w="468"/>
            <w:vAlign w:val="center"/>
          </w:tcPr>
          <w:p>
            <w:r>
              <w:rPr>
                <w:rFonts w:ascii="Arial" w:hAnsi="Arial"/>
                <w:color w:val="000000"/>
                <w:sz w:val="14"/>
              </w:rPr>
              <w:t>634.63</w:t>
            </w:r>
          </w:p>
        </w:tc>
        <w:tc>
          <w:tcPr>
            <w:tcW w:type="dxa" w:w="468"/>
            <w:vAlign w:val="center"/>
          </w:tcPr>
          <w:p>
            <w:r>
              <w:rPr>
                <w:rFonts w:ascii="Arial" w:hAnsi="Arial"/>
                <w:color w:val="000000"/>
                <w:sz w:val="14"/>
              </w:rPr>
              <w:t>577.41</w:t>
            </w:r>
          </w:p>
        </w:tc>
        <w:tc>
          <w:tcPr>
            <w:tcW w:type="dxa" w:w="468"/>
            <w:vAlign w:val="center"/>
          </w:tcPr>
          <w:p>
            <w:r>
              <w:rPr>
                <w:rFonts w:ascii="Arial" w:hAnsi="Arial"/>
                <w:color w:val="000000"/>
                <w:sz w:val="14"/>
              </w:rPr>
              <w:t>697.4</w:t>
            </w:r>
          </w:p>
        </w:tc>
        <w:tc>
          <w:tcPr>
            <w:tcW w:type="dxa" w:w="468"/>
            <w:vAlign w:val="center"/>
          </w:tcPr>
          <w:p>
            <w:r>
              <w:rPr>
                <w:rFonts w:ascii="Arial" w:hAnsi="Arial"/>
                <w:color w:val="000000"/>
                <w:sz w:val="14"/>
              </w:rPr>
              <w:t>120</w:t>
            </w:r>
          </w:p>
        </w:tc>
        <w:tc>
          <w:tcPr>
            <w:tcW w:type="dxa" w:w="468"/>
            <w:vAlign w:val="center"/>
          </w:tcPr>
          <w:p>
            <w:r>
              <w:rPr>
                <w:rFonts w:ascii="Arial" w:hAnsi="Arial"/>
                <w:color w:val="000000"/>
                <w:sz w:val="14"/>
              </w:rPr>
              <w:t>212.88</w:t>
            </w:r>
          </w:p>
        </w:tc>
        <w:tc>
          <w:tcPr>
            <w:tcW w:type="dxa" w:w="468"/>
            <w:vAlign w:val="center"/>
          </w:tcPr>
          <w:p>
            <w:r>
              <w:rPr>
                <w:rFonts w:ascii="Arial" w:hAnsi="Arial"/>
                <w:color w:val="000000"/>
                <w:sz w:val="14"/>
              </w:rPr>
              <w:t>811.8</w:t>
            </w:r>
          </w:p>
        </w:tc>
        <w:tc>
          <w:tcPr>
            <w:tcW w:type="dxa" w:w="468"/>
            <w:vAlign w:val="center"/>
          </w:tcPr>
          <w:p>
            <w:r>
              <w:rPr>
                <w:rFonts w:ascii="Arial" w:hAnsi="Arial"/>
                <w:color w:val="000000"/>
                <w:sz w:val="14"/>
              </w:rPr>
              <w:t>-1.0419</w:t>
            </w:r>
          </w:p>
        </w:tc>
        <w:tc>
          <w:tcPr>
            <w:tcW w:type="dxa" w:w="468"/>
            <w:vAlign w:val="center"/>
          </w:tcPr>
          <w:p>
            <w:r>
              <w:rPr>
                <w:rFonts w:ascii="Arial" w:hAnsi="Arial"/>
                <w:color w:val="000000"/>
                <w:sz w:val="14"/>
              </w:rPr>
              <w:t>1.8976</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shortwave_radiation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6724.6</w:t>
            </w:r>
          </w:p>
        </w:tc>
        <w:tc>
          <w:tcPr>
            <w:tcW w:type="dxa" w:w="468"/>
            <w:vAlign w:val="center"/>
          </w:tcPr>
          <w:p>
            <w:r>
              <w:rPr>
                <w:rFonts w:ascii="Arial" w:hAnsi="Arial"/>
                <w:color w:val="000000"/>
                <w:sz w:val="14"/>
              </w:rPr>
              <w:t>548.04</w:t>
            </w:r>
          </w:p>
        </w:tc>
        <w:tc>
          <w:tcPr>
            <w:tcW w:type="dxa" w:w="468"/>
            <w:vAlign w:val="center"/>
          </w:tcPr>
          <w:p>
            <w:r>
              <w:rPr>
                <w:rFonts w:ascii="Arial" w:hAnsi="Arial"/>
                <w:color w:val="000000"/>
                <w:sz w:val="14"/>
              </w:rPr>
              <w:t>6800</w:t>
            </w:r>
          </w:p>
        </w:tc>
        <w:tc>
          <w:tcPr>
            <w:tcW w:type="dxa" w:w="468"/>
            <w:vAlign w:val="center"/>
          </w:tcPr>
          <w:p>
            <w:r>
              <w:rPr>
                <w:rFonts w:ascii="Arial" w:hAnsi="Arial"/>
                <w:color w:val="000000"/>
                <w:sz w:val="14"/>
              </w:rPr>
              <w:t>6456.2</w:t>
            </w:r>
          </w:p>
        </w:tc>
        <w:tc>
          <w:tcPr>
            <w:tcW w:type="dxa" w:w="468"/>
            <w:vAlign w:val="center"/>
          </w:tcPr>
          <w:p>
            <w:r>
              <w:rPr>
                <w:rFonts w:ascii="Arial" w:hAnsi="Arial"/>
                <w:color w:val="000000"/>
                <w:sz w:val="14"/>
              </w:rPr>
              <w:t>7087.5</w:t>
            </w:r>
          </w:p>
        </w:tc>
        <w:tc>
          <w:tcPr>
            <w:tcW w:type="dxa" w:w="468"/>
            <w:vAlign w:val="center"/>
          </w:tcPr>
          <w:p>
            <w:r>
              <w:rPr>
                <w:rFonts w:ascii="Arial" w:hAnsi="Arial"/>
                <w:color w:val="000000"/>
                <w:sz w:val="14"/>
              </w:rPr>
              <w:t>631.25</w:t>
            </w:r>
          </w:p>
        </w:tc>
        <w:tc>
          <w:tcPr>
            <w:tcW w:type="dxa" w:w="468"/>
            <w:vAlign w:val="center"/>
          </w:tcPr>
          <w:p>
            <w:r>
              <w:rPr>
                <w:rFonts w:ascii="Arial" w:hAnsi="Arial"/>
                <w:color w:val="000000"/>
                <w:sz w:val="14"/>
              </w:rPr>
              <w:t>4090</w:t>
            </w:r>
          </w:p>
        </w:tc>
        <w:tc>
          <w:tcPr>
            <w:tcW w:type="dxa" w:w="468"/>
            <w:vAlign w:val="center"/>
          </w:tcPr>
          <w:p>
            <w:r>
              <w:rPr>
                <w:rFonts w:ascii="Arial" w:hAnsi="Arial"/>
                <w:color w:val="000000"/>
                <w:sz w:val="14"/>
              </w:rPr>
              <w:t>7991</w:t>
            </w:r>
          </w:p>
        </w:tc>
        <w:tc>
          <w:tcPr>
            <w:tcW w:type="dxa" w:w="468"/>
            <w:vAlign w:val="center"/>
          </w:tcPr>
          <w:p>
            <w:r>
              <w:rPr>
                <w:rFonts w:ascii="Arial" w:hAnsi="Arial"/>
                <w:color w:val="000000"/>
                <w:sz w:val="14"/>
              </w:rPr>
              <w:t>-1.2964</w:t>
            </w:r>
          </w:p>
        </w:tc>
        <w:tc>
          <w:tcPr>
            <w:tcW w:type="dxa" w:w="468"/>
            <w:vAlign w:val="center"/>
          </w:tcPr>
          <w:p>
            <w:r>
              <w:rPr>
                <w:rFonts w:ascii="Arial" w:hAnsi="Arial"/>
                <w:color w:val="000000"/>
                <w:sz w:val="14"/>
              </w:rPr>
              <w:t>3.8575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longwave_radiation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10043</w:t>
            </w:r>
          </w:p>
        </w:tc>
        <w:tc>
          <w:tcPr>
            <w:tcW w:type="dxa" w:w="468"/>
            <w:vAlign w:val="center"/>
          </w:tcPr>
          <w:p>
            <w:r>
              <w:rPr>
                <w:rFonts w:ascii="Arial" w:hAnsi="Arial"/>
                <w:color w:val="000000"/>
                <w:sz w:val="14"/>
              </w:rPr>
              <w:t>464.1</w:t>
            </w:r>
          </w:p>
        </w:tc>
        <w:tc>
          <w:tcPr>
            <w:tcW w:type="dxa" w:w="468"/>
            <w:vAlign w:val="center"/>
          </w:tcPr>
          <w:p>
            <w:r>
              <w:rPr>
                <w:rFonts w:ascii="Arial" w:hAnsi="Arial"/>
                <w:color w:val="000000"/>
                <w:sz w:val="14"/>
              </w:rPr>
              <w:t>10120</w:t>
            </w:r>
          </w:p>
        </w:tc>
        <w:tc>
          <w:tcPr>
            <w:tcW w:type="dxa" w:w="468"/>
            <w:vAlign w:val="center"/>
          </w:tcPr>
          <w:p>
            <w:r>
              <w:rPr>
                <w:rFonts w:ascii="Arial" w:hAnsi="Arial"/>
                <w:color w:val="000000"/>
                <w:sz w:val="14"/>
              </w:rPr>
              <w:t>9717.8</w:t>
            </w:r>
          </w:p>
        </w:tc>
        <w:tc>
          <w:tcPr>
            <w:tcW w:type="dxa" w:w="468"/>
            <w:vAlign w:val="center"/>
          </w:tcPr>
          <w:p>
            <w:r>
              <w:rPr>
                <w:rFonts w:ascii="Arial" w:hAnsi="Arial"/>
                <w:color w:val="000000"/>
                <w:sz w:val="14"/>
              </w:rPr>
              <w:t>10410</w:t>
            </w:r>
          </w:p>
        </w:tc>
        <w:tc>
          <w:tcPr>
            <w:tcW w:type="dxa" w:w="468"/>
            <w:vAlign w:val="center"/>
          </w:tcPr>
          <w:p>
            <w:r>
              <w:rPr>
                <w:rFonts w:ascii="Arial" w:hAnsi="Arial"/>
                <w:color w:val="000000"/>
                <w:sz w:val="14"/>
              </w:rPr>
              <w:t>692.75</w:t>
            </w:r>
          </w:p>
        </w:tc>
        <w:tc>
          <w:tcPr>
            <w:tcW w:type="dxa" w:w="468"/>
            <w:vAlign w:val="center"/>
          </w:tcPr>
          <w:p>
            <w:r>
              <w:rPr>
                <w:rFonts w:ascii="Arial" w:hAnsi="Arial"/>
                <w:color w:val="000000"/>
                <w:sz w:val="14"/>
              </w:rPr>
              <w:t>8817</w:t>
            </w:r>
          </w:p>
        </w:tc>
        <w:tc>
          <w:tcPr>
            <w:tcW w:type="dxa" w:w="468"/>
            <w:vAlign w:val="center"/>
          </w:tcPr>
          <w:p>
            <w:r>
              <w:rPr>
                <w:rFonts w:ascii="Arial" w:hAnsi="Arial"/>
                <w:color w:val="000000"/>
                <w:sz w:val="14"/>
              </w:rPr>
              <w:t>10958</w:t>
            </w:r>
          </w:p>
        </w:tc>
        <w:tc>
          <w:tcPr>
            <w:tcW w:type="dxa" w:w="468"/>
            <w:vAlign w:val="center"/>
          </w:tcPr>
          <w:p>
            <w:r>
              <w:rPr>
                <w:rFonts w:ascii="Arial" w:hAnsi="Arial"/>
                <w:color w:val="000000"/>
                <w:sz w:val="14"/>
              </w:rPr>
              <w:t>-0.38282</w:t>
            </w:r>
          </w:p>
        </w:tc>
        <w:tc>
          <w:tcPr>
            <w:tcW w:type="dxa" w:w="468"/>
            <w:vAlign w:val="center"/>
          </w:tcPr>
          <w:p>
            <w:r>
              <w:rPr>
                <w:rFonts w:ascii="Arial" w:hAnsi="Arial"/>
                <w:color w:val="000000"/>
                <w:sz w:val="14"/>
              </w:rPr>
              <w:t>-0.654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uv_radiation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780.73</w:t>
            </w:r>
          </w:p>
        </w:tc>
        <w:tc>
          <w:tcPr>
            <w:tcW w:type="dxa" w:w="468"/>
            <w:vAlign w:val="center"/>
          </w:tcPr>
          <w:p>
            <w:r>
              <w:rPr>
                <w:rFonts w:ascii="Arial" w:hAnsi="Arial"/>
                <w:color w:val="000000"/>
                <w:sz w:val="14"/>
              </w:rPr>
              <w:t>57.249</w:t>
            </w:r>
          </w:p>
        </w:tc>
        <w:tc>
          <w:tcPr>
            <w:tcW w:type="dxa" w:w="468"/>
            <w:vAlign w:val="center"/>
          </w:tcPr>
          <w:p>
            <w:r>
              <w:rPr>
                <w:rFonts w:ascii="Arial" w:hAnsi="Arial"/>
                <w:color w:val="000000"/>
                <w:sz w:val="14"/>
              </w:rPr>
              <w:t>789.03</w:t>
            </w:r>
          </w:p>
        </w:tc>
        <w:tc>
          <w:tcPr>
            <w:tcW w:type="dxa" w:w="468"/>
            <w:vAlign w:val="center"/>
          </w:tcPr>
          <w:p>
            <w:r>
              <w:rPr>
                <w:rFonts w:ascii="Arial" w:hAnsi="Arial"/>
                <w:color w:val="000000"/>
                <w:sz w:val="14"/>
              </w:rPr>
              <w:t>754.2</w:t>
            </w:r>
          </w:p>
        </w:tc>
        <w:tc>
          <w:tcPr>
            <w:tcW w:type="dxa" w:w="468"/>
            <w:vAlign w:val="center"/>
          </w:tcPr>
          <w:p>
            <w:r>
              <w:rPr>
                <w:rFonts w:ascii="Arial" w:hAnsi="Arial"/>
                <w:color w:val="000000"/>
                <w:sz w:val="14"/>
              </w:rPr>
              <w:t>814.32</w:t>
            </w:r>
          </w:p>
        </w:tc>
        <w:tc>
          <w:tcPr>
            <w:tcW w:type="dxa" w:w="468"/>
            <w:vAlign w:val="center"/>
          </w:tcPr>
          <w:p>
            <w:r>
              <w:rPr>
                <w:rFonts w:ascii="Arial" w:hAnsi="Arial"/>
                <w:color w:val="000000"/>
                <w:sz w:val="14"/>
              </w:rPr>
              <w:t>60.125</w:t>
            </w:r>
          </w:p>
        </w:tc>
        <w:tc>
          <w:tcPr>
            <w:tcW w:type="dxa" w:w="468"/>
            <w:vAlign w:val="center"/>
          </w:tcPr>
          <w:p>
            <w:r>
              <w:rPr>
                <w:rFonts w:ascii="Arial" w:hAnsi="Arial"/>
                <w:color w:val="000000"/>
                <w:sz w:val="14"/>
              </w:rPr>
              <w:t>459.76</w:t>
            </w:r>
          </w:p>
        </w:tc>
        <w:tc>
          <w:tcPr>
            <w:tcW w:type="dxa" w:w="468"/>
            <w:vAlign w:val="center"/>
          </w:tcPr>
          <w:p>
            <w:r>
              <w:rPr>
                <w:rFonts w:ascii="Arial" w:hAnsi="Arial"/>
                <w:color w:val="000000"/>
                <w:sz w:val="14"/>
              </w:rPr>
              <w:t>900.11</w:t>
            </w:r>
          </w:p>
        </w:tc>
        <w:tc>
          <w:tcPr>
            <w:tcW w:type="dxa" w:w="468"/>
            <w:vAlign w:val="center"/>
          </w:tcPr>
          <w:p>
            <w:r>
              <w:rPr>
                <w:rFonts w:ascii="Arial" w:hAnsi="Arial"/>
                <w:color w:val="000000"/>
                <w:sz w:val="14"/>
              </w:rPr>
              <w:t>-1.6434</w:t>
            </w:r>
          </w:p>
        </w:tc>
        <w:tc>
          <w:tcPr>
            <w:tcW w:type="dxa" w:w="468"/>
            <w:vAlign w:val="center"/>
          </w:tcPr>
          <w:p>
            <w:r>
              <w:rPr>
                <w:rFonts w:ascii="Arial" w:hAnsi="Arial"/>
                <w:color w:val="000000"/>
                <w:sz w:val="14"/>
              </w:rPr>
              <w:t>6.0304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pressure_mean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1004.7</w:t>
            </w:r>
          </w:p>
        </w:tc>
        <w:tc>
          <w:tcPr>
            <w:tcW w:type="dxa" w:w="468"/>
            <w:vAlign w:val="center"/>
          </w:tcPr>
          <w:p>
            <w:r>
              <w:rPr>
                <w:rFonts w:ascii="Arial" w:hAnsi="Arial"/>
                <w:color w:val="000000"/>
                <w:sz w:val="14"/>
              </w:rPr>
              <w:t>2.5456</w:t>
            </w:r>
          </w:p>
        </w:tc>
        <w:tc>
          <w:tcPr>
            <w:tcW w:type="dxa" w:w="468"/>
            <w:vAlign w:val="center"/>
          </w:tcPr>
          <w:p>
            <w:r>
              <w:rPr>
                <w:rFonts w:ascii="Arial" w:hAnsi="Arial"/>
                <w:color w:val="000000"/>
                <w:sz w:val="14"/>
              </w:rPr>
              <w:t>1004.8</w:t>
            </w:r>
          </w:p>
        </w:tc>
        <w:tc>
          <w:tcPr>
            <w:tcW w:type="dxa" w:w="468"/>
            <w:vAlign w:val="center"/>
          </w:tcPr>
          <w:p>
            <w:r>
              <w:rPr>
                <w:rFonts w:ascii="Arial" w:hAnsi="Arial"/>
                <w:color w:val="000000"/>
                <w:sz w:val="14"/>
              </w:rPr>
              <w:t>1002.9</w:t>
            </w:r>
          </w:p>
        </w:tc>
        <w:tc>
          <w:tcPr>
            <w:tcW w:type="dxa" w:w="468"/>
            <w:vAlign w:val="center"/>
          </w:tcPr>
          <w:p>
            <w:r>
              <w:rPr>
                <w:rFonts w:ascii="Arial" w:hAnsi="Arial"/>
                <w:color w:val="000000"/>
                <w:sz w:val="14"/>
              </w:rPr>
              <w:t>1006.4</w:t>
            </w:r>
          </w:p>
        </w:tc>
        <w:tc>
          <w:tcPr>
            <w:tcW w:type="dxa" w:w="468"/>
            <w:vAlign w:val="center"/>
          </w:tcPr>
          <w:p>
            <w:r>
              <w:rPr>
                <w:rFonts w:ascii="Arial" w:hAnsi="Arial"/>
                <w:color w:val="000000"/>
                <w:sz w:val="14"/>
              </w:rPr>
              <w:t>3.502</w:t>
            </w:r>
          </w:p>
        </w:tc>
        <w:tc>
          <w:tcPr>
            <w:tcW w:type="dxa" w:w="468"/>
            <w:vAlign w:val="center"/>
          </w:tcPr>
          <w:p>
            <w:r>
              <w:rPr>
                <w:rFonts w:ascii="Arial" w:hAnsi="Arial"/>
                <w:color w:val="000000"/>
                <w:sz w:val="14"/>
              </w:rPr>
              <w:t>997.7</w:t>
            </w:r>
          </w:p>
        </w:tc>
        <w:tc>
          <w:tcPr>
            <w:tcW w:type="dxa" w:w="468"/>
            <w:vAlign w:val="center"/>
          </w:tcPr>
          <w:p>
            <w:r>
              <w:rPr>
                <w:rFonts w:ascii="Arial" w:hAnsi="Arial"/>
                <w:color w:val="000000"/>
                <w:sz w:val="14"/>
              </w:rPr>
              <w:t>1012.7</w:t>
            </w:r>
          </w:p>
        </w:tc>
        <w:tc>
          <w:tcPr>
            <w:tcW w:type="dxa" w:w="468"/>
            <w:vAlign w:val="center"/>
          </w:tcPr>
          <w:p>
            <w:r>
              <w:rPr>
                <w:rFonts w:ascii="Arial" w:hAnsi="Arial"/>
                <w:color w:val="000000"/>
                <w:sz w:val="14"/>
              </w:rPr>
              <w:t>0.073394</w:t>
            </w:r>
          </w:p>
        </w:tc>
        <w:tc>
          <w:tcPr>
            <w:tcW w:type="dxa" w:w="468"/>
            <w:vAlign w:val="center"/>
          </w:tcPr>
          <w:p>
            <w:r>
              <w:rPr>
                <w:rFonts w:ascii="Arial" w:hAnsi="Arial"/>
                <w:color w:val="000000"/>
                <w:sz w:val="14"/>
              </w:rPr>
              <w:t>0.10191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evapotranspiration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3.8896</w:t>
            </w:r>
          </w:p>
        </w:tc>
        <w:tc>
          <w:tcPr>
            <w:tcW w:type="dxa" w:w="468"/>
            <w:vAlign w:val="center"/>
          </w:tcPr>
          <w:p>
            <w:r>
              <w:rPr>
                <w:rFonts w:ascii="Arial" w:hAnsi="Arial"/>
                <w:color w:val="000000"/>
                <w:sz w:val="14"/>
              </w:rPr>
              <w:t>0.85849</w:t>
            </w:r>
          </w:p>
        </w:tc>
        <w:tc>
          <w:tcPr>
            <w:tcW w:type="dxa" w:w="468"/>
            <w:vAlign w:val="center"/>
          </w:tcPr>
          <w:p>
            <w:r>
              <w:rPr>
                <w:rFonts w:ascii="Arial" w:hAnsi="Arial"/>
                <w:color w:val="000000"/>
                <w:sz w:val="14"/>
              </w:rPr>
              <w:t>3.7526</w:t>
            </w:r>
          </w:p>
        </w:tc>
        <w:tc>
          <w:tcPr>
            <w:tcW w:type="dxa" w:w="468"/>
            <w:vAlign w:val="center"/>
          </w:tcPr>
          <w:p>
            <w:r>
              <w:rPr>
                <w:rFonts w:ascii="Arial" w:hAnsi="Arial"/>
                <w:color w:val="000000"/>
                <w:sz w:val="14"/>
              </w:rPr>
              <w:t>3.2702</w:t>
            </w:r>
          </w:p>
        </w:tc>
        <w:tc>
          <w:tcPr>
            <w:tcW w:type="dxa" w:w="468"/>
            <w:vAlign w:val="center"/>
          </w:tcPr>
          <w:p>
            <w:r>
              <w:rPr>
                <w:rFonts w:ascii="Arial" w:hAnsi="Arial"/>
                <w:color w:val="000000"/>
                <w:sz w:val="14"/>
              </w:rPr>
              <w:t>4.5378</w:t>
            </w:r>
          </w:p>
        </w:tc>
        <w:tc>
          <w:tcPr>
            <w:tcW w:type="dxa" w:w="468"/>
            <w:vAlign w:val="center"/>
          </w:tcPr>
          <w:p>
            <w:r>
              <w:rPr>
                <w:rFonts w:ascii="Arial" w:hAnsi="Arial"/>
                <w:color w:val="000000"/>
                <w:sz w:val="14"/>
              </w:rPr>
              <w:t>1.2676</w:t>
            </w:r>
          </w:p>
        </w:tc>
        <w:tc>
          <w:tcPr>
            <w:tcW w:type="dxa" w:w="468"/>
            <w:vAlign w:val="center"/>
          </w:tcPr>
          <w:p>
            <w:r>
              <w:rPr>
                <w:rFonts w:ascii="Arial" w:hAnsi="Arial"/>
                <w:color w:val="000000"/>
                <w:sz w:val="14"/>
              </w:rPr>
              <w:t>1.8893</w:t>
            </w:r>
          </w:p>
        </w:tc>
        <w:tc>
          <w:tcPr>
            <w:tcW w:type="dxa" w:w="468"/>
            <w:vAlign w:val="center"/>
          </w:tcPr>
          <w:p>
            <w:r>
              <w:rPr>
                <w:rFonts w:ascii="Arial" w:hAnsi="Arial"/>
                <w:color w:val="000000"/>
                <w:sz w:val="14"/>
              </w:rPr>
              <w:t>6.2165</w:t>
            </w:r>
          </w:p>
        </w:tc>
        <w:tc>
          <w:tcPr>
            <w:tcW w:type="dxa" w:w="468"/>
            <w:vAlign w:val="center"/>
          </w:tcPr>
          <w:p>
            <w:r>
              <w:rPr>
                <w:rFonts w:ascii="Arial" w:hAnsi="Arial"/>
                <w:color w:val="000000"/>
                <w:sz w:val="14"/>
              </w:rPr>
              <w:t>0.29405</w:t>
            </w:r>
          </w:p>
        </w:tc>
        <w:tc>
          <w:tcPr>
            <w:tcW w:type="dxa" w:w="468"/>
            <w:vAlign w:val="center"/>
          </w:tcPr>
          <w:p>
            <w:r>
              <w:rPr>
                <w:rFonts w:ascii="Arial" w:hAnsi="Arial"/>
                <w:color w:val="000000"/>
                <w:sz w:val="14"/>
              </w:rPr>
              <w:t>-0.43157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soil_temperature_mean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32.244</w:t>
            </w:r>
          </w:p>
        </w:tc>
        <w:tc>
          <w:tcPr>
            <w:tcW w:type="dxa" w:w="468"/>
            <w:vAlign w:val="center"/>
          </w:tcPr>
          <w:p>
            <w:r>
              <w:rPr>
                <w:rFonts w:ascii="Arial" w:hAnsi="Arial"/>
                <w:color w:val="000000"/>
                <w:sz w:val="14"/>
              </w:rPr>
              <w:t>1.2193</w:t>
            </w:r>
          </w:p>
        </w:tc>
        <w:tc>
          <w:tcPr>
            <w:tcW w:type="dxa" w:w="468"/>
            <w:vAlign w:val="center"/>
          </w:tcPr>
          <w:p>
            <w:r>
              <w:rPr>
                <w:rFonts w:ascii="Arial" w:hAnsi="Arial"/>
                <w:color w:val="000000"/>
                <w:sz w:val="14"/>
              </w:rPr>
              <w:t>32.177</w:t>
            </w:r>
          </w:p>
        </w:tc>
        <w:tc>
          <w:tcPr>
            <w:tcW w:type="dxa" w:w="468"/>
            <w:vAlign w:val="center"/>
          </w:tcPr>
          <w:p>
            <w:r>
              <w:rPr>
                <w:rFonts w:ascii="Arial" w:hAnsi="Arial"/>
                <w:color w:val="000000"/>
                <w:sz w:val="14"/>
              </w:rPr>
              <w:t>31.556</w:t>
            </w:r>
          </w:p>
        </w:tc>
        <w:tc>
          <w:tcPr>
            <w:tcW w:type="dxa" w:w="468"/>
            <w:vAlign w:val="center"/>
          </w:tcPr>
          <w:p>
            <w:r>
              <w:rPr>
                <w:rFonts w:ascii="Arial" w:hAnsi="Arial"/>
                <w:color w:val="000000"/>
                <w:sz w:val="14"/>
              </w:rPr>
              <w:t>32.887</w:t>
            </w:r>
          </w:p>
        </w:tc>
        <w:tc>
          <w:tcPr>
            <w:tcW w:type="dxa" w:w="468"/>
            <w:vAlign w:val="center"/>
          </w:tcPr>
          <w:p>
            <w:r>
              <w:rPr>
                <w:rFonts w:ascii="Arial" w:hAnsi="Arial"/>
                <w:color w:val="000000"/>
                <w:sz w:val="14"/>
              </w:rPr>
              <w:t>1.3305</w:t>
            </w:r>
          </w:p>
        </w:tc>
        <w:tc>
          <w:tcPr>
            <w:tcW w:type="dxa" w:w="468"/>
            <w:vAlign w:val="center"/>
          </w:tcPr>
          <w:p>
            <w:r>
              <w:rPr>
                <w:rFonts w:ascii="Arial" w:hAnsi="Arial"/>
                <w:color w:val="000000"/>
                <w:sz w:val="14"/>
              </w:rPr>
              <w:t>28.557</w:t>
            </w:r>
          </w:p>
        </w:tc>
        <w:tc>
          <w:tcPr>
            <w:tcW w:type="dxa" w:w="468"/>
            <w:vAlign w:val="center"/>
          </w:tcPr>
          <w:p>
            <w:r>
              <w:rPr>
                <w:rFonts w:ascii="Arial" w:hAnsi="Arial"/>
                <w:color w:val="000000"/>
                <w:sz w:val="14"/>
              </w:rPr>
              <w:t>36.623</w:t>
            </w:r>
          </w:p>
        </w:tc>
        <w:tc>
          <w:tcPr>
            <w:tcW w:type="dxa" w:w="468"/>
            <w:vAlign w:val="center"/>
          </w:tcPr>
          <w:p>
            <w:r>
              <w:rPr>
                <w:rFonts w:ascii="Arial" w:hAnsi="Arial"/>
                <w:color w:val="000000"/>
                <w:sz w:val="14"/>
              </w:rPr>
              <w:t>0.28919</w:t>
            </w:r>
          </w:p>
        </w:tc>
        <w:tc>
          <w:tcPr>
            <w:tcW w:type="dxa" w:w="468"/>
            <w:vAlign w:val="center"/>
          </w:tcPr>
          <w:p>
            <w:r>
              <w:rPr>
                <w:rFonts w:ascii="Arial" w:hAnsi="Arial"/>
                <w:color w:val="000000"/>
                <w:sz w:val="14"/>
              </w:rPr>
              <w:t>1.4002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soil_moisture_mean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0.18324</w:t>
            </w:r>
          </w:p>
        </w:tc>
        <w:tc>
          <w:tcPr>
            <w:tcW w:type="dxa" w:w="468"/>
            <w:vAlign w:val="center"/>
          </w:tcPr>
          <w:p>
            <w:r>
              <w:rPr>
                <w:rFonts w:ascii="Arial" w:hAnsi="Arial"/>
                <w:color w:val="000000"/>
                <w:sz w:val="14"/>
              </w:rPr>
              <w:t>0.043001</w:t>
            </w:r>
          </w:p>
        </w:tc>
        <w:tc>
          <w:tcPr>
            <w:tcW w:type="dxa" w:w="468"/>
            <w:vAlign w:val="center"/>
          </w:tcPr>
          <w:p>
            <w:r>
              <w:rPr>
                <w:rFonts w:ascii="Arial" w:hAnsi="Arial"/>
                <w:color w:val="000000"/>
                <w:sz w:val="14"/>
              </w:rPr>
              <w:t>0.16552</w:t>
            </w:r>
          </w:p>
        </w:tc>
        <w:tc>
          <w:tcPr>
            <w:tcW w:type="dxa" w:w="468"/>
            <w:vAlign w:val="center"/>
          </w:tcPr>
          <w:p>
            <w:r>
              <w:rPr>
                <w:rFonts w:ascii="Arial" w:hAnsi="Arial"/>
                <w:color w:val="000000"/>
                <w:sz w:val="14"/>
              </w:rPr>
              <w:t>0.154</w:t>
            </w:r>
          </w:p>
        </w:tc>
        <w:tc>
          <w:tcPr>
            <w:tcW w:type="dxa" w:w="468"/>
            <w:vAlign w:val="center"/>
          </w:tcPr>
          <w:p>
            <w:r>
              <w:rPr>
                <w:rFonts w:ascii="Arial" w:hAnsi="Arial"/>
                <w:color w:val="000000"/>
                <w:sz w:val="14"/>
              </w:rPr>
              <w:t>0.20258</w:t>
            </w:r>
          </w:p>
        </w:tc>
        <w:tc>
          <w:tcPr>
            <w:tcW w:type="dxa" w:w="468"/>
            <w:vAlign w:val="center"/>
          </w:tcPr>
          <w:p>
            <w:r>
              <w:rPr>
                <w:rFonts w:ascii="Arial" w:hAnsi="Arial"/>
                <w:color w:val="000000"/>
                <w:sz w:val="14"/>
              </w:rPr>
              <w:t>0.048583</w:t>
            </w:r>
          </w:p>
        </w:tc>
        <w:tc>
          <w:tcPr>
            <w:tcW w:type="dxa" w:w="468"/>
            <w:vAlign w:val="center"/>
          </w:tcPr>
          <w:p>
            <w:r>
              <w:rPr>
                <w:rFonts w:ascii="Arial" w:hAnsi="Arial"/>
                <w:color w:val="000000"/>
                <w:sz w:val="14"/>
              </w:rPr>
              <w:t>0.13429</w:t>
            </w:r>
          </w:p>
        </w:tc>
        <w:tc>
          <w:tcPr>
            <w:tcW w:type="dxa" w:w="468"/>
            <w:vAlign w:val="center"/>
          </w:tcPr>
          <w:p>
            <w:r>
              <w:rPr>
                <w:rFonts w:ascii="Arial" w:hAnsi="Arial"/>
                <w:color w:val="000000"/>
                <w:sz w:val="14"/>
              </w:rPr>
              <w:t>0.32779</w:t>
            </w:r>
          </w:p>
        </w:tc>
        <w:tc>
          <w:tcPr>
            <w:tcW w:type="dxa" w:w="468"/>
            <w:vAlign w:val="center"/>
          </w:tcPr>
          <w:p>
            <w:r>
              <w:rPr>
                <w:rFonts w:ascii="Arial" w:hAnsi="Arial"/>
                <w:color w:val="000000"/>
                <w:sz w:val="14"/>
              </w:rPr>
              <w:t>1.3804</w:t>
            </w:r>
          </w:p>
        </w:tc>
        <w:tc>
          <w:tcPr>
            <w:tcW w:type="dxa" w:w="468"/>
            <w:vAlign w:val="center"/>
          </w:tcPr>
          <w:p>
            <w:r>
              <w:rPr>
                <w:rFonts w:ascii="Arial" w:hAnsi="Arial"/>
                <w:color w:val="000000"/>
                <w:sz w:val="14"/>
              </w:rPr>
              <w:t>1.0318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tmax</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32.061</w:t>
            </w:r>
          </w:p>
        </w:tc>
        <w:tc>
          <w:tcPr>
            <w:tcW w:type="dxa" w:w="468"/>
            <w:vAlign w:val="center"/>
          </w:tcPr>
          <w:p>
            <w:r>
              <w:rPr>
                <w:rFonts w:ascii="Arial" w:hAnsi="Arial"/>
                <w:color w:val="000000"/>
                <w:sz w:val="14"/>
              </w:rPr>
              <w:t>2.3329</w:t>
            </w:r>
          </w:p>
        </w:tc>
        <w:tc>
          <w:tcPr>
            <w:tcW w:type="dxa" w:w="468"/>
            <w:vAlign w:val="center"/>
          </w:tcPr>
          <w:p>
            <w:r>
              <w:rPr>
                <w:rFonts w:ascii="Arial" w:hAnsi="Arial"/>
                <w:color w:val="000000"/>
                <w:sz w:val="14"/>
              </w:rPr>
              <w:t>32.26</w:t>
            </w:r>
          </w:p>
        </w:tc>
        <w:tc>
          <w:tcPr>
            <w:tcW w:type="dxa" w:w="468"/>
            <w:vAlign w:val="center"/>
          </w:tcPr>
          <w:p>
            <w:r>
              <w:rPr>
                <w:rFonts w:ascii="Arial" w:hAnsi="Arial"/>
                <w:color w:val="000000"/>
                <w:sz w:val="14"/>
              </w:rPr>
              <w:t>30.578</w:t>
            </w:r>
          </w:p>
        </w:tc>
        <w:tc>
          <w:tcPr>
            <w:tcW w:type="dxa" w:w="468"/>
            <w:vAlign w:val="center"/>
          </w:tcPr>
          <w:p>
            <w:r>
              <w:rPr>
                <w:rFonts w:ascii="Arial" w:hAnsi="Arial"/>
                <w:color w:val="000000"/>
                <w:sz w:val="14"/>
              </w:rPr>
              <w:t>33.8</w:t>
            </w:r>
          </w:p>
        </w:tc>
        <w:tc>
          <w:tcPr>
            <w:tcW w:type="dxa" w:w="468"/>
            <w:vAlign w:val="center"/>
          </w:tcPr>
          <w:p>
            <w:r>
              <w:rPr>
                <w:rFonts w:ascii="Arial" w:hAnsi="Arial"/>
                <w:color w:val="000000"/>
                <w:sz w:val="14"/>
              </w:rPr>
              <w:t>3.2225</w:t>
            </w:r>
          </w:p>
        </w:tc>
        <w:tc>
          <w:tcPr>
            <w:tcW w:type="dxa" w:w="468"/>
            <w:vAlign w:val="center"/>
          </w:tcPr>
          <w:p>
            <w:r>
              <w:rPr>
                <w:rFonts w:ascii="Arial" w:hAnsi="Arial"/>
                <w:color w:val="000000"/>
                <w:sz w:val="14"/>
              </w:rPr>
              <w:t>21.46</w:t>
            </w:r>
          </w:p>
        </w:tc>
        <w:tc>
          <w:tcPr>
            <w:tcW w:type="dxa" w:w="468"/>
            <w:vAlign w:val="center"/>
          </w:tcPr>
          <w:p>
            <w:r>
              <w:rPr>
                <w:rFonts w:ascii="Arial" w:hAnsi="Arial"/>
                <w:color w:val="000000"/>
                <w:sz w:val="14"/>
              </w:rPr>
              <w:t>37.82</w:t>
            </w:r>
          </w:p>
        </w:tc>
        <w:tc>
          <w:tcPr>
            <w:tcW w:type="dxa" w:w="468"/>
            <w:vAlign w:val="center"/>
          </w:tcPr>
          <w:p>
            <w:r>
              <w:rPr>
                <w:rFonts w:ascii="Arial" w:hAnsi="Arial"/>
                <w:color w:val="000000"/>
                <w:sz w:val="14"/>
              </w:rPr>
              <w:t>-0.55584</w:t>
            </w:r>
          </w:p>
        </w:tc>
        <w:tc>
          <w:tcPr>
            <w:tcW w:type="dxa" w:w="468"/>
            <w:vAlign w:val="center"/>
          </w:tcPr>
          <w:p>
            <w:r>
              <w:rPr>
                <w:rFonts w:ascii="Arial" w:hAnsi="Arial"/>
                <w:color w:val="000000"/>
                <w:sz w:val="14"/>
              </w:rPr>
              <w:t>0.33562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tmin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23.723</w:t>
            </w:r>
          </w:p>
        </w:tc>
        <w:tc>
          <w:tcPr>
            <w:tcW w:type="dxa" w:w="468"/>
            <w:vAlign w:val="center"/>
          </w:tcPr>
          <w:p>
            <w:r>
              <w:rPr>
                <w:rFonts w:ascii="Arial" w:hAnsi="Arial"/>
                <w:color w:val="000000"/>
                <w:sz w:val="14"/>
              </w:rPr>
              <w:t>3.0456</w:t>
            </w:r>
          </w:p>
        </w:tc>
        <w:tc>
          <w:tcPr>
            <w:tcW w:type="dxa" w:w="468"/>
            <w:vAlign w:val="center"/>
          </w:tcPr>
          <w:p>
            <w:r>
              <w:rPr>
                <w:rFonts w:ascii="Arial" w:hAnsi="Arial"/>
                <w:color w:val="000000"/>
                <w:sz w:val="14"/>
              </w:rPr>
              <w:t>24.42</w:t>
            </w:r>
          </w:p>
        </w:tc>
        <w:tc>
          <w:tcPr>
            <w:tcW w:type="dxa" w:w="468"/>
            <w:vAlign w:val="center"/>
          </w:tcPr>
          <w:p>
            <w:r>
              <w:rPr>
                <w:rFonts w:ascii="Arial" w:hAnsi="Arial"/>
                <w:color w:val="000000"/>
                <w:sz w:val="14"/>
              </w:rPr>
              <w:t>21.93</w:t>
            </w:r>
          </w:p>
        </w:tc>
        <w:tc>
          <w:tcPr>
            <w:tcW w:type="dxa" w:w="468"/>
            <w:vAlign w:val="center"/>
          </w:tcPr>
          <w:p>
            <w:r>
              <w:rPr>
                <w:rFonts w:ascii="Arial" w:hAnsi="Arial"/>
                <w:color w:val="000000"/>
                <w:sz w:val="14"/>
              </w:rPr>
              <w:t>26.04</w:t>
            </w:r>
          </w:p>
        </w:tc>
        <w:tc>
          <w:tcPr>
            <w:tcW w:type="dxa" w:w="468"/>
            <w:vAlign w:val="center"/>
          </w:tcPr>
          <w:p>
            <w:r>
              <w:rPr>
                <w:rFonts w:ascii="Arial" w:hAnsi="Arial"/>
                <w:color w:val="000000"/>
                <w:sz w:val="14"/>
              </w:rPr>
              <w:t>4.11</w:t>
            </w:r>
          </w:p>
        </w:tc>
        <w:tc>
          <w:tcPr>
            <w:tcW w:type="dxa" w:w="468"/>
            <w:vAlign w:val="center"/>
          </w:tcPr>
          <w:p>
            <w:r>
              <w:rPr>
                <w:rFonts w:ascii="Arial" w:hAnsi="Arial"/>
                <w:color w:val="000000"/>
                <w:sz w:val="14"/>
              </w:rPr>
              <w:t>12.06</w:t>
            </w:r>
          </w:p>
        </w:tc>
        <w:tc>
          <w:tcPr>
            <w:tcW w:type="dxa" w:w="468"/>
            <w:vAlign w:val="center"/>
          </w:tcPr>
          <w:p>
            <w:r>
              <w:rPr>
                <w:rFonts w:ascii="Arial" w:hAnsi="Arial"/>
                <w:color w:val="000000"/>
                <w:sz w:val="14"/>
              </w:rPr>
              <w:t>29.5</w:t>
            </w:r>
          </w:p>
        </w:tc>
        <w:tc>
          <w:tcPr>
            <w:tcW w:type="dxa" w:w="468"/>
            <w:vAlign w:val="center"/>
          </w:tcPr>
          <w:p>
            <w:r>
              <w:rPr>
                <w:rFonts w:ascii="Arial" w:hAnsi="Arial"/>
                <w:color w:val="000000"/>
                <w:sz w:val="14"/>
              </w:rPr>
              <w:t>-0.90437</w:t>
            </w:r>
          </w:p>
        </w:tc>
        <w:tc>
          <w:tcPr>
            <w:tcW w:type="dxa" w:w="468"/>
            <w:vAlign w:val="center"/>
          </w:tcPr>
          <w:p>
            <w:r>
              <w:rPr>
                <w:rFonts w:ascii="Arial" w:hAnsi="Arial"/>
                <w:color w:val="000000"/>
                <w:sz w:val="14"/>
              </w:rPr>
              <w:t>0.39052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tmean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27.603</w:t>
            </w:r>
          </w:p>
        </w:tc>
        <w:tc>
          <w:tcPr>
            <w:tcW w:type="dxa" w:w="468"/>
            <w:vAlign w:val="center"/>
          </w:tcPr>
          <w:p>
            <w:r>
              <w:rPr>
                <w:rFonts w:ascii="Arial" w:hAnsi="Arial"/>
                <w:color w:val="000000"/>
                <w:sz w:val="14"/>
              </w:rPr>
              <w:t>2.2265</w:t>
            </w:r>
          </w:p>
        </w:tc>
        <w:tc>
          <w:tcPr>
            <w:tcW w:type="dxa" w:w="468"/>
            <w:vAlign w:val="center"/>
          </w:tcPr>
          <w:p>
            <w:r>
              <w:rPr>
                <w:rFonts w:ascii="Arial" w:hAnsi="Arial"/>
                <w:color w:val="000000"/>
                <w:sz w:val="14"/>
              </w:rPr>
              <w:t>27.928</w:t>
            </w:r>
          </w:p>
        </w:tc>
        <w:tc>
          <w:tcPr>
            <w:tcW w:type="dxa" w:w="468"/>
            <w:vAlign w:val="center"/>
          </w:tcPr>
          <w:p>
            <w:r>
              <w:rPr>
                <w:rFonts w:ascii="Arial" w:hAnsi="Arial"/>
                <w:color w:val="000000"/>
                <w:sz w:val="14"/>
              </w:rPr>
              <w:t>26.329</w:t>
            </w:r>
          </w:p>
        </w:tc>
        <w:tc>
          <w:tcPr>
            <w:tcW w:type="dxa" w:w="468"/>
            <w:vAlign w:val="center"/>
          </w:tcPr>
          <w:p>
            <w:r>
              <w:rPr>
                <w:rFonts w:ascii="Arial" w:hAnsi="Arial"/>
                <w:color w:val="000000"/>
                <w:sz w:val="14"/>
              </w:rPr>
              <w:t>29.215</w:t>
            </w:r>
          </w:p>
        </w:tc>
        <w:tc>
          <w:tcPr>
            <w:tcW w:type="dxa" w:w="468"/>
            <w:vAlign w:val="center"/>
          </w:tcPr>
          <w:p>
            <w:r>
              <w:rPr>
                <w:rFonts w:ascii="Arial" w:hAnsi="Arial"/>
                <w:color w:val="000000"/>
                <w:sz w:val="14"/>
              </w:rPr>
              <w:t>2.8856</w:t>
            </w:r>
          </w:p>
        </w:tc>
        <w:tc>
          <w:tcPr>
            <w:tcW w:type="dxa" w:w="468"/>
            <w:vAlign w:val="center"/>
          </w:tcPr>
          <w:p>
            <w:r>
              <w:rPr>
                <w:rFonts w:ascii="Arial" w:hAnsi="Arial"/>
                <w:color w:val="000000"/>
                <w:sz w:val="14"/>
              </w:rPr>
              <w:t>18.274</w:t>
            </w:r>
          </w:p>
        </w:tc>
        <w:tc>
          <w:tcPr>
            <w:tcW w:type="dxa" w:w="468"/>
            <w:vAlign w:val="center"/>
          </w:tcPr>
          <w:p>
            <w:r>
              <w:rPr>
                <w:rFonts w:ascii="Arial" w:hAnsi="Arial"/>
                <w:color w:val="000000"/>
                <w:sz w:val="14"/>
              </w:rPr>
              <w:t>32.569</w:t>
            </w:r>
          </w:p>
        </w:tc>
        <w:tc>
          <w:tcPr>
            <w:tcW w:type="dxa" w:w="468"/>
            <w:vAlign w:val="center"/>
          </w:tcPr>
          <w:p>
            <w:r>
              <w:rPr>
                <w:rFonts w:ascii="Arial" w:hAnsi="Arial"/>
                <w:color w:val="000000"/>
                <w:sz w:val="14"/>
              </w:rPr>
              <w:t>-0.70252</w:t>
            </w:r>
          </w:p>
        </w:tc>
        <w:tc>
          <w:tcPr>
            <w:tcW w:type="dxa" w:w="468"/>
            <w:vAlign w:val="center"/>
          </w:tcPr>
          <w:p>
            <w:r>
              <w:rPr>
                <w:rFonts w:ascii="Arial" w:hAnsi="Arial"/>
                <w:color w:val="000000"/>
                <w:sz w:val="14"/>
              </w:rPr>
              <w:t>0.29165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day_night_range</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8.3381</w:t>
            </w:r>
          </w:p>
        </w:tc>
        <w:tc>
          <w:tcPr>
            <w:tcW w:type="dxa" w:w="468"/>
            <w:vAlign w:val="center"/>
          </w:tcPr>
          <w:p>
            <w:r>
              <w:rPr>
                <w:rFonts w:ascii="Arial" w:hAnsi="Arial"/>
                <w:color w:val="000000"/>
                <w:sz w:val="14"/>
              </w:rPr>
              <w:t>2.9599</w:t>
            </w:r>
          </w:p>
        </w:tc>
        <w:tc>
          <w:tcPr>
            <w:tcW w:type="dxa" w:w="468"/>
            <w:vAlign w:val="center"/>
          </w:tcPr>
          <w:p>
            <w:r>
              <w:rPr>
                <w:rFonts w:ascii="Arial" w:hAnsi="Arial"/>
                <w:color w:val="000000"/>
                <w:sz w:val="14"/>
              </w:rPr>
              <w:t>8.01</w:t>
            </w:r>
          </w:p>
        </w:tc>
        <w:tc>
          <w:tcPr>
            <w:tcW w:type="dxa" w:w="468"/>
            <w:vAlign w:val="center"/>
          </w:tcPr>
          <w:p>
            <w:r>
              <w:rPr>
                <w:rFonts w:ascii="Arial" w:hAnsi="Arial"/>
                <w:color w:val="000000"/>
                <w:sz w:val="14"/>
              </w:rPr>
              <w:t>6.15</w:t>
            </w:r>
          </w:p>
        </w:tc>
        <w:tc>
          <w:tcPr>
            <w:tcW w:type="dxa" w:w="468"/>
            <w:vAlign w:val="center"/>
          </w:tcPr>
          <w:p>
            <w:r>
              <w:rPr>
                <w:rFonts w:ascii="Arial" w:hAnsi="Arial"/>
                <w:color w:val="000000"/>
                <w:sz w:val="14"/>
              </w:rPr>
              <w:t>10.25</w:t>
            </w:r>
          </w:p>
        </w:tc>
        <w:tc>
          <w:tcPr>
            <w:tcW w:type="dxa" w:w="468"/>
            <w:vAlign w:val="center"/>
          </w:tcPr>
          <w:p>
            <w:r>
              <w:rPr>
                <w:rFonts w:ascii="Arial" w:hAnsi="Arial"/>
                <w:color w:val="000000"/>
                <w:sz w:val="14"/>
              </w:rPr>
              <w:t>4.1</w:t>
            </w:r>
          </w:p>
        </w:tc>
        <w:tc>
          <w:tcPr>
            <w:tcW w:type="dxa" w:w="468"/>
            <w:vAlign w:val="center"/>
          </w:tcPr>
          <w:p>
            <w:r>
              <w:rPr>
                <w:rFonts w:ascii="Arial" w:hAnsi="Arial"/>
                <w:color w:val="000000"/>
                <w:sz w:val="14"/>
              </w:rPr>
              <w:t>0.58</w:t>
            </w:r>
          </w:p>
        </w:tc>
        <w:tc>
          <w:tcPr>
            <w:tcW w:type="dxa" w:w="468"/>
            <w:vAlign w:val="center"/>
          </w:tcPr>
          <w:p>
            <w:r>
              <w:rPr>
                <w:rFonts w:ascii="Arial" w:hAnsi="Arial"/>
                <w:color w:val="000000"/>
                <w:sz w:val="14"/>
              </w:rPr>
              <w:t>18.67</w:t>
            </w:r>
          </w:p>
        </w:tc>
        <w:tc>
          <w:tcPr>
            <w:tcW w:type="dxa" w:w="468"/>
            <w:vAlign w:val="center"/>
          </w:tcPr>
          <w:p>
            <w:r>
              <w:rPr>
                <w:rFonts w:ascii="Arial" w:hAnsi="Arial"/>
                <w:color w:val="000000"/>
                <w:sz w:val="14"/>
              </w:rPr>
              <w:t>0.42915</w:t>
            </w:r>
          </w:p>
        </w:tc>
        <w:tc>
          <w:tcPr>
            <w:tcW w:type="dxa" w:w="468"/>
            <w:vAlign w:val="center"/>
          </w:tcPr>
          <w:p>
            <w:r>
              <w:rPr>
                <w:rFonts w:ascii="Arial" w:hAnsi="Arial"/>
                <w:color w:val="000000"/>
                <w:sz w:val="14"/>
              </w:rPr>
              <w:t>-0.21449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precipitation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7.5367</w:t>
            </w:r>
          </w:p>
        </w:tc>
        <w:tc>
          <w:tcPr>
            <w:tcW w:type="dxa" w:w="468"/>
            <w:vAlign w:val="center"/>
          </w:tcPr>
          <w:p>
            <w:r>
              <w:rPr>
                <w:rFonts w:ascii="Arial" w:hAnsi="Arial"/>
                <w:color w:val="000000"/>
                <w:sz w:val="14"/>
              </w:rPr>
              <w:t>13.233</w:t>
            </w:r>
          </w:p>
        </w:tc>
        <w:tc>
          <w:tcPr>
            <w:tcW w:type="dxa" w:w="468"/>
            <w:vAlign w:val="center"/>
          </w:tcPr>
          <w:p>
            <w:r>
              <w:rPr>
                <w:rFonts w:ascii="Arial" w:hAnsi="Arial"/>
                <w:color w:val="000000"/>
                <w:sz w:val="14"/>
              </w:rPr>
              <w:t>1.9</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9.8</w:t>
            </w:r>
          </w:p>
        </w:tc>
        <w:tc>
          <w:tcPr>
            <w:tcW w:type="dxa" w:w="468"/>
            <w:vAlign w:val="center"/>
          </w:tcPr>
          <w:p>
            <w:r>
              <w:rPr>
                <w:rFonts w:ascii="Arial" w:hAnsi="Arial"/>
                <w:color w:val="000000"/>
                <w:sz w:val="14"/>
              </w:rPr>
              <w:t>9.8</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261.1</w:t>
            </w:r>
          </w:p>
        </w:tc>
        <w:tc>
          <w:tcPr>
            <w:tcW w:type="dxa" w:w="468"/>
            <w:vAlign w:val="center"/>
          </w:tcPr>
          <w:p>
            <w:r>
              <w:rPr>
                <w:rFonts w:ascii="Arial" w:hAnsi="Arial"/>
                <w:color w:val="000000"/>
                <w:sz w:val="14"/>
              </w:rPr>
              <w:t>4.2375</w:t>
            </w:r>
          </w:p>
        </w:tc>
        <w:tc>
          <w:tcPr>
            <w:tcW w:type="dxa" w:w="468"/>
            <w:vAlign w:val="center"/>
          </w:tcPr>
          <w:p>
            <w:r>
              <w:rPr>
                <w:rFonts w:ascii="Arial" w:hAnsi="Arial"/>
                <w:color w:val="000000"/>
                <w:sz w:val="14"/>
              </w:rPr>
              <w:t>36.992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rh_mean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77.832</w:t>
            </w:r>
          </w:p>
        </w:tc>
        <w:tc>
          <w:tcPr>
            <w:tcW w:type="dxa" w:w="468"/>
            <w:vAlign w:val="center"/>
          </w:tcPr>
          <w:p>
            <w:r>
              <w:rPr>
                <w:rFonts w:ascii="Arial" w:hAnsi="Arial"/>
                <w:color w:val="000000"/>
                <w:sz w:val="14"/>
              </w:rPr>
              <w:t>9.5174</w:t>
            </w:r>
          </w:p>
        </w:tc>
        <w:tc>
          <w:tcPr>
            <w:tcW w:type="dxa" w:w="468"/>
            <w:vAlign w:val="center"/>
          </w:tcPr>
          <w:p>
            <w:r>
              <w:rPr>
                <w:rFonts w:ascii="Arial" w:hAnsi="Arial"/>
                <w:color w:val="000000"/>
                <w:sz w:val="14"/>
              </w:rPr>
              <w:t>80.038</w:t>
            </w:r>
          </w:p>
        </w:tc>
        <w:tc>
          <w:tcPr>
            <w:tcW w:type="dxa" w:w="468"/>
            <w:vAlign w:val="center"/>
          </w:tcPr>
          <w:p>
            <w:r>
              <w:rPr>
                <w:rFonts w:ascii="Arial" w:hAnsi="Arial"/>
                <w:color w:val="000000"/>
                <w:sz w:val="14"/>
              </w:rPr>
              <w:t>72.862</w:t>
            </w:r>
          </w:p>
        </w:tc>
        <w:tc>
          <w:tcPr>
            <w:tcW w:type="dxa" w:w="468"/>
            <w:vAlign w:val="center"/>
          </w:tcPr>
          <w:p>
            <w:r>
              <w:rPr>
                <w:rFonts w:ascii="Arial" w:hAnsi="Arial"/>
                <w:color w:val="000000"/>
                <w:sz w:val="14"/>
              </w:rPr>
              <w:t>84.524</w:t>
            </w:r>
          </w:p>
        </w:tc>
        <w:tc>
          <w:tcPr>
            <w:tcW w:type="dxa" w:w="468"/>
            <w:vAlign w:val="center"/>
          </w:tcPr>
          <w:p>
            <w:r>
              <w:rPr>
                <w:rFonts w:ascii="Arial" w:hAnsi="Arial"/>
                <w:color w:val="000000"/>
                <w:sz w:val="14"/>
              </w:rPr>
              <w:t>11.662</w:t>
            </w:r>
          </w:p>
        </w:tc>
        <w:tc>
          <w:tcPr>
            <w:tcW w:type="dxa" w:w="468"/>
            <w:vAlign w:val="center"/>
          </w:tcPr>
          <w:p>
            <w:r>
              <w:rPr>
                <w:rFonts w:ascii="Arial" w:hAnsi="Arial"/>
                <w:color w:val="000000"/>
                <w:sz w:val="14"/>
              </w:rPr>
              <w:t>42.205</w:t>
            </w:r>
          </w:p>
        </w:tc>
        <w:tc>
          <w:tcPr>
            <w:tcW w:type="dxa" w:w="468"/>
            <w:vAlign w:val="center"/>
          </w:tcPr>
          <w:p>
            <w:r>
              <w:rPr>
                <w:rFonts w:ascii="Arial" w:hAnsi="Arial"/>
                <w:color w:val="000000"/>
                <w:sz w:val="14"/>
              </w:rPr>
              <w:t>97.47</w:t>
            </w:r>
          </w:p>
        </w:tc>
        <w:tc>
          <w:tcPr>
            <w:tcW w:type="dxa" w:w="468"/>
            <w:vAlign w:val="center"/>
          </w:tcPr>
          <w:p>
            <w:r>
              <w:rPr>
                <w:rFonts w:ascii="Arial" w:hAnsi="Arial"/>
                <w:color w:val="000000"/>
                <w:sz w:val="14"/>
              </w:rPr>
              <w:t>-0.93416</w:t>
            </w:r>
          </w:p>
        </w:tc>
        <w:tc>
          <w:tcPr>
            <w:tcW w:type="dxa" w:w="468"/>
            <w:vAlign w:val="center"/>
          </w:tcPr>
          <w:p>
            <w:r>
              <w:rPr>
                <w:rFonts w:ascii="Arial" w:hAnsi="Arial"/>
                <w:color w:val="000000"/>
                <w:sz w:val="14"/>
              </w:rPr>
              <w:t>0.57913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wind_speed_mean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5.3937</w:t>
            </w:r>
          </w:p>
        </w:tc>
        <w:tc>
          <w:tcPr>
            <w:tcW w:type="dxa" w:w="468"/>
            <w:vAlign w:val="center"/>
          </w:tcPr>
          <w:p>
            <w:r>
              <w:rPr>
                <w:rFonts w:ascii="Arial" w:hAnsi="Arial"/>
                <w:color w:val="000000"/>
                <w:sz w:val="14"/>
              </w:rPr>
              <w:t>3.7762</w:t>
            </w:r>
          </w:p>
        </w:tc>
        <w:tc>
          <w:tcPr>
            <w:tcW w:type="dxa" w:w="468"/>
            <w:vAlign w:val="center"/>
          </w:tcPr>
          <w:p>
            <w:r>
              <w:rPr>
                <w:rFonts w:ascii="Arial" w:hAnsi="Arial"/>
                <w:color w:val="000000"/>
                <w:sz w:val="14"/>
              </w:rPr>
              <w:t>4.6102</w:t>
            </w:r>
          </w:p>
        </w:tc>
        <w:tc>
          <w:tcPr>
            <w:tcW w:type="dxa" w:w="468"/>
            <w:vAlign w:val="center"/>
          </w:tcPr>
          <w:p>
            <w:r>
              <w:rPr>
                <w:rFonts w:ascii="Arial" w:hAnsi="Arial"/>
                <w:color w:val="000000"/>
                <w:sz w:val="14"/>
              </w:rPr>
              <w:t>2.5456</w:t>
            </w:r>
          </w:p>
        </w:tc>
        <w:tc>
          <w:tcPr>
            <w:tcW w:type="dxa" w:w="468"/>
            <w:vAlign w:val="center"/>
          </w:tcPr>
          <w:p>
            <w:r>
              <w:rPr>
                <w:rFonts w:ascii="Arial" w:hAnsi="Arial"/>
                <w:color w:val="000000"/>
                <w:sz w:val="14"/>
              </w:rPr>
              <w:t>7.2894</w:t>
            </w:r>
          </w:p>
        </w:tc>
        <w:tc>
          <w:tcPr>
            <w:tcW w:type="dxa" w:w="468"/>
            <w:vAlign w:val="center"/>
          </w:tcPr>
          <w:p>
            <w:r>
              <w:rPr>
                <w:rFonts w:ascii="Arial" w:hAnsi="Arial"/>
                <w:color w:val="000000"/>
                <w:sz w:val="14"/>
              </w:rPr>
              <w:t>4.7439</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36.933</w:t>
            </w:r>
          </w:p>
        </w:tc>
        <w:tc>
          <w:tcPr>
            <w:tcW w:type="dxa" w:w="468"/>
            <w:vAlign w:val="center"/>
          </w:tcPr>
          <w:p>
            <w:r>
              <w:rPr>
                <w:rFonts w:ascii="Arial" w:hAnsi="Arial"/>
                <w:color w:val="000000"/>
                <w:sz w:val="14"/>
              </w:rPr>
              <w:t>1.1561</w:t>
            </w:r>
          </w:p>
        </w:tc>
        <w:tc>
          <w:tcPr>
            <w:tcW w:type="dxa" w:w="468"/>
            <w:vAlign w:val="center"/>
          </w:tcPr>
          <w:p>
            <w:r>
              <w:rPr>
                <w:rFonts w:ascii="Arial" w:hAnsi="Arial"/>
                <w:color w:val="000000"/>
                <w:sz w:val="14"/>
              </w:rPr>
              <w:t>1.8538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cloud_cover</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35.592</w:t>
            </w:r>
          </w:p>
        </w:tc>
        <w:tc>
          <w:tcPr>
            <w:tcW w:type="dxa" w:w="468"/>
            <w:vAlign w:val="center"/>
          </w:tcPr>
          <w:p>
            <w:r>
              <w:rPr>
                <w:rFonts w:ascii="Arial" w:hAnsi="Arial"/>
                <w:color w:val="000000"/>
                <w:sz w:val="14"/>
              </w:rPr>
              <w:t>23.801</w:t>
            </w:r>
          </w:p>
        </w:tc>
        <w:tc>
          <w:tcPr>
            <w:tcW w:type="dxa" w:w="468"/>
            <w:vAlign w:val="center"/>
          </w:tcPr>
          <w:p>
            <w:r>
              <w:rPr>
                <w:rFonts w:ascii="Arial" w:hAnsi="Arial"/>
                <w:color w:val="000000"/>
                <w:sz w:val="14"/>
              </w:rPr>
              <w:t>32.077</w:t>
            </w:r>
          </w:p>
        </w:tc>
        <w:tc>
          <w:tcPr>
            <w:tcW w:type="dxa" w:w="468"/>
            <w:vAlign w:val="center"/>
          </w:tcPr>
          <w:p>
            <w:r>
              <w:rPr>
                <w:rFonts w:ascii="Arial" w:hAnsi="Arial"/>
                <w:color w:val="000000"/>
                <w:sz w:val="14"/>
              </w:rPr>
              <w:t>17.435</w:t>
            </w:r>
          </w:p>
        </w:tc>
        <w:tc>
          <w:tcPr>
            <w:tcW w:type="dxa" w:w="468"/>
            <w:vAlign w:val="center"/>
          </w:tcPr>
          <w:p>
            <w:r>
              <w:rPr>
                <w:rFonts w:ascii="Arial" w:hAnsi="Arial"/>
                <w:color w:val="000000"/>
                <w:sz w:val="14"/>
              </w:rPr>
              <w:t>50.964</w:t>
            </w:r>
          </w:p>
        </w:tc>
        <w:tc>
          <w:tcPr>
            <w:tcW w:type="dxa" w:w="468"/>
            <w:vAlign w:val="center"/>
          </w:tcPr>
          <w:p>
            <w:r>
              <w:rPr>
                <w:rFonts w:ascii="Arial" w:hAnsi="Arial"/>
                <w:color w:val="000000"/>
                <w:sz w:val="14"/>
              </w:rPr>
              <w:t>33.528</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99.833</w:t>
            </w:r>
          </w:p>
        </w:tc>
        <w:tc>
          <w:tcPr>
            <w:tcW w:type="dxa" w:w="468"/>
            <w:vAlign w:val="center"/>
          </w:tcPr>
          <w:p>
            <w:r>
              <w:rPr>
                <w:rFonts w:ascii="Arial" w:hAnsi="Arial"/>
                <w:color w:val="000000"/>
                <w:sz w:val="14"/>
              </w:rPr>
              <w:t>0.56289</w:t>
            </w:r>
          </w:p>
        </w:tc>
        <w:tc>
          <w:tcPr>
            <w:tcW w:type="dxa" w:w="468"/>
            <w:vAlign w:val="center"/>
          </w:tcPr>
          <w:p>
            <w:r>
              <w:rPr>
                <w:rFonts w:ascii="Arial" w:hAnsi="Arial"/>
                <w:color w:val="000000"/>
                <w:sz w:val="14"/>
              </w:rPr>
              <w:t>-0.37127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sunshine_duration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478.13</w:t>
            </w:r>
          </w:p>
        </w:tc>
        <w:tc>
          <w:tcPr>
            <w:tcW w:type="dxa" w:w="468"/>
            <w:vAlign w:val="center"/>
          </w:tcPr>
          <w:p>
            <w:r>
              <w:rPr>
                <w:rFonts w:ascii="Arial" w:hAnsi="Arial"/>
                <w:color w:val="000000"/>
                <w:sz w:val="14"/>
              </w:rPr>
              <w:t>176.92</w:t>
            </w:r>
          </w:p>
        </w:tc>
        <w:tc>
          <w:tcPr>
            <w:tcW w:type="dxa" w:w="468"/>
            <w:vAlign w:val="center"/>
          </w:tcPr>
          <w:p>
            <w:r>
              <w:rPr>
                <w:rFonts w:ascii="Arial" w:hAnsi="Arial"/>
                <w:color w:val="000000"/>
                <w:sz w:val="14"/>
              </w:rPr>
              <w:t>504.93</w:t>
            </w:r>
          </w:p>
        </w:tc>
        <w:tc>
          <w:tcPr>
            <w:tcW w:type="dxa" w:w="468"/>
            <w:vAlign w:val="center"/>
          </w:tcPr>
          <w:p>
            <w:r>
              <w:rPr>
                <w:rFonts w:ascii="Arial" w:hAnsi="Arial"/>
                <w:color w:val="000000"/>
                <w:sz w:val="14"/>
              </w:rPr>
              <w:t>364.86</w:t>
            </w:r>
          </w:p>
        </w:tc>
        <w:tc>
          <w:tcPr>
            <w:tcW w:type="dxa" w:w="468"/>
            <w:vAlign w:val="center"/>
          </w:tcPr>
          <w:p>
            <w:r>
              <w:rPr>
                <w:rFonts w:ascii="Arial" w:hAnsi="Arial"/>
                <w:color w:val="000000"/>
                <w:sz w:val="14"/>
              </w:rPr>
              <w:t>614.95</w:t>
            </w:r>
          </w:p>
        </w:tc>
        <w:tc>
          <w:tcPr>
            <w:tcW w:type="dxa" w:w="468"/>
            <w:vAlign w:val="center"/>
          </w:tcPr>
          <w:p>
            <w:r>
              <w:rPr>
                <w:rFonts w:ascii="Arial" w:hAnsi="Arial"/>
                <w:color w:val="000000"/>
                <w:sz w:val="14"/>
              </w:rPr>
              <w:t>250.09</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807.27</w:t>
            </w:r>
          </w:p>
        </w:tc>
        <w:tc>
          <w:tcPr>
            <w:tcW w:type="dxa" w:w="468"/>
            <w:vAlign w:val="center"/>
          </w:tcPr>
          <w:p>
            <w:r>
              <w:rPr>
                <w:rFonts w:ascii="Arial" w:hAnsi="Arial"/>
                <w:color w:val="000000"/>
                <w:sz w:val="14"/>
              </w:rPr>
              <w:t>-0.58598</w:t>
            </w:r>
          </w:p>
        </w:tc>
        <w:tc>
          <w:tcPr>
            <w:tcW w:type="dxa" w:w="468"/>
            <w:vAlign w:val="center"/>
          </w:tcPr>
          <w:p>
            <w:r>
              <w:rPr>
                <w:rFonts w:ascii="Arial" w:hAnsi="Arial"/>
                <w:color w:val="000000"/>
                <w:sz w:val="14"/>
              </w:rPr>
              <w:t>-0.32721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shortwave_radiation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5132.1</w:t>
            </w:r>
          </w:p>
        </w:tc>
        <w:tc>
          <w:tcPr>
            <w:tcW w:type="dxa" w:w="468"/>
            <w:vAlign w:val="center"/>
          </w:tcPr>
          <w:p>
            <w:r>
              <w:rPr>
                <w:rFonts w:ascii="Arial" w:hAnsi="Arial"/>
                <w:color w:val="000000"/>
                <w:sz w:val="14"/>
              </w:rPr>
              <w:t>1434.2</w:t>
            </w:r>
          </w:p>
        </w:tc>
        <w:tc>
          <w:tcPr>
            <w:tcW w:type="dxa" w:w="468"/>
            <w:vAlign w:val="center"/>
          </w:tcPr>
          <w:p>
            <w:r>
              <w:rPr>
                <w:rFonts w:ascii="Arial" w:hAnsi="Arial"/>
                <w:color w:val="000000"/>
                <w:sz w:val="14"/>
              </w:rPr>
              <w:t>5437</w:t>
            </w:r>
          </w:p>
        </w:tc>
        <w:tc>
          <w:tcPr>
            <w:tcW w:type="dxa" w:w="468"/>
            <w:vAlign w:val="center"/>
          </w:tcPr>
          <w:p>
            <w:r>
              <w:rPr>
                <w:rFonts w:ascii="Arial" w:hAnsi="Arial"/>
                <w:color w:val="000000"/>
                <w:sz w:val="14"/>
              </w:rPr>
              <w:t>4254</w:t>
            </w:r>
          </w:p>
        </w:tc>
        <w:tc>
          <w:tcPr>
            <w:tcW w:type="dxa" w:w="468"/>
            <w:vAlign w:val="center"/>
          </w:tcPr>
          <w:p>
            <w:r>
              <w:rPr>
                <w:rFonts w:ascii="Arial" w:hAnsi="Arial"/>
                <w:color w:val="000000"/>
                <w:sz w:val="14"/>
              </w:rPr>
              <w:t>6261</w:t>
            </w:r>
          </w:p>
        </w:tc>
        <w:tc>
          <w:tcPr>
            <w:tcW w:type="dxa" w:w="468"/>
            <w:vAlign w:val="center"/>
          </w:tcPr>
          <w:p>
            <w:r>
              <w:rPr>
                <w:rFonts w:ascii="Arial" w:hAnsi="Arial"/>
                <w:color w:val="000000"/>
                <w:sz w:val="14"/>
              </w:rPr>
              <w:t>2007</w:t>
            </w:r>
          </w:p>
        </w:tc>
        <w:tc>
          <w:tcPr>
            <w:tcW w:type="dxa" w:w="468"/>
            <w:vAlign w:val="center"/>
          </w:tcPr>
          <w:p>
            <w:r>
              <w:rPr>
                <w:rFonts w:ascii="Arial" w:hAnsi="Arial"/>
                <w:color w:val="000000"/>
                <w:sz w:val="14"/>
              </w:rPr>
              <w:t>323</w:t>
            </w:r>
          </w:p>
        </w:tc>
        <w:tc>
          <w:tcPr>
            <w:tcW w:type="dxa" w:w="468"/>
            <w:vAlign w:val="center"/>
          </w:tcPr>
          <w:p>
            <w:r>
              <w:rPr>
                <w:rFonts w:ascii="Arial" w:hAnsi="Arial"/>
                <w:color w:val="000000"/>
                <w:sz w:val="14"/>
              </w:rPr>
              <w:t>7889</w:t>
            </w:r>
          </w:p>
        </w:tc>
        <w:tc>
          <w:tcPr>
            <w:tcW w:type="dxa" w:w="468"/>
            <w:vAlign w:val="center"/>
          </w:tcPr>
          <w:p>
            <w:r>
              <w:rPr>
                <w:rFonts w:ascii="Arial" w:hAnsi="Arial"/>
                <w:color w:val="000000"/>
                <w:sz w:val="14"/>
              </w:rPr>
              <w:t>-0.77822</w:t>
            </w:r>
          </w:p>
        </w:tc>
        <w:tc>
          <w:tcPr>
            <w:tcW w:type="dxa" w:w="468"/>
            <w:vAlign w:val="center"/>
          </w:tcPr>
          <w:p>
            <w:r>
              <w:rPr>
                <w:rFonts w:ascii="Arial" w:hAnsi="Arial"/>
                <w:color w:val="000000"/>
                <w:sz w:val="14"/>
              </w:rPr>
              <w:t>-0.050552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longwave_radiation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10009</w:t>
            </w:r>
          </w:p>
        </w:tc>
        <w:tc>
          <w:tcPr>
            <w:tcW w:type="dxa" w:w="468"/>
            <w:vAlign w:val="center"/>
          </w:tcPr>
          <w:p>
            <w:r>
              <w:rPr>
                <w:rFonts w:ascii="Arial" w:hAnsi="Arial"/>
                <w:color w:val="000000"/>
                <w:sz w:val="14"/>
              </w:rPr>
              <w:t>718.42</w:t>
            </w:r>
          </w:p>
        </w:tc>
        <w:tc>
          <w:tcPr>
            <w:tcW w:type="dxa" w:w="468"/>
            <w:vAlign w:val="center"/>
          </w:tcPr>
          <w:p>
            <w:r>
              <w:rPr>
                <w:rFonts w:ascii="Arial" w:hAnsi="Arial"/>
                <w:color w:val="000000"/>
                <w:sz w:val="14"/>
              </w:rPr>
              <w:t>10257</w:t>
            </w:r>
          </w:p>
        </w:tc>
        <w:tc>
          <w:tcPr>
            <w:tcW w:type="dxa" w:w="468"/>
            <w:vAlign w:val="center"/>
          </w:tcPr>
          <w:p>
            <w:r>
              <w:rPr>
                <w:rFonts w:ascii="Arial" w:hAnsi="Arial"/>
                <w:color w:val="000000"/>
                <w:sz w:val="14"/>
              </w:rPr>
              <w:t>9633</w:t>
            </w:r>
          </w:p>
        </w:tc>
        <w:tc>
          <w:tcPr>
            <w:tcW w:type="dxa" w:w="468"/>
            <w:vAlign w:val="center"/>
          </w:tcPr>
          <w:p>
            <w:r>
              <w:rPr>
                <w:rFonts w:ascii="Arial" w:hAnsi="Arial"/>
                <w:color w:val="000000"/>
                <w:sz w:val="14"/>
              </w:rPr>
              <w:t>10560</w:t>
            </w:r>
          </w:p>
        </w:tc>
        <w:tc>
          <w:tcPr>
            <w:tcW w:type="dxa" w:w="468"/>
            <w:vAlign w:val="center"/>
          </w:tcPr>
          <w:p>
            <w:r>
              <w:rPr>
                <w:rFonts w:ascii="Arial" w:hAnsi="Arial"/>
                <w:color w:val="000000"/>
                <w:sz w:val="14"/>
              </w:rPr>
              <w:t>927</w:t>
            </w:r>
          </w:p>
        </w:tc>
        <w:tc>
          <w:tcPr>
            <w:tcW w:type="dxa" w:w="468"/>
            <w:vAlign w:val="center"/>
          </w:tcPr>
          <w:p>
            <w:r>
              <w:rPr>
                <w:rFonts w:ascii="Arial" w:hAnsi="Arial"/>
                <w:color w:val="000000"/>
                <w:sz w:val="14"/>
              </w:rPr>
              <w:t>7313</w:t>
            </w:r>
          </w:p>
        </w:tc>
        <w:tc>
          <w:tcPr>
            <w:tcW w:type="dxa" w:w="468"/>
            <w:vAlign w:val="center"/>
          </w:tcPr>
          <w:p>
            <w:r>
              <w:rPr>
                <w:rFonts w:ascii="Arial" w:hAnsi="Arial"/>
                <w:color w:val="000000"/>
                <w:sz w:val="14"/>
              </w:rPr>
              <w:t>11220</w:t>
            </w:r>
          </w:p>
        </w:tc>
        <w:tc>
          <w:tcPr>
            <w:tcW w:type="dxa" w:w="468"/>
            <w:vAlign w:val="center"/>
          </w:tcPr>
          <w:p>
            <w:r>
              <w:rPr>
                <w:rFonts w:ascii="Arial" w:hAnsi="Arial"/>
                <w:color w:val="000000"/>
                <w:sz w:val="14"/>
              </w:rPr>
              <w:t>-1.1723</w:t>
            </w:r>
          </w:p>
        </w:tc>
        <w:tc>
          <w:tcPr>
            <w:tcW w:type="dxa" w:w="468"/>
            <w:vAlign w:val="center"/>
          </w:tcPr>
          <w:p>
            <w:r>
              <w:rPr>
                <w:rFonts w:ascii="Arial" w:hAnsi="Arial"/>
                <w:color w:val="000000"/>
                <w:sz w:val="14"/>
              </w:rPr>
              <w:t>0.7211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uv_radiation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608.8</w:t>
            </w:r>
          </w:p>
        </w:tc>
        <w:tc>
          <w:tcPr>
            <w:tcW w:type="dxa" w:w="468"/>
            <w:vAlign w:val="center"/>
          </w:tcPr>
          <w:p>
            <w:r>
              <w:rPr>
                <w:rFonts w:ascii="Arial" w:hAnsi="Arial"/>
                <w:color w:val="000000"/>
                <w:sz w:val="14"/>
              </w:rPr>
              <w:t>152.96</w:t>
            </w:r>
          </w:p>
        </w:tc>
        <w:tc>
          <w:tcPr>
            <w:tcW w:type="dxa" w:w="468"/>
            <w:vAlign w:val="center"/>
          </w:tcPr>
          <w:p>
            <w:r>
              <w:rPr>
                <w:rFonts w:ascii="Arial" w:hAnsi="Arial"/>
                <w:color w:val="000000"/>
                <w:sz w:val="14"/>
              </w:rPr>
              <w:t>645.9</w:t>
            </w:r>
          </w:p>
        </w:tc>
        <w:tc>
          <w:tcPr>
            <w:tcW w:type="dxa" w:w="468"/>
            <w:vAlign w:val="center"/>
          </w:tcPr>
          <w:p>
            <w:r>
              <w:rPr>
                <w:rFonts w:ascii="Arial" w:hAnsi="Arial"/>
                <w:color w:val="000000"/>
                <w:sz w:val="14"/>
              </w:rPr>
              <w:t>523.1</w:t>
            </w:r>
          </w:p>
        </w:tc>
        <w:tc>
          <w:tcPr>
            <w:tcW w:type="dxa" w:w="468"/>
            <w:vAlign w:val="center"/>
          </w:tcPr>
          <w:p>
            <w:r>
              <w:rPr>
                <w:rFonts w:ascii="Arial" w:hAnsi="Arial"/>
                <w:color w:val="000000"/>
                <w:sz w:val="14"/>
              </w:rPr>
              <w:t>720.66</w:t>
            </w:r>
          </w:p>
        </w:tc>
        <w:tc>
          <w:tcPr>
            <w:tcW w:type="dxa" w:w="468"/>
            <w:vAlign w:val="center"/>
          </w:tcPr>
          <w:p>
            <w:r>
              <w:rPr>
                <w:rFonts w:ascii="Arial" w:hAnsi="Arial"/>
                <w:color w:val="000000"/>
                <w:sz w:val="14"/>
              </w:rPr>
              <w:t>197.57</w:t>
            </w:r>
          </w:p>
        </w:tc>
        <w:tc>
          <w:tcPr>
            <w:tcW w:type="dxa" w:w="468"/>
            <w:vAlign w:val="center"/>
          </w:tcPr>
          <w:p>
            <w:r>
              <w:rPr>
                <w:rFonts w:ascii="Arial" w:hAnsi="Arial"/>
                <w:color w:val="000000"/>
                <w:sz w:val="14"/>
              </w:rPr>
              <w:t>46.46</w:t>
            </w:r>
          </w:p>
        </w:tc>
        <w:tc>
          <w:tcPr>
            <w:tcW w:type="dxa" w:w="468"/>
            <w:vAlign w:val="center"/>
          </w:tcPr>
          <w:p>
            <w:r>
              <w:rPr>
                <w:rFonts w:ascii="Arial" w:hAnsi="Arial"/>
                <w:color w:val="000000"/>
                <w:sz w:val="14"/>
              </w:rPr>
              <w:t>892.95</w:t>
            </w:r>
          </w:p>
        </w:tc>
        <w:tc>
          <w:tcPr>
            <w:tcW w:type="dxa" w:w="468"/>
            <w:vAlign w:val="center"/>
          </w:tcPr>
          <w:p>
            <w:r>
              <w:rPr>
                <w:rFonts w:ascii="Arial" w:hAnsi="Arial"/>
                <w:color w:val="000000"/>
                <w:sz w:val="14"/>
              </w:rPr>
              <w:t>-0.90391</w:t>
            </w:r>
          </w:p>
        </w:tc>
        <w:tc>
          <w:tcPr>
            <w:tcW w:type="dxa" w:w="468"/>
            <w:vAlign w:val="center"/>
          </w:tcPr>
          <w:p>
            <w:r>
              <w:rPr>
                <w:rFonts w:ascii="Arial" w:hAnsi="Arial"/>
                <w:color w:val="000000"/>
                <w:sz w:val="14"/>
              </w:rPr>
              <w:t>0.30826</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pressure_mean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1005.6</w:t>
            </w:r>
          </w:p>
        </w:tc>
        <w:tc>
          <w:tcPr>
            <w:tcW w:type="dxa" w:w="468"/>
            <w:vAlign w:val="center"/>
          </w:tcPr>
          <w:p>
            <w:r>
              <w:rPr>
                <w:rFonts w:ascii="Arial" w:hAnsi="Arial"/>
                <w:color w:val="000000"/>
                <w:sz w:val="14"/>
              </w:rPr>
              <w:t>4.3676</w:t>
            </w:r>
          </w:p>
        </w:tc>
        <w:tc>
          <w:tcPr>
            <w:tcW w:type="dxa" w:w="468"/>
            <w:vAlign w:val="center"/>
          </w:tcPr>
          <w:p>
            <w:r>
              <w:rPr>
                <w:rFonts w:ascii="Arial" w:hAnsi="Arial"/>
                <w:color w:val="000000"/>
                <w:sz w:val="14"/>
              </w:rPr>
              <w:t>1005.7</w:t>
            </w:r>
          </w:p>
        </w:tc>
        <w:tc>
          <w:tcPr>
            <w:tcW w:type="dxa" w:w="468"/>
            <w:vAlign w:val="center"/>
          </w:tcPr>
          <w:p>
            <w:r>
              <w:rPr>
                <w:rFonts w:ascii="Arial" w:hAnsi="Arial"/>
                <w:color w:val="000000"/>
                <w:sz w:val="14"/>
              </w:rPr>
              <w:t>1002.5</w:t>
            </w:r>
          </w:p>
        </w:tc>
        <w:tc>
          <w:tcPr>
            <w:tcW w:type="dxa" w:w="468"/>
            <w:vAlign w:val="center"/>
          </w:tcPr>
          <w:p>
            <w:r>
              <w:rPr>
                <w:rFonts w:ascii="Arial" w:hAnsi="Arial"/>
                <w:color w:val="000000"/>
                <w:sz w:val="14"/>
              </w:rPr>
              <w:t>1008.9</w:t>
            </w:r>
          </w:p>
        </w:tc>
        <w:tc>
          <w:tcPr>
            <w:tcW w:type="dxa" w:w="468"/>
            <w:vAlign w:val="center"/>
          </w:tcPr>
          <w:p>
            <w:r>
              <w:rPr>
                <w:rFonts w:ascii="Arial" w:hAnsi="Arial"/>
                <w:color w:val="000000"/>
                <w:sz w:val="14"/>
              </w:rPr>
              <w:t>6.3375</w:t>
            </w:r>
          </w:p>
        </w:tc>
        <w:tc>
          <w:tcPr>
            <w:tcW w:type="dxa" w:w="468"/>
            <w:vAlign w:val="center"/>
          </w:tcPr>
          <w:p>
            <w:r>
              <w:rPr>
                <w:rFonts w:ascii="Arial" w:hAnsi="Arial"/>
                <w:color w:val="000000"/>
                <w:sz w:val="14"/>
              </w:rPr>
              <w:t>987.86</w:t>
            </w:r>
          </w:p>
        </w:tc>
        <w:tc>
          <w:tcPr>
            <w:tcW w:type="dxa" w:w="468"/>
            <w:vAlign w:val="center"/>
          </w:tcPr>
          <w:p>
            <w:r>
              <w:rPr>
                <w:rFonts w:ascii="Arial" w:hAnsi="Arial"/>
                <w:color w:val="000000"/>
                <w:sz w:val="14"/>
              </w:rPr>
              <w:t>1017.1</w:t>
            </w:r>
          </w:p>
        </w:tc>
        <w:tc>
          <w:tcPr>
            <w:tcW w:type="dxa" w:w="468"/>
            <w:vAlign w:val="center"/>
          </w:tcPr>
          <w:p>
            <w:r>
              <w:rPr>
                <w:rFonts w:ascii="Arial" w:hAnsi="Arial"/>
                <w:color w:val="000000"/>
                <w:sz w:val="14"/>
              </w:rPr>
              <w:t>-0.17609</w:t>
            </w:r>
          </w:p>
        </w:tc>
        <w:tc>
          <w:tcPr>
            <w:tcW w:type="dxa" w:w="468"/>
            <w:vAlign w:val="center"/>
          </w:tcPr>
          <w:p>
            <w:r>
              <w:rPr>
                <w:rFonts w:ascii="Arial" w:hAnsi="Arial"/>
                <w:color w:val="000000"/>
                <w:sz w:val="14"/>
              </w:rPr>
              <w:t>-0.31675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evapotranspiration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3.7988</w:t>
            </w:r>
          </w:p>
        </w:tc>
        <w:tc>
          <w:tcPr>
            <w:tcW w:type="dxa" w:w="468"/>
            <w:vAlign w:val="center"/>
          </w:tcPr>
          <w:p>
            <w:r>
              <w:rPr>
                <w:rFonts w:ascii="Arial" w:hAnsi="Arial"/>
                <w:color w:val="000000"/>
                <w:sz w:val="14"/>
              </w:rPr>
              <w:t>0.92919</w:t>
            </w:r>
          </w:p>
        </w:tc>
        <w:tc>
          <w:tcPr>
            <w:tcW w:type="dxa" w:w="468"/>
            <w:vAlign w:val="center"/>
          </w:tcPr>
          <w:p>
            <w:r>
              <w:rPr>
                <w:rFonts w:ascii="Arial" w:hAnsi="Arial"/>
                <w:color w:val="000000"/>
                <w:sz w:val="14"/>
              </w:rPr>
              <w:t>3.7843</w:t>
            </w:r>
          </w:p>
        </w:tc>
        <w:tc>
          <w:tcPr>
            <w:tcW w:type="dxa" w:w="468"/>
            <w:vAlign w:val="center"/>
          </w:tcPr>
          <w:p>
            <w:r>
              <w:rPr>
                <w:rFonts w:ascii="Arial" w:hAnsi="Arial"/>
                <w:color w:val="000000"/>
                <w:sz w:val="14"/>
              </w:rPr>
              <w:t>3.132</w:t>
            </w:r>
          </w:p>
        </w:tc>
        <w:tc>
          <w:tcPr>
            <w:tcW w:type="dxa" w:w="468"/>
            <w:vAlign w:val="center"/>
          </w:tcPr>
          <w:p>
            <w:r>
              <w:rPr>
                <w:rFonts w:ascii="Arial" w:hAnsi="Arial"/>
                <w:color w:val="000000"/>
                <w:sz w:val="14"/>
              </w:rPr>
              <w:t>4.5115</w:t>
            </w:r>
          </w:p>
        </w:tc>
        <w:tc>
          <w:tcPr>
            <w:tcW w:type="dxa" w:w="468"/>
            <w:vAlign w:val="center"/>
          </w:tcPr>
          <w:p>
            <w:r>
              <w:rPr>
                <w:rFonts w:ascii="Arial" w:hAnsi="Arial"/>
                <w:color w:val="000000"/>
                <w:sz w:val="14"/>
              </w:rPr>
              <w:t>1.3795</w:t>
            </w:r>
          </w:p>
        </w:tc>
        <w:tc>
          <w:tcPr>
            <w:tcW w:type="dxa" w:w="468"/>
            <w:vAlign w:val="center"/>
          </w:tcPr>
          <w:p>
            <w:r>
              <w:rPr>
                <w:rFonts w:ascii="Arial" w:hAnsi="Arial"/>
                <w:color w:val="000000"/>
                <w:sz w:val="14"/>
              </w:rPr>
              <w:t>1.0469</w:t>
            </w:r>
          </w:p>
        </w:tc>
        <w:tc>
          <w:tcPr>
            <w:tcW w:type="dxa" w:w="468"/>
            <w:vAlign w:val="center"/>
          </w:tcPr>
          <w:p>
            <w:r>
              <w:rPr>
                <w:rFonts w:ascii="Arial" w:hAnsi="Arial"/>
                <w:color w:val="000000"/>
                <w:sz w:val="14"/>
              </w:rPr>
              <w:t>6.7378</w:t>
            </w:r>
          </w:p>
        </w:tc>
        <w:tc>
          <w:tcPr>
            <w:tcW w:type="dxa" w:w="468"/>
            <w:vAlign w:val="center"/>
          </w:tcPr>
          <w:p>
            <w:r>
              <w:rPr>
                <w:rFonts w:ascii="Arial" w:hAnsi="Arial"/>
                <w:color w:val="000000"/>
                <w:sz w:val="14"/>
              </w:rPr>
              <w:t>-0.067285</w:t>
            </w:r>
          </w:p>
        </w:tc>
        <w:tc>
          <w:tcPr>
            <w:tcW w:type="dxa" w:w="468"/>
            <w:vAlign w:val="center"/>
          </w:tcPr>
          <w:p>
            <w:r>
              <w:rPr>
                <w:rFonts w:ascii="Arial" w:hAnsi="Arial"/>
                <w:color w:val="000000"/>
                <w:sz w:val="14"/>
              </w:rPr>
              <w:t>-0.57604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soil_temperature_mean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28.5</w:t>
            </w:r>
          </w:p>
        </w:tc>
        <w:tc>
          <w:tcPr>
            <w:tcW w:type="dxa" w:w="468"/>
            <w:vAlign w:val="center"/>
          </w:tcPr>
          <w:p>
            <w:r>
              <w:rPr>
                <w:rFonts w:ascii="Arial" w:hAnsi="Arial"/>
                <w:color w:val="000000"/>
                <w:sz w:val="14"/>
              </w:rPr>
              <w:t>2.1141</w:t>
            </w:r>
          </w:p>
        </w:tc>
        <w:tc>
          <w:tcPr>
            <w:tcW w:type="dxa" w:w="468"/>
            <w:vAlign w:val="center"/>
          </w:tcPr>
          <w:p>
            <w:r>
              <w:rPr>
                <w:rFonts w:ascii="Arial" w:hAnsi="Arial"/>
                <w:color w:val="000000"/>
                <w:sz w:val="14"/>
              </w:rPr>
              <w:t>28.752</w:t>
            </w:r>
          </w:p>
        </w:tc>
        <w:tc>
          <w:tcPr>
            <w:tcW w:type="dxa" w:w="468"/>
            <w:vAlign w:val="center"/>
          </w:tcPr>
          <w:p>
            <w:r>
              <w:rPr>
                <w:rFonts w:ascii="Arial" w:hAnsi="Arial"/>
                <w:color w:val="000000"/>
                <w:sz w:val="14"/>
              </w:rPr>
              <w:t>27.31</w:t>
            </w:r>
          </w:p>
        </w:tc>
        <w:tc>
          <w:tcPr>
            <w:tcW w:type="dxa" w:w="468"/>
            <w:vAlign w:val="center"/>
          </w:tcPr>
          <w:p>
            <w:r>
              <w:rPr>
                <w:rFonts w:ascii="Arial" w:hAnsi="Arial"/>
                <w:color w:val="000000"/>
                <w:sz w:val="14"/>
              </w:rPr>
              <w:t>30.016</w:t>
            </w:r>
          </w:p>
        </w:tc>
        <w:tc>
          <w:tcPr>
            <w:tcW w:type="dxa" w:w="468"/>
            <w:vAlign w:val="center"/>
          </w:tcPr>
          <w:p>
            <w:r>
              <w:rPr>
                <w:rFonts w:ascii="Arial" w:hAnsi="Arial"/>
                <w:color w:val="000000"/>
                <w:sz w:val="14"/>
              </w:rPr>
              <w:t>2.7066</w:t>
            </w:r>
          </w:p>
        </w:tc>
        <w:tc>
          <w:tcPr>
            <w:tcW w:type="dxa" w:w="468"/>
            <w:vAlign w:val="center"/>
          </w:tcPr>
          <w:p>
            <w:r>
              <w:rPr>
                <w:rFonts w:ascii="Arial" w:hAnsi="Arial"/>
                <w:color w:val="000000"/>
                <w:sz w:val="14"/>
              </w:rPr>
              <w:t>19.832</w:t>
            </w:r>
          </w:p>
        </w:tc>
        <w:tc>
          <w:tcPr>
            <w:tcW w:type="dxa" w:w="468"/>
            <w:vAlign w:val="center"/>
          </w:tcPr>
          <w:p>
            <w:r>
              <w:rPr>
                <w:rFonts w:ascii="Arial" w:hAnsi="Arial"/>
                <w:color w:val="000000"/>
                <w:sz w:val="14"/>
              </w:rPr>
              <w:t>34.585</w:t>
            </w:r>
          </w:p>
        </w:tc>
        <w:tc>
          <w:tcPr>
            <w:tcW w:type="dxa" w:w="468"/>
            <w:vAlign w:val="center"/>
          </w:tcPr>
          <w:p>
            <w:r>
              <w:rPr>
                <w:rFonts w:ascii="Arial" w:hAnsi="Arial"/>
                <w:color w:val="000000"/>
                <w:sz w:val="14"/>
              </w:rPr>
              <w:t>-0.64722</w:t>
            </w:r>
          </w:p>
        </w:tc>
        <w:tc>
          <w:tcPr>
            <w:tcW w:type="dxa" w:w="468"/>
            <w:vAlign w:val="center"/>
          </w:tcPr>
          <w:p>
            <w:r>
              <w:rPr>
                <w:rFonts w:ascii="Arial" w:hAnsi="Arial"/>
                <w:color w:val="000000"/>
                <w:sz w:val="14"/>
              </w:rPr>
              <w:t>0.27794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soil_moisture_mean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0.31251</w:t>
            </w:r>
          </w:p>
        </w:tc>
        <w:tc>
          <w:tcPr>
            <w:tcW w:type="dxa" w:w="468"/>
            <w:vAlign w:val="center"/>
          </w:tcPr>
          <w:p>
            <w:r>
              <w:rPr>
                <w:rFonts w:ascii="Arial" w:hAnsi="Arial"/>
                <w:color w:val="000000"/>
                <w:sz w:val="14"/>
              </w:rPr>
              <w:t>0.10232</w:t>
            </w:r>
          </w:p>
        </w:tc>
        <w:tc>
          <w:tcPr>
            <w:tcW w:type="dxa" w:w="468"/>
            <w:vAlign w:val="center"/>
          </w:tcPr>
          <w:p>
            <w:r>
              <w:rPr>
                <w:rFonts w:ascii="Arial" w:hAnsi="Arial"/>
                <w:color w:val="000000"/>
                <w:sz w:val="14"/>
              </w:rPr>
              <w:t>0.34985</w:t>
            </w:r>
          </w:p>
        </w:tc>
        <w:tc>
          <w:tcPr>
            <w:tcW w:type="dxa" w:w="468"/>
            <w:vAlign w:val="center"/>
          </w:tcPr>
          <w:p>
            <w:r>
              <w:rPr>
                <w:rFonts w:ascii="Arial" w:hAnsi="Arial"/>
                <w:color w:val="000000"/>
                <w:sz w:val="14"/>
              </w:rPr>
              <w:t>0.20641</w:t>
            </w:r>
          </w:p>
        </w:tc>
        <w:tc>
          <w:tcPr>
            <w:tcW w:type="dxa" w:w="468"/>
            <w:vAlign w:val="center"/>
          </w:tcPr>
          <w:p>
            <w:r>
              <w:rPr>
                <w:rFonts w:ascii="Arial" w:hAnsi="Arial"/>
                <w:color w:val="000000"/>
                <w:sz w:val="14"/>
              </w:rPr>
              <w:t>0.40513</w:t>
            </w:r>
          </w:p>
        </w:tc>
        <w:tc>
          <w:tcPr>
            <w:tcW w:type="dxa" w:w="468"/>
            <w:vAlign w:val="center"/>
          </w:tcPr>
          <w:p>
            <w:r>
              <w:rPr>
                <w:rFonts w:ascii="Arial" w:hAnsi="Arial"/>
                <w:color w:val="000000"/>
                <w:sz w:val="14"/>
              </w:rPr>
              <w:t>0.19872</w:t>
            </w:r>
          </w:p>
        </w:tc>
        <w:tc>
          <w:tcPr>
            <w:tcW w:type="dxa" w:w="468"/>
            <w:vAlign w:val="center"/>
          </w:tcPr>
          <w:p>
            <w:r>
              <w:rPr>
                <w:rFonts w:ascii="Arial" w:hAnsi="Arial"/>
                <w:color w:val="000000"/>
                <w:sz w:val="14"/>
              </w:rPr>
              <w:t>0.12858</w:t>
            </w:r>
          </w:p>
        </w:tc>
        <w:tc>
          <w:tcPr>
            <w:tcW w:type="dxa" w:w="468"/>
            <w:vAlign w:val="center"/>
          </w:tcPr>
          <w:p>
            <w:r>
              <w:rPr>
                <w:rFonts w:ascii="Arial" w:hAnsi="Arial"/>
                <w:color w:val="000000"/>
                <w:sz w:val="14"/>
              </w:rPr>
              <w:t>0.43792</w:t>
            </w:r>
          </w:p>
        </w:tc>
        <w:tc>
          <w:tcPr>
            <w:tcW w:type="dxa" w:w="468"/>
            <w:vAlign w:val="center"/>
          </w:tcPr>
          <w:p>
            <w:r>
              <w:rPr>
                <w:rFonts w:ascii="Arial" w:hAnsi="Arial"/>
                <w:color w:val="000000"/>
                <w:sz w:val="14"/>
              </w:rPr>
              <w:t>-0.48035</w:t>
            </w:r>
          </w:p>
        </w:tc>
        <w:tc>
          <w:tcPr>
            <w:tcW w:type="dxa" w:w="468"/>
            <w:vAlign w:val="center"/>
          </w:tcPr>
          <w:p>
            <w:r>
              <w:rPr>
                <w:rFonts w:ascii="Arial" w:hAnsi="Arial"/>
                <w:color w:val="000000"/>
                <w:sz w:val="14"/>
              </w:rPr>
              <w:t>-1.3482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annual_persistent_count_distribution</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t>5.0943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28</w:t>
            </w:r>
          </w:p>
        </w:tc>
        <w:tc>
          <w:tcPr>
            <w:tcW w:type="dxa" w:w="468"/>
            <w:vAlign w:val="center"/>
          </w:tcPr>
          <w:p>
            <w:r>
              <w:rPr>
                <w:rFonts w:ascii="Arial" w:hAnsi="Arial"/>
                <w:color w:val="000000"/>
                <w:sz w:val="14"/>
              </w:rPr>
              <w:t>1.5075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t>heatwave_days</w:t>
            </w:r>
          </w:p>
        </w:tc>
        <w:tc>
          <w:tcPr>
            <w:tcW w:type="dxa" w:w="468"/>
            <w:vAlign w:val="center"/>
          </w:tcPr>
          <w:p>
            <w:r>
              <w:rPr>
                <w:rFonts w:ascii="Arial" w:hAnsi="Arial"/>
                <w:color w:val="000000"/>
                <w:sz w:val="14"/>
              </w:rPr>
              <w:t>53</w:t>
            </w:r>
          </w:p>
        </w:tc>
        <w:tc>
          <w:tcPr>
            <w:tcW w:type="dxa" w:w="468"/>
            <w:vAlign w:val="center"/>
          </w:tcPr>
          <w:p>
            <w:r>
              <w:rPr>
                <w:rFonts w:ascii="Arial" w:hAnsi="Arial"/>
                <w:color w:val="000000"/>
                <w:sz w:val="14"/>
              </w:rPr>
              <w:t>58.895</w:t>
            </w:r>
          </w:p>
        </w:tc>
        <w:tc>
          <w:tcPr>
            <w:tcW w:type="dxa" w:w="468"/>
            <w:vAlign w:val="center"/>
          </w:tcPr>
          <w:p>
            <w:r>
              <w:rPr>
                <w:rFonts w:ascii="Arial" w:hAnsi="Arial"/>
                <w:color w:val="000000"/>
                <w:sz w:val="14"/>
              </w:rPr>
              <w:t>11.561</w:t>
            </w:r>
          </w:p>
        </w:tc>
        <w:tc>
          <w:tcPr>
            <w:tcW w:type="dxa" w:w="468"/>
            <w:vAlign w:val="center"/>
          </w:tcPr>
          <w:p>
            <w:r>
              <w:rPr>
                <w:rFonts w:ascii="Arial" w:hAnsi="Arial"/>
                <w:color w:val="000000"/>
                <w:sz w:val="14"/>
              </w:rPr>
              <w:t>31</w:t>
            </w:r>
          </w:p>
        </w:tc>
        <w:tc>
          <w:tcPr>
            <w:tcW w:type="dxa" w:w="468"/>
            <w:vAlign w:val="center"/>
          </w:tcPr>
          <w:p>
            <w:r>
              <w:rPr>
                <w:rFonts w:ascii="Arial" w:hAnsi="Arial"/>
                <w:color w:val="000000"/>
                <w:sz w:val="14"/>
              </w:rPr>
              <w:t>0.58491</w:t>
            </w:r>
          </w:p>
        </w:tc>
      </w:tr>
    </w:tbl>
    <w:p/>
    <w:p>
      <w:pPr>
        <w:pStyle w:val="Caption"/>
        <w:jc w:val="left"/>
      </w:pPr>
      <w:r>
        <w:rPr>
          <w:color w:val="000000"/>
        </w:rPr>
        <w:t>Table 2. Correlation and collinearity screening.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D9EAF7"/>
          </w:tcPr>
          <w:p>
            <w:r>
              <w:rPr>
                <w:rFonts w:ascii="Arial" w:hAnsi="Arial"/>
                <w:b/>
                <w:color w:val="000000"/>
                <w:sz w:val="14"/>
              </w:rPr>
              <w:t>section</w:t>
            </w:r>
          </w:p>
        </w:tc>
        <w:tc>
          <w:tcPr>
            <w:tcW w:type="dxa" w:w="1872"/>
            <w:vAlign w:val="center"/>
            <w:shd w:fill="D9EAF7"/>
          </w:tcPr>
          <w:p>
            <w:r>
              <w:rPr>
                <w:rFonts w:ascii="Arial" w:hAnsi="Arial"/>
                <w:b/>
                <w:color w:val="000000"/>
                <w:sz w:val="14"/>
              </w:rPr>
              <w:t>variable 1</w:t>
            </w:r>
          </w:p>
        </w:tc>
        <w:tc>
          <w:tcPr>
            <w:tcW w:type="dxa" w:w="1872"/>
            <w:vAlign w:val="center"/>
            <w:shd w:fill="D9EAF7"/>
          </w:tcPr>
          <w:p>
            <w:r>
              <w:rPr>
                <w:rFonts w:ascii="Arial" w:hAnsi="Arial"/>
                <w:b/>
                <w:color w:val="000000"/>
                <w:sz w:val="14"/>
              </w:rPr>
              <w:t>variable 2</w:t>
            </w:r>
          </w:p>
        </w:tc>
        <w:tc>
          <w:tcPr>
            <w:tcW w:type="dxa" w:w="1872"/>
            <w:vAlign w:val="center"/>
            <w:shd w:fill="D9EAF7"/>
          </w:tcPr>
          <w:p>
            <w:r>
              <w:rPr>
                <w:rFonts w:ascii="Arial" w:hAnsi="Arial"/>
                <w:b/>
                <w:color w:val="000000"/>
                <w:sz w:val="14"/>
              </w:rPr>
              <w:t>estimate</w:t>
            </w:r>
          </w:p>
        </w:tc>
        <w:tc>
          <w:tcPr>
            <w:tcW w:type="dxa" w:w="1872"/>
            <w:vAlign w:val="center"/>
            <w:shd w:fill="D9EAF7"/>
          </w:tcPr>
          <w:p>
            <w:r>
              <w:rPr>
                <w:rFonts w:ascii="Arial" w:hAnsi="Arial"/>
                <w:b/>
                <w:color w:val="000000"/>
                <w:sz w:val="14"/>
              </w:rPr>
              <w:t>decision</w:t>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0.41827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-0.55466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-0.47027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0.13438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-0.43455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0.49052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0.64551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-0.09505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-0.4891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0.30358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0.15921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0.47766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0.31573</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-0.19921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-0.086378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-0.74095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0.32636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0.82388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0.19739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0.82294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-0.77552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-0.8246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-0.5334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0.89831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0.10195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0.73472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-0.65985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-0.77626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-0.43671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0.79115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0.32665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-0.27833</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-0.17302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-0.48359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0.16049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-0.93362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-0.83243</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-0.54647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0.73261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0.85411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0.42095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-0.65568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0.3554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-0.72892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-0.55766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0.65388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-0.69996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-0.52627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0.17138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-0.5269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0.54006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0.67817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-0.21169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-0.72177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-0.24979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-0.44012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0.30877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-0.19041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0.18631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0.33218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-0.30446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-0.46551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0.56805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-0.050378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0.67372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-0.68231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-0.75831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0.02768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0.73542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-0.053191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0.54289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-0.48324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-0.67146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0.022284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0.50688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0.17329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-0.13972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-0.023309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-0.31067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-0.16941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-0.92565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-0.79496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-0.15307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0.46891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0.81706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0.11259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-0.47076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-0.0033119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-0.60008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0.1411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antecedent_predictor_screening</w:t>
            </w:r>
          </w:p>
        </w:tc>
        <w:tc>
          <w:tcPr>
            <w:tcW w:type="dxa" w:w="1872"/>
            <w:vAlign w:val="center"/>
          </w:tcPr>
          <w:p>
            <w:r>
              <w:rPr>
                <w:rFonts w:ascii="Arial" w:hAnsi="Arial"/>
                <w:color w:val="000000"/>
                <w:sz w:val="14"/>
              </w:rPr>
              <w:t>rh_mean_lag3_mean</w:t>
            </w:r>
          </w:p>
        </w:tc>
        <w:tc>
          <w:tcPr>
            <w:tcW w:type="dxa" w:w="1872"/>
            <w:vAlign w:val="center"/>
          </w:tcPr>
          <w:p>
            <w:r>
              <w:rPr>
                <w:rFonts w:ascii="Arial" w:hAnsi="Arial"/>
                <w:color w:val="000000"/>
                <w:sz w:val="14"/>
              </w:rPr>
              <w:t>retained</w:t>
            </w:r>
          </w:p>
        </w:tc>
        <w:tc>
          <w:tcPr>
            <w:tcW w:type="dxa" w:w="1872"/>
            <w:vAlign w:val="center"/>
          </w:tcPr>
          <w:p>
            <w:r>
              <w:rPr>
                <w:rFonts w:ascii="Arial" w:hAnsi="Arial"/>
                <w:color w:val="000000"/>
                <w:sz w:val="14"/>
              </w:rPr>
              <w:t>2.2605</w:t>
            </w:r>
          </w:p>
        </w:tc>
        <w:tc>
          <w:tcPr>
            <w:tcW w:type="dxa" w:w="1872"/>
            <w:vAlign w:val="center"/>
          </w:tcPr>
          <w:p>
            <w:r>
              <w:rPr>
                <w:rFonts w:ascii="Arial" w:hAnsi="Arial"/>
                <w:color w:val="000000"/>
                <w:sz w:val="14"/>
              </w:rPr>
              <w:t>retained; antecedent, non-target-derived, interpretable, VIF below 5</w:t>
            </w:r>
          </w:p>
        </w:tc>
      </w:tr>
      <w:tr>
        <w:tc>
          <w:tcPr>
            <w:tcW w:type="dxa" w:w="1872"/>
            <w:vAlign w:val="center"/>
          </w:tcPr>
          <w:p>
            <w:r>
              <w:rPr>
                <w:rFonts w:ascii="Arial" w:hAnsi="Arial"/>
                <w:color w:val="000000"/>
                <w:sz w:val="14"/>
              </w:rPr>
              <w:t>antecedent_predictor_screening</w:t>
            </w:r>
          </w:p>
        </w:tc>
        <w:tc>
          <w:tcPr>
            <w:tcW w:type="dxa" w:w="1872"/>
            <w:vAlign w:val="center"/>
          </w:tcPr>
          <w:p>
            <w:r>
              <w:rPr>
                <w:rFonts w:ascii="Arial" w:hAnsi="Arial"/>
                <w:color w:val="000000"/>
                <w:sz w:val="14"/>
              </w:rPr>
              <w:t>precipitation_lag7_sum</w:t>
            </w:r>
          </w:p>
        </w:tc>
        <w:tc>
          <w:tcPr>
            <w:tcW w:type="dxa" w:w="1872"/>
            <w:vAlign w:val="center"/>
          </w:tcPr>
          <w:p>
            <w:r>
              <w:rPr>
                <w:rFonts w:ascii="Arial" w:hAnsi="Arial"/>
                <w:color w:val="000000"/>
                <w:sz w:val="14"/>
              </w:rPr>
              <w:t>retained</w:t>
            </w:r>
          </w:p>
        </w:tc>
        <w:tc>
          <w:tcPr>
            <w:tcW w:type="dxa" w:w="1872"/>
            <w:vAlign w:val="center"/>
          </w:tcPr>
          <w:p>
            <w:r>
              <w:rPr>
                <w:rFonts w:ascii="Arial" w:hAnsi="Arial"/>
                <w:color w:val="000000"/>
                <w:sz w:val="14"/>
              </w:rPr>
              <w:t>1.8149</w:t>
            </w:r>
          </w:p>
        </w:tc>
        <w:tc>
          <w:tcPr>
            <w:tcW w:type="dxa" w:w="1872"/>
            <w:vAlign w:val="center"/>
          </w:tcPr>
          <w:p>
            <w:r>
              <w:rPr>
                <w:rFonts w:ascii="Arial" w:hAnsi="Arial"/>
                <w:color w:val="000000"/>
                <w:sz w:val="14"/>
              </w:rPr>
              <w:t>retained; antecedent, non-target-derived, interpretable, VIF below 5</w:t>
            </w:r>
          </w:p>
        </w:tc>
      </w:tr>
      <w:tr>
        <w:tc>
          <w:tcPr>
            <w:tcW w:type="dxa" w:w="1872"/>
            <w:vAlign w:val="center"/>
          </w:tcPr>
          <w:p>
            <w:r>
              <w:rPr>
                <w:rFonts w:ascii="Arial" w:hAnsi="Arial"/>
                <w:color w:val="000000"/>
                <w:sz w:val="14"/>
              </w:rPr>
              <w:t>antecedent_predictor_screening</w:t>
            </w:r>
          </w:p>
        </w:tc>
        <w:tc>
          <w:tcPr>
            <w:tcW w:type="dxa" w:w="1872"/>
            <w:vAlign w:val="center"/>
          </w:tcPr>
          <w:p>
            <w:r>
              <w:rPr>
                <w:rFonts w:ascii="Arial" w:hAnsi="Arial"/>
                <w:color w:val="000000"/>
                <w:sz w:val="14"/>
              </w:rPr>
              <w:t>wind_speed_mean_lag3_mean</w:t>
            </w:r>
          </w:p>
        </w:tc>
        <w:tc>
          <w:tcPr>
            <w:tcW w:type="dxa" w:w="1872"/>
            <w:vAlign w:val="center"/>
          </w:tcPr>
          <w:p>
            <w:r>
              <w:rPr>
                <w:rFonts w:ascii="Arial" w:hAnsi="Arial"/>
                <w:color w:val="000000"/>
                <w:sz w:val="14"/>
              </w:rPr>
              <w:t>retained</w:t>
            </w:r>
          </w:p>
        </w:tc>
        <w:tc>
          <w:tcPr>
            <w:tcW w:type="dxa" w:w="1872"/>
            <w:vAlign w:val="center"/>
          </w:tcPr>
          <w:p>
            <w:r>
              <w:rPr>
                <w:rFonts w:ascii="Arial" w:hAnsi="Arial"/>
                <w:color w:val="000000"/>
                <w:sz w:val="14"/>
              </w:rPr>
              <w:t>1.4422</w:t>
            </w:r>
          </w:p>
        </w:tc>
        <w:tc>
          <w:tcPr>
            <w:tcW w:type="dxa" w:w="1872"/>
            <w:vAlign w:val="center"/>
          </w:tcPr>
          <w:p>
            <w:r>
              <w:rPr>
                <w:rFonts w:ascii="Arial" w:hAnsi="Arial"/>
                <w:color w:val="000000"/>
                <w:sz w:val="14"/>
              </w:rPr>
              <w:t>retained; antecedent, non-target-derived, interpretable, VIF below 5</w:t>
            </w:r>
          </w:p>
        </w:tc>
      </w:tr>
      <w:tr>
        <w:tc>
          <w:tcPr>
            <w:tcW w:type="dxa" w:w="1872"/>
            <w:vAlign w:val="center"/>
          </w:tcPr>
          <w:p>
            <w:r>
              <w:rPr>
                <w:rFonts w:ascii="Arial" w:hAnsi="Arial"/>
                <w:color w:val="000000"/>
                <w:sz w:val="14"/>
              </w:rPr>
              <w:t>antecedent_predictor_screening</w:t>
            </w:r>
          </w:p>
        </w:tc>
        <w:tc>
          <w:tcPr>
            <w:tcW w:type="dxa" w:w="1872"/>
            <w:vAlign w:val="center"/>
          </w:tcPr>
          <w:p>
            <w:r>
              <w:rPr>
                <w:rFonts w:ascii="Arial" w:hAnsi="Arial"/>
                <w:color w:val="000000"/>
                <w:sz w:val="14"/>
              </w:rPr>
              <w:t>pressure_mean_lag3_mean</w:t>
            </w:r>
          </w:p>
        </w:tc>
        <w:tc>
          <w:tcPr>
            <w:tcW w:type="dxa" w:w="1872"/>
            <w:vAlign w:val="center"/>
          </w:tcPr>
          <w:p>
            <w:r>
              <w:rPr>
                <w:rFonts w:ascii="Arial" w:hAnsi="Arial"/>
                <w:color w:val="000000"/>
                <w:sz w:val="14"/>
              </w:rPr>
              <w:t>retained</w:t>
            </w:r>
          </w:p>
        </w:tc>
        <w:tc>
          <w:tcPr>
            <w:tcW w:type="dxa" w:w="1872"/>
            <w:vAlign w:val="center"/>
          </w:tcPr>
          <w:p>
            <w:r>
              <w:rPr>
                <w:rFonts w:ascii="Arial" w:hAnsi="Arial"/>
                <w:color w:val="000000"/>
                <w:sz w:val="14"/>
              </w:rPr>
              <w:t>1.9906</w:t>
            </w:r>
          </w:p>
        </w:tc>
        <w:tc>
          <w:tcPr>
            <w:tcW w:type="dxa" w:w="1872"/>
            <w:vAlign w:val="center"/>
          </w:tcPr>
          <w:p>
            <w:r>
              <w:rPr>
                <w:rFonts w:ascii="Arial" w:hAnsi="Arial"/>
                <w:color w:val="000000"/>
                <w:sz w:val="14"/>
              </w:rPr>
              <w:t>retained; antecedent, non-target-derived, interpretable, VIF below 5</w:t>
            </w:r>
          </w:p>
        </w:tc>
      </w:tr>
      <w:tr>
        <w:tc>
          <w:tcPr>
            <w:tcW w:type="dxa" w:w="1872"/>
            <w:vAlign w:val="center"/>
          </w:tcPr>
          <w:p>
            <w:r>
              <w:rPr>
                <w:rFonts w:ascii="Arial" w:hAnsi="Arial"/>
                <w:color w:val="000000"/>
                <w:sz w:val="14"/>
              </w:rPr>
              <w:t>excluded_predictor_group</w:t>
            </w:r>
          </w:p>
        </w:tc>
        <w:tc>
          <w:tcPr>
            <w:tcW w:type="dxa" w:w="1872"/>
            <w:vAlign w:val="center"/>
          </w:tcPr>
          <w:p>
            <w:r>
              <w:rPr>
                <w:rFonts w:ascii="Arial" w:hAnsi="Arial"/>
                <w:color w:val="000000"/>
                <w:sz w:val="14"/>
              </w:rPr>
              <w:t>same-day Tmax/Tmin/Tmean</w:t>
            </w:r>
          </w:p>
        </w:tc>
        <w:tc>
          <w:tcPr>
            <w:tcW w:type="dxa" w:w="1872"/>
            <w:vAlign w:val="center"/>
          </w:tcPr>
          <w:p>
            <w:r>
              <w:rPr>
                <w:rFonts w:ascii="Arial" w:hAnsi="Arial"/>
                <w:color w:val="000000"/>
                <w:sz w:val="14"/>
              </w:rPr>
              <w:t>excluded</w:t>
            </w:r>
          </w:p>
        </w:tc>
        <w:tc>
          <w:tcPr>
            <w:tcW w:type="dxa" w:w="1872"/>
            <w:vAlign w:val="center"/>
          </w:tcPr>
          <w:p>
            <w:r>
              <w:rPr>
                <w:rFonts w:ascii="Arial" w:hAnsi="Arial"/>
                <w:color w:val="000000"/>
                <w:sz w:val="14"/>
              </w:rPr>
            </w:r>
          </w:p>
        </w:tc>
        <w:tc>
          <w:tcPr>
            <w:tcW w:type="dxa" w:w="1872"/>
            <w:vAlign w:val="center"/>
          </w:tcPr>
          <w:p>
            <w:r>
              <w:rPr>
                <w:rFonts w:ascii="Arial" w:hAnsi="Arial"/>
                <w:color w:val="000000"/>
                <w:sz w:val="14"/>
              </w:rPr>
              <w:t>defines or directly encodes the outcome</w:t>
            </w:r>
          </w:p>
        </w:tc>
      </w:tr>
      <w:tr>
        <w:tc>
          <w:tcPr>
            <w:tcW w:type="dxa" w:w="1872"/>
            <w:vAlign w:val="center"/>
          </w:tcPr>
          <w:p>
            <w:r>
              <w:rPr>
                <w:rFonts w:ascii="Arial" w:hAnsi="Arial"/>
                <w:color w:val="000000"/>
                <w:sz w:val="14"/>
              </w:rPr>
              <w:t>excluded_predictor_group</w:t>
            </w:r>
          </w:p>
        </w:tc>
        <w:tc>
          <w:tcPr>
            <w:tcW w:type="dxa" w:w="1872"/>
            <w:vAlign w:val="center"/>
          </w:tcPr>
          <w:p>
            <w:r>
              <w:rPr>
                <w:rFonts w:ascii="Arial" w:hAnsi="Arial"/>
                <w:color w:val="000000"/>
                <w:sz w:val="14"/>
              </w:rPr>
              <w:t>heat index/apparent temperature/VPD</w:t>
            </w:r>
          </w:p>
        </w:tc>
        <w:tc>
          <w:tcPr>
            <w:tcW w:type="dxa" w:w="1872"/>
            <w:vAlign w:val="center"/>
          </w:tcPr>
          <w:p>
            <w:r>
              <w:rPr>
                <w:rFonts w:ascii="Arial" w:hAnsi="Arial"/>
                <w:color w:val="000000"/>
                <w:sz w:val="14"/>
              </w:rPr>
              <w:t>excluded</w:t>
            </w:r>
          </w:p>
        </w:tc>
        <w:tc>
          <w:tcPr>
            <w:tcW w:type="dxa" w:w="1872"/>
            <w:vAlign w:val="center"/>
          </w:tcPr>
          <w:p>
            <w:r>
              <w:rPr>
                <w:rFonts w:ascii="Arial" w:hAnsi="Arial"/>
                <w:color w:val="000000"/>
                <w:sz w:val="14"/>
              </w:rPr>
            </w:r>
          </w:p>
        </w:tc>
        <w:tc>
          <w:tcPr>
            <w:tcW w:type="dxa" w:w="1872"/>
            <w:vAlign w:val="center"/>
          </w:tcPr>
          <w:p>
            <w:r>
              <w:rPr>
                <w:rFonts w:ascii="Arial" w:hAnsi="Arial"/>
                <w:color w:val="000000"/>
                <w:sz w:val="14"/>
              </w:rPr>
              <w:t>temperature-derived; leakage or tautology risk</w:t>
            </w:r>
          </w:p>
        </w:tc>
      </w:tr>
      <w:tr>
        <w:tc>
          <w:tcPr>
            <w:tcW w:type="dxa" w:w="1872"/>
            <w:vAlign w:val="center"/>
          </w:tcPr>
          <w:p>
            <w:r>
              <w:rPr>
                <w:rFonts w:ascii="Arial" w:hAnsi="Arial"/>
                <w:color w:val="000000"/>
                <w:sz w:val="14"/>
              </w:rPr>
              <w:t>excluded_predictor_group</w:t>
            </w:r>
          </w:p>
        </w:tc>
        <w:tc>
          <w:tcPr>
            <w:tcW w:type="dxa" w:w="1872"/>
            <w:vAlign w:val="center"/>
          </w:tcPr>
          <w:p>
            <w:r>
              <w:rPr>
                <w:rFonts w:ascii="Arial" w:hAnsi="Arial"/>
                <w:color w:val="000000"/>
                <w:sz w:val="14"/>
              </w:rPr>
              <w:t>event duration/intensity</w:t>
            </w:r>
          </w:p>
        </w:tc>
        <w:tc>
          <w:tcPr>
            <w:tcW w:type="dxa" w:w="1872"/>
            <w:vAlign w:val="center"/>
          </w:tcPr>
          <w:p>
            <w:r>
              <w:rPr>
                <w:rFonts w:ascii="Arial" w:hAnsi="Arial"/>
                <w:color w:val="000000"/>
                <w:sz w:val="14"/>
              </w:rPr>
              <w:t>excluded</w:t>
            </w:r>
          </w:p>
        </w:tc>
        <w:tc>
          <w:tcPr>
            <w:tcW w:type="dxa" w:w="1872"/>
            <w:vAlign w:val="center"/>
          </w:tcPr>
          <w:p>
            <w:r>
              <w:rPr>
                <w:rFonts w:ascii="Arial" w:hAnsi="Arial"/>
                <w:color w:val="000000"/>
                <w:sz w:val="14"/>
              </w:rPr>
            </w:r>
          </w:p>
        </w:tc>
        <w:tc>
          <w:tcPr>
            <w:tcW w:type="dxa" w:w="1872"/>
            <w:vAlign w:val="center"/>
          </w:tcPr>
          <w:p>
            <w:r>
              <w:rPr>
                <w:rFonts w:ascii="Arial" w:hAnsi="Arial"/>
                <w:color w:val="000000"/>
                <w:sz w:val="14"/>
              </w:rPr>
              <w:t>defined using outcome or future event information</w:t>
            </w:r>
          </w:p>
        </w:tc>
      </w:tr>
    </w:tbl>
    <w:p/>
    <w:p>
      <w:pPr>
        <w:pStyle w:val="Caption"/>
        <w:jc w:val="left"/>
      </w:pPr>
      <w:r>
        <w:rPr>
          <w:color w:val="000000"/>
        </w:rPr>
        <w:t>Table 3. Heatwave definition and reference-period sensitivity.</w:t>
      </w:r>
    </w:p>
    <w:tbl>
      <w:tblPr>
        <w:tblStyle w:val="TableGrid"/>
        <w:tblW w:type="auto" w:w="0"/>
        <w:tblLayout w:type="autofit"/>
        <w:tblLook w:firstColumn="1" w:firstRow="1" w:lastColumn="0" w:lastRow="0" w:noHBand="0" w:noVBand="1" w:val="04A0"/>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c>
          <w:tcPr>
            <w:tcW w:type="dxa" w:w="493"/>
            <w:vAlign w:val="center"/>
            <w:shd w:fill="D9EAF7"/>
          </w:tcPr>
          <w:p>
            <w:r>
              <w:rPr>
                <w:rFonts w:ascii="Arial" w:hAnsi="Arial"/>
                <w:b/>
                <w:color w:val="000000"/>
                <w:sz w:val="14"/>
              </w:rPr>
              <w:t>definition</w:t>
            </w:r>
          </w:p>
        </w:tc>
        <w:tc>
          <w:tcPr>
            <w:tcW w:type="dxa" w:w="493"/>
            <w:vAlign w:val="center"/>
            <w:shd w:fill="D9EAF7"/>
          </w:tcPr>
          <w:p>
            <w:r>
              <w:rPr>
                <w:rFonts w:ascii="Arial" w:hAnsi="Arial"/>
                <w:b/>
                <w:color w:val="000000"/>
                <w:sz w:val="14"/>
              </w:rPr>
              <w:t>definition label</w:t>
            </w:r>
          </w:p>
        </w:tc>
        <w:tc>
          <w:tcPr>
            <w:tcW w:type="dxa" w:w="493"/>
            <w:vAlign w:val="center"/>
            <w:shd w:fill="D9EAF7"/>
          </w:tcPr>
          <w:p>
            <w:r>
              <w:rPr>
                <w:rFonts w:ascii="Arial" w:hAnsi="Arial"/>
                <w:b/>
                <w:color w:val="000000"/>
                <w:sz w:val="14"/>
              </w:rPr>
              <w:t>reference period</w:t>
            </w:r>
          </w:p>
        </w:tc>
        <w:tc>
          <w:tcPr>
            <w:tcW w:type="dxa" w:w="493"/>
            <w:vAlign w:val="center"/>
            <w:shd w:fill="D9EAF7"/>
          </w:tcPr>
          <w:p>
            <w:r>
              <w:rPr>
                <w:rFonts w:ascii="Arial" w:hAnsi="Arial"/>
                <w:b/>
                <w:color w:val="000000"/>
                <w:sz w:val="14"/>
              </w:rPr>
              <w:t>analysis season</w:t>
            </w:r>
          </w:p>
        </w:tc>
        <w:tc>
          <w:tcPr>
            <w:tcW w:type="dxa" w:w="493"/>
            <w:vAlign w:val="center"/>
            <w:shd w:fill="D9EAF7"/>
          </w:tcPr>
          <w:p>
            <w:r>
              <w:rPr>
                <w:rFonts w:ascii="Arial" w:hAnsi="Arial"/>
                <w:b/>
                <w:color w:val="000000"/>
                <w:sz w:val="14"/>
              </w:rPr>
              <w:t>qualifying days</w:t>
            </w:r>
          </w:p>
        </w:tc>
        <w:tc>
          <w:tcPr>
            <w:tcW w:type="dxa" w:w="493"/>
            <w:vAlign w:val="center"/>
            <w:shd w:fill="D9EAF7"/>
          </w:tcPr>
          <w:p>
            <w:r>
              <w:rPr>
                <w:rFonts w:ascii="Arial" w:hAnsi="Arial"/>
                <w:b/>
                <w:color w:val="000000"/>
                <w:sz w:val="14"/>
              </w:rPr>
              <w:t>events</w:t>
            </w:r>
          </w:p>
        </w:tc>
        <w:tc>
          <w:tcPr>
            <w:tcW w:type="dxa" w:w="493"/>
            <w:vAlign w:val="center"/>
            <w:shd w:fill="D9EAF7"/>
          </w:tcPr>
          <w:p>
            <w:r>
              <w:rPr>
                <w:rFonts w:ascii="Arial" w:hAnsi="Arial"/>
                <w:b/>
                <w:color w:val="000000"/>
                <w:sz w:val="14"/>
              </w:rPr>
              <w:t>median duration days</w:t>
            </w:r>
          </w:p>
        </w:tc>
        <w:tc>
          <w:tcPr>
            <w:tcW w:type="dxa" w:w="493"/>
            <w:vAlign w:val="center"/>
            <w:shd w:fill="D9EAF7"/>
          </w:tcPr>
          <w:p>
            <w:r>
              <w:rPr>
                <w:rFonts w:ascii="Arial" w:hAnsi="Arial"/>
                <w:b/>
                <w:color w:val="000000"/>
                <w:sz w:val="14"/>
              </w:rPr>
              <w:t>mean duration days</w:t>
            </w:r>
          </w:p>
        </w:tc>
        <w:tc>
          <w:tcPr>
            <w:tcW w:type="dxa" w:w="493"/>
            <w:vAlign w:val="center"/>
            <w:shd w:fill="D9EAF7"/>
          </w:tcPr>
          <w:p>
            <w:r>
              <w:rPr>
                <w:rFonts w:ascii="Arial" w:hAnsi="Arial"/>
                <w:b/>
                <w:color w:val="000000"/>
                <w:sz w:val="14"/>
              </w:rPr>
              <w:t>maximum duration days</w:t>
            </w:r>
          </w:p>
        </w:tc>
        <w:tc>
          <w:tcPr>
            <w:tcW w:type="dxa" w:w="493"/>
            <w:vAlign w:val="center"/>
            <w:shd w:fill="D9EAF7"/>
          </w:tcPr>
          <w:p>
            <w:r>
              <w:rPr>
                <w:rFonts w:ascii="Arial" w:hAnsi="Arial"/>
                <w:b/>
                <w:color w:val="000000"/>
                <w:sz w:val="14"/>
              </w:rPr>
              <w:t>peak intensity celsius</w:t>
            </w:r>
          </w:p>
        </w:tc>
        <w:tc>
          <w:tcPr>
            <w:tcW w:type="dxa" w:w="493"/>
            <w:vAlign w:val="center"/>
            <w:shd w:fill="D9EAF7"/>
          </w:tcPr>
          <w:p>
            <w:r>
              <w:rPr>
                <w:rFonts w:ascii="Arial" w:hAnsi="Arial"/>
                <w:b/>
                <w:color w:val="000000"/>
                <w:sz w:val="14"/>
              </w:rPr>
              <w:t>cumulative intensity degree days</w:t>
            </w:r>
          </w:p>
        </w:tc>
        <w:tc>
          <w:tcPr>
            <w:tcW w:type="dxa" w:w="493"/>
            <w:vAlign w:val="center"/>
            <w:shd w:fill="D9EAF7"/>
          </w:tcPr>
          <w:p>
            <w:r>
              <w:rPr>
                <w:rFonts w:ascii="Arial" w:hAnsi="Arial"/>
                <w:b/>
                <w:color w:val="000000"/>
                <w:sz w:val="14"/>
              </w:rPr>
              <w:t>median onset day of year</w:t>
            </w:r>
          </w:p>
        </w:tc>
        <w:tc>
          <w:tcPr>
            <w:tcW w:type="dxa" w:w="493"/>
            <w:vAlign w:val="center"/>
            <w:shd w:fill="D9EAF7"/>
          </w:tcPr>
          <w:p>
            <w:r>
              <w:rPr>
                <w:rFonts w:ascii="Arial" w:hAnsi="Arial"/>
                <w:b/>
                <w:color w:val="000000"/>
                <w:sz w:val="14"/>
              </w:rPr>
              <w:t>peak month</w:t>
            </w:r>
          </w:p>
        </w:tc>
        <w:tc>
          <w:tcPr>
            <w:tcW w:type="dxa" w:w="493"/>
            <w:vAlign w:val="center"/>
            <w:shd w:fill="D9EAF7"/>
          </w:tcPr>
          <w:p>
            <w:r>
              <w:rPr>
                <w:rFonts w:ascii="Arial" w:hAnsi="Arial"/>
                <w:b/>
                <w:color w:val="000000"/>
                <w:sz w:val="14"/>
              </w:rPr>
              <w:t>selected count model</w:t>
            </w:r>
          </w:p>
        </w:tc>
        <w:tc>
          <w:tcPr>
            <w:tcW w:type="dxa" w:w="493"/>
            <w:vAlign w:val="center"/>
            <w:shd w:fill="D9EAF7"/>
          </w:tcPr>
          <w:p>
            <w:r>
              <w:rPr>
                <w:rFonts w:ascii="Arial" w:hAnsi="Arial"/>
                <w:b/>
                <w:color w:val="000000"/>
                <w:sz w:val="14"/>
              </w:rPr>
              <w:t>irr per decade</w:t>
            </w:r>
          </w:p>
        </w:tc>
        <w:tc>
          <w:tcPr>
            <w:tcW w:type="dxa" w:w="493"/>
            <w:vAlign w:val="center"/>
            <w:shd w:fill="D9EAF7"/>
          </w:tcPr>
          <w:p>
            <w:r>
              <w:rPr>
                <w:rFonts w:ascii="Arial" w:hAnsi="Arial"/>
                <w:b/>
                <w:color w:val="000000"/>
                <w:sz w:val="14"/>
              </w:rPr>
              <w:t>irr ci lower</w:t>
            </w:r>
          </w:p>
        </w:tc>
        <w:tc>
          <w:tcPr>
            <w:tcW w:type="dxa" w:w="493"/>
            <w:vAlign w:val="center"/>
            <w:shd w:fill="D9EAF7"/>
          </w:tcPr>
          <w:p>
            <w:r>
              <w:rPr>
                <w:rFonts w:ascii="Arial" w:hAnsi="Arial"/>
                <w:b/>
                <w:color w:val="000000"/>
                <w:sz w:val="14"/>
              </w:rPr>
              <w:t>irr ci upper</w:t>
            </w:r>
          </w:p>
        </w:tc>
        <w:tc>
          <w:tcPr>
            <w:tcW w:type="dxa" w:w="493"/>
            <w:vAlign w:val="center"/>
            <w:shd w:fill="D9EAF7"/>
          </w:tcPr>
          <w:p>
            <w:r>
              <w:rPr>
                <w:rFonts w:ascii="Arial" w:hAnsi="Arial"/>
                <w:b/>
                <w:color w:val="000000"/>
                <w:sz w:val="14"/>
              </w:rPr>
              <w:t>p value</w:t>
            </w:r>
          </w:p>
        </w:tc>
        <w:tc>
          <w:tcPr>
            <w:tcW w:type="dxa" w:w="493"/>
            <w:vAlign w:val="center"/>
            <w:shd w:fill="D9EAF7"/>
          </w:tcPr>
          <w:p>
            <w:r>
              <w:rPr>
                <w:rFonts w:ascii="Arial" w:hAnsi="Arial"/>
                <w:b/>
                <w:color w:val="000000"/>
                <w:sz w:val="14"/>
              </w:rPr>
              <w:t>q value bh across primary definitions</w:t>
            </w:r>
          </w:p>
        </w:tc>
      </w:tr>
      <w:tr>
        <w:tc>
          <w:tcPr>
            <w:tcW w:type="dxa" w:w="493"/>
            <w:vAlign w:val="center"/>
          </w:tcPr>
          <w:p>
            <w:r>
              <w:rPr>
                <w:rFonts w:ascii="Arial" w:hAnsi="Arial"/>
                <w:color w:val="000000"/>
                <w:sz w:val="14"/>
              </w:rPr>
              <w:t>operational_36c_1d</w:t>
            </w:r>
          </w:p>
        </w:tc>
        <w:tc>
          <w:tcPr>
            <w:tcW w:type="dxa" w:w="493"/>
            <w:vAlign w:val="center"/>
          </w:tcPr>
          <w:p>
            <w:r>
              <w:rPr>
                <w:rFonts w:ascii="Arial" w:hAnsi="Arial"/>
                <w:color w:val="000000"/>
                <w:sz w:val="14"/>
              </w:rPr>
              <w:t>$T_{\max}\geq36\,{}^\circ$C, $\geq1$ day</w:t>
            </w:r>
          </w:p>
        </w:tc>
        <w:tc>
          <w:tcPr>
            <w:tcW w:type="dxa" w:w="493"/>
            <w:vAlign w:val="center"/>
          </w:tcPr>
          <w:p>
            <w:r>
              <w:rPr>
                <w:rFonts w:ascii="Arial" w:hAnsi="Arial"/>
                <w:color w:val="000000"/>
                <w:sz w:val="14"/>
              </w:rPr>
              <w:t>absolute</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369</w:t>
            </w:r>
          </w:p>
        </w:tc>
        <w:tc>
          <w:tcPr>
            <w:tcW w:type="dxa" w:w="493"/>
            <w:vAlign w:val="center"/>
          </w:tcPr>
          <w:p>
            <w:r>
              <w:rPr>
                <w:rFonts w:ascii="Arial" w:hAnsi="Arial"/>
                <w:color w:val="000000"/>
                <w:sz w:val="14"/>
              </w:rPr>
              <w:t>128</w:t>
            </w:r>
          </w:p>
        </w:tc>
        <w:tc>
          <w:tcPr>
            <w:tcW w:type="dxa" w:w="493"/>
            <w:vAlign w:val="center"/>
          </w:tcPr>
          <w:p>
            <w:r>
              <w:rPr>
                <w:rFonts w:ascii="Arial" w:hAnsi="Arial"/>
                <w:color w:val="000000"/>
                <w:sz w:val="14"/>
              </w:rPr>
              <w:t>2</w:t>
            </w:r>
          </w:p>
        </w:tc>
        <w:tc>
          <w:tcPr>
            <w:tcW w:type="dxa" w:w="493"/>
            <w:vAlign w:val="center"/>
          </w:tcPr>
          <w:p>
            <w:r>
              <w:rPr>
                <w:rFonts w:ascii="Arial" w:hAnsi="Arial"/>
                <w:color w:val="000000"/>
                <w:sz w:val="14"/>
              </w:rPr>
              <w:t>2.8828</w:t>
            </w:r>
          </w:p>
        </w:tc>
        <w:tc>
          <w:tcPr>
            <w:tcW w:type="dxa" w:w="493"/>
            <w:vAlign w:val="center"/>
          </w:tcPr>
          <w:p>
            <w:r>
              <w:rPr>
                <w:rFonts w:ascii="Arial" w:hAnsi="Arial"/>
                <w:color w:val="000000"/>
                <w:sz w:val="14"/>
              </w:rPr>
              <w:t>15</w:t>
            </w:r>
          </w:p>
        </w:tc>
        <w:tc>
          <w:tcPr>
            <w:tcW w:type="dxa" w:w="493"/>
            <w:vAlign w:val="center"/>
          </w:tcPr>
          <w:p>
            <w:r>
              <w:rPr>
                <w:rFonts w:ascii="Arial" w:hAnsi="Arial"/>
                <w:color w:val="000000"/>
                <w:sz w:val="14"/>
              </w:rPr>
              <w:t>4.2004</w:t>
            </w:r>
          </w:p>
        </w:tc>
        <w:tc>
          <w:tcPr>
            <w:tcW w:type="dxa" w:w="493"/>
            <w:vAlign w:val="center"/>
          </w:tcPr>
          <w:p>
            <w:r>
              <w:rPr>
                <w:rFonts w:ascii="Arial" w:hAnsi="Arial"/>
                <w:color w:val="000000"/>
                <w:sz w:val="14"/>
              </w:rPr>
              <w:t>365.24</w:t>
            </w:r>
          </w:p>
        </w:tc>
        <w:tc>
          <w:tcPr>
            <w:tcW w:type="dxa" w:w="493"/>
            <w:vAlign w:val="center"/>
          </w:tcPr>
          <w:p>
            <w:r>
              <w:rPr>
                <w:rFonts w:ascii="Arial" w:hAnsi="Arial"/>
                <w:color w:val="000000"/>
                <w:sz w:val="14"/>
              </w:rPr>
              <w:t>108.5</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1.0183</w:t>
            </w:r>
          </w:p>
        </w:tc>
        <w:tc>
          <w:tcPr>
            <w:tcW w:type="dxa" w:w="493"/>
            <w:vAlign w:val="center"/>
          </w:tcPr>
          <w:p>
            <w:r>
              <w:rPr>
                <w:rFonts w:ascii="Arial" w:hAnsi="Arial"/>
                <w:color w:val="000000"/>
                <w:sz w:val="14"/>
              </w:rPr>
              <w:t>0.79885</w:t>
            </w:r>
          </w:p>
        </w:tc>
        <w:tc>
          <w:tcPr>
            <w:tcW w:type="dxa" w:w="493"/>
            <w:vAlign w:val="center"/>
          </w:tcPr>
          <w:p>
            <w:r>
              <w:rPr>
                <w:rFonts w:ascii="Arial" w:hAnsi="Arial"/>
                <w:color w:val="000000"/>
                <w:sz w:val="14"/>
              </w:rPr>
              <w:t>1.2982</w:t>
            </w:r>
          </w:p>
        </w:tc>
        <w:tc>
          <w:tcPr>
            <w:tcW w:type="dxa" w:w="493"/>
            <w:vAlign w:val="center"/>
          </w:tcPr>
          <w:p>
            <w:r>
              <w:rPr>
                <w:rFonts w:ascii="Arial" w:hAnsi="Arial"/>
                <w:color w:val="000000"/>
                <w:sz w:val="14"/>
              </w:rPr>
              <w:t>0.8833</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persistent_36c_2d</w:t>
            </w:r>
          </w:p>
        </w:tc>
        <w:tc>
          <w:tcPr>
            <w:tcW w:type="dxa" w:w="493"/>
            <w:vAlign w:val="center"/>
          </w:tcPr>
          <w:p>
            <w:r>
              <w:rPr>
                <w:rFonts w:ascii="Arial" w:hAnsi="Arial"/>
                <w:color w:val="000000"/>
                <w:sz w:val="14"/>
              </w:rPr>
              <w:t>$T_{\max}\geq36\,{}^\circ$C, $\geq2$ days</w:t>
            </w:r>
          </w:p>
        </w:tc>
        <w:tc>
          <w:tcPr>
            <w:tcW w:type="dxa" w:w="493"/>
            <w:vAlign w:val="center"/>
          </w:tcPr>
          <w:p>
            <w:r>
              <w:rPr>
                <w:rFonts w:ascii="Arial" w:hAnsi="Arial"/>
                <w:color w:val="000000"/>
                <w:sz w:val="14"/>
              </w:rPr>
              <w:t>absolute</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310</w:t>
            </w:r>
          </w:p>
        </w:tc>
        <w:tc>
          <w:tcPr>
            <w:tcW w:type="dxa" w:w="493"/>
            <w:vAlign w:val="center"/>
          </w:tcPr>
          <w:p>
            <w:r>
              <w:rPr>
                <w:rFonts w:ascii="Arial" w:hAnsi="Arial"/>
                <w:color w:val="000000"/>
                <w:sz w:val="14"/>
              </w:rPr>
              <w:t>69</w:t>
            </w:r>
          </w:p>
        </w:tc>
        <w:tc>
          <w:tcPr>
            <w:tcW w:type="dxa" w:w="493"/>
            <w:vAlign w:val="center"/>
          </w:tcPr>
          <w:p>
            <w:r>
              <w:rPr>
                <w:rFonts w:ascii="Arial" w:hAnsi="Arial"/>
                <w:color w:val="000000"/>
                <w:sz w:val="14"/>
              </w:rPr>
              <w:t>3</w:t>
            </w:r>
          </w:p>
        </w:tc>
        <w:tc>
          <w:tcPr>
            <w:tcW w:type="dxa" w:w="493"/>
            <w:vAlign w:val="center"/>
          </w:tcPr>
          <w:p>
            <w:r>
              <w:rPr>
                <w:rFonts w:ascii="Arial" w:hAnsi="Arial"/>
                <w:color w:val="000000"/>
                <w:sz w:val="14"/>
              </w:rPr>
              <w:t>4.4928</w:t>
            </w:r>
          </w:p>
        </w:tc>
        <w:tc>
          <w:tcPr>
            <w:tcW w:type="dxa" w:w="493"/>
            <w:vAlign w:val="center"/>
          </w:tcPr>
          <w:p>
            <w:r>
              <w:rPr>
                <w:rFonts w:ascii="Arial" w:hAnsi="Arial"/>
                <w:color w:val="000000"/>
                <w:sz w:val="14"/>
              </w:rPr>
              <w:t>15</w:t>
            </w:r>
          </w:p>
        </w:tc>
        <w:tc>
          <w:tcPr>
            <w:tcW w:type="dxa" w:w="493"/>
            <w:vAlign w:val="center"/>
          </w:tcPr>
          <w:p>
            <w:r>
              <w:rPr>
                <w:rFonts w:ascii="Arial" w:hAnsi="Arial"/>
                <w:color w:val="000000"/>
                <w:sz w:val="14"/>
              </w:rPr>
              <w:t>4.2004</w:t>
            </w:r>
          </w:p>
        </w:tc>
        <w:tc>
          <w:tcPr>
            <w:tcW w:type="dxa" w:w="493"/>
            <w:vAlign w:val="center"/>
          </w:tcPr>
          <w:p>
            <w:r>
              <w:rPr>
                <w:rFonts w:ascii="Arial" w:hAnsi="Arial"/>
                <w:color w:val="000000"/>
                <w:sz w:val="14"/>
              </w:rPr>
              <w:t>341.06</w:t>
            </w:r>
          </w:p>
        </w:tc>
        <w:tc>
          <w:tcPr>
            <w:tcW w:type="dxa" w:w="493"/>
            <w:vAlign w:val="center"/>
          </w:tcPr>
          <w:p>
            <w:r>
              <w:rPr>
                <w:rFonts w:ascii="Arial" w:hAnsi="Arial"/>
                <w:color w:val="000000"/>
                <w:sz w:val="14"/>
              </w:rPr>
              <w:t>110</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1.0202</w:t>
            </w:r>
          </w:p>
        </w:tc>
        <w:tc>
          <w:tcPr>
            <w:tcW w:type="dxa" w:w="493"/>
            <w:vAlign w:val="center"/>
          </w:tcPr>
          <w:p>
            <w:r>
              <w:rPr>
                <w:rFonts w:ascii="Arial" w:hAnsi="Arial"/>
                <w:color w:val="000000"/>
                <w:sz w:val="14"/>
              </w:rPr>
              <w:t>0.77463</w:t>
            </w:r>
          </w:p>
        </w:tc>
        <w:tc>
          <w:tcPr>
            <w:tcW w:type="dxa" w:w="493"/>
            <w:vAlign w:val="center"/>
          </w:tcPr>
          <w:p>
            <w:r>
              <w:rPr>
                <w:rFonts w:ascii="Arial" w:hAnsi="Arial"/>
                <w:color w:val="000000"/>
                <w:sz w:val="14"/>
              </w:rPr>
              <w:t>1.3437</w:t>
            </w:r>
          </w:p>
        </w:tc>
        <w:tc>
          <w:tcPr>
            <w:tcW w:type="dxa" w:w="493"/>
            <w:vAlign w:val="center"/>
          </w:tcPr>
          <w:p>
            <w:r>
              <w:rPr>
                <w:rFonts w:ascii="Arial" w:hAnsi="Arial"/>
                <w:color w:val="000000"/>
                <w:sz w:val="14"/>
              </w:rPr>
              <w:t>0.8867</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persistent_36c_3d</w:t>
            </w:r>
          </w:p>
        </w:tc>
        <w:tc>
          <w:tcPr>
            <w:tcW w:type="dxa" w:w="493"/>
            <w:vAlign w:val="center"/>
          </w:tcPr>
          <w:p>
            <w:r>
              <w:rPr>
                <w:rFonts w:ascii="Arial" w:hAnsi="Arial"/>
                <w:color w:val="000000"/>
                <w:sz w:val="14"/>
              </w:rPr>
              <w:t>$T_{\max}\geq36\,{}^\circ$C, $\geq3$ days</w:t>
            </w:r>
          </w:p>
        </w:tc>
        <w:tc>
          <w:tcPr>
            <w:tcW w:type="dxa" w:w="493"/>
            <w:vAlign w:val="center"/>
          </w:tcPr>
          <w:p>
            <w:r>
              <w:rPr>
                <w:rFonts w:ascii="Arial" w:hAnsi="Arial"/>
                <w:color w:val="000000"/>
                <w:sz w:val="14"/>
              </w:rPr>
              <w:t>absolute</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270</w:t>
            </w:r>
          </w:p>
        </w:tc>
        <w:tc>
          <w:tcPr>
            <w:tcW w:type="dxa" w:w="493"/>
            <w:vAlign w:val="center"/>
          </w:tcPr>
          <w:p>
            <w:r>
              <w:rPr>
                <w:rFonts w:ascii="Arial" w:hAnsi="Arial"/>
                <w:color w:val="000000"/>
                <w:sz w:val="14"/>
              </w:rPr>
              <w:t>49</w:t>
            </w:r>
          </w:p>
        </w:tc>
        <w:tc>
          <w:tcPr>
            <w:tcW w:type="dxa" w:w="493"/>
            <w:vAlign w:val="center"/>
          </w:tcPr>
          <w:p>
            <w:r>
              <w:rPr>
                <w:rFonts w:ascii="Arial" w:hAnsi="Arial"/>
                <w:color w:val="000000"/>
                <w:sz w:val="14"/>
              </w:rPr>
              <w:t>5</w:t>
            </w:r>
          </w:p>
        </w:tc>
        <w:tc>
          <w:tcPr>
            <w:tcW w:type="dxa" w:w="493"/>
            <w:vAlign w:val="center"/>
          </w:tcPr>
          <w:p>
            <w:r>
              <w:rPr>
                <w:rFonts w:ascii="Arial" w:hAnsi="Arial"/>
                <w:color w:val="000000"/>
                <w:sz w:val="14"/>
              </w:rPr>
              <w:t>5.5102</w:t>
            </w:r>
          </w:p>
        </w:tc>
        <w:tc>
          <w:tcPr>
            <w:tcW w:type="dxa" w:w="493"/>
            <w:vAlign w:val="center"/>
          </w:tcPr>
          <w:p>
            <w:r>
              <w:rPr>
                <w:rFonts w:ascii="Arial" w:hAnsi="Arial"/>
                <w:color w:val="000000"/>
                <w:sz w:val="14"/>
              </w:rPr>
              <w:t>15</w:t>
            </w:r>
          </w:p>
        </w:tc>
        <w:tc>
          <w:tcPr>
            <w:tcW w:type="dxa" w:w="493"/>
            <w:vAlign w:val="center"/>
          </w:tcPr>
          <w:p>
            <w:r>
              <w:rPr>
                <w:rFonts w:ascii="Arial" w:hAnsi="Arial"/>
                <w:color w:val="000000"/>
                <w:sz w:val="14"/>
              </w:rPr>
              <w:t>4.2004</w:t>
            </w:r>
          </w:p>
        </w:tc>
        <w:tc>
          <w:tcPr>
            <w:tcW w:type="dxa" w:w="493"/>
            <w:vAlign w:val="center"/>
          </w:tcPr>
          <w:p>
            <w:r>
              <w:rPr>
                <w:rFonts w:ascii="Arial" w:hAnsi="Arial"/>
                <w:color w:val="000000"/>
                <w:sz w:val="14"/>
              </w:rPr>
              <w:t>323.93</w:t>
            </w:r>
          </w:p>
        </w:tc>
        <w:tc>
          <w:tcPr>
            <w:tcW w:type="dxa" w:w="493"/>
            <w:vAlign w:val="center"/>
          </w:tcPr>
          <w:p>
            <w:r>
              <w:rPr>
                <w:rFonts w:ascii="Arial" w:hAnsi="Arial"/>
                <w:color w:val="000000"/>
                <w:sz w:val="14"/>
              </w:rPr>
              <w:t>110</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1.0288</w:t>
            </w:r>
          </w:p>
        </w:tc>
        <w:tc>
          <w:tcPr>
            <w:tcW w:type="dxa" w:w="493"/>
            <w:vAlign w:val="center"/>
          </w:tcPr>
          <w:p>
            <w:r>
              <w:rPr>
                <w:rFonts w:ascii="Arial" w:hAnsi="Arial"/>
                <w:color w:val="000000"/>
                <w:sz w:val="14"/>
              </w:rPr>
              <w:t>0.72749</w:t>
            </w:r>
          </w:p>
        </w:tc>
        <w:tc>
          <w:tcPr>
            <w:tcW w:type="dxa" w:w="493"/>
            <w:vAlign w:val="center"/>
          </w:tcPr>
          <w:p>
            <w:r>
              <w:rPr>
                <w:rFonts w:ascii="Arial" w:hAnsi="Arial"/>
                <w:color w:val="000000"/>
                <w:sz w:val="14"/>
              </w:rPr>
              <w:t>1.4549</w:t>
            </w:r>
          </w:p>
        </w:tc>
        <w:tc>
          <w:tcPr>
            <w:tcW w:type="dxa" w:w="493"/>
            <w:vAlign w:val="center"/>
          </w:tcPr>
          <w:p>
            <w:r>
              <w:rPr>
                <w:rFonts w:ascii="Arial" w:hAnsi="Arial"/>
                <w:color w:val="000000"/>
                <w:sz w:val="14"/>
              </w:rPr>
              <w:t>0.87245</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relative_90p_3d</w:t>
            </w:r>
          </w:p>
        </w:tc>
        <w:tc>
          <w:tcPr>
            <w:tcW w:type="dxa" w:w="493"/>
            <w:vAlign w:val="center"/>
          </w:tcPr>
          <w:p>
            <w:r>
              <w:rPr>
                <w:rFonts w:ascii="Arial" w:hAnsi="Arial"/>
                <w:color w:val="000000"/>
                <w:sz w:val="14"/>
              </w:rPr>
              <w:t>Calendar-day $T_{\max}&gt;P_{90}$, $\geq3$ days</w:t>
            </w:r>
          </w:p>
        </w:tc>
        <w:tc>
          <w:tcPr>
            <w:tcW w:type="dxa" w:w="493"/>
            <w:vAlign w:val="center"/>
          </w:tcPr>
          <w:p>
            <w:r>
              <w:rPr>
                <w:rFonts w:ascii="Arial" w:hAnsi="Arial"/>
                <w:color w:val="000000"/>
                <w:sz w:val="14"/>
              </w:rPr>
              <w:t>1981–2010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490</w:t>
            </w:r>
          </w:p>
        </w:tc>
        <w:tc>
          <w:tcPr>
            <w:tcW w:type="dxa" w:w="493"/>
            <w:vAlign w:val="center"/>
          </w:tcPr>
          <w:p>
            <w:r>
              <w:rPr>
                <w:rFonts w:ascii="Arial" w:hAnsi="Arial"/>
                <w:color w:val="000000"/>
                <w:sz w:val="14"/>
              </w:rPr>
              <w:t>93</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5.3226</w:t>
            </w:r>
          </w:p>
        </w:tc>
        <w:tc>
          <w:tcPr>
            <w:tcW w:type="dxa" w:w="493"/>
            <w:vAlign w:val="center"/>
          </w:tcPr>
          <w:p>
            <w:r>
              <w:rPr>
                <w:rFonts w:ascii="Arial" w:hAnsi="Arial"/>
                <w:color w:val="000000"/>
                <w:sz w:val="14"/>
              </w:rPr>
              <w:t>20</w:t>
            </w:r>
          </w:p>
        </w:tc>
        <w:tc>
          <w:tcPr>
            <w:tcW w:type="dxa" w:w="493"/>
            <w:vAlign w:val="center"/>
          </w:tcPr>
          <w:p>
            <w:r>
              <w:rPr>
                <w:rFonts w:ascii="Arial" w:hAnsi="Arial"/>
                <w:color w:val="000000"/>
                <w:sz w:val="14"/>
              </w:rPr>
              <w:t>5.159</w:t>
            </w:r>
          </w:p>
        </w:tc>
        <w:tc>
          <w:tcPr>
            <w:tcW w:type="dxa" w:w="493"/>
            <w:vAlign w:val="center"/>
          </w:tcPr>
          <w:p>
            <w:r>
              <w:rPr>
                <w:rFonts w:ascii="Arial" w:hAnsi="Arial"/>
                <w:color w:val="000000"/>
                <w:sz w:val="14"/>
              </w:rPr>
              <w:t>547.03</w:t>
            </w:r>
          </w:p>
        </w:tc>
        <w:tc>
          <w:tcPr>
            <w:tcW w:type="dxa" w:w="493"/>
            <w:vAlign w:val="center"/>
          </w:tcPr>
          <w:p>
            <w:r>
              <w:rPr>
                <w:rFonts w:ascii="Arial" w:hAnsi="Arial"/>
                <w:color w:val="000000"/>
                <w:sz w:val="14"/>
              </w:rPr>
              <w:t>117</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1.0691</w:t>
            </w:r>
          </w:p>
        </w:tc>
        <w:tc>
          <w:tcPr>
            <w:tcW w:type="dxa" w:w="493"/>
            <w:vAlign w:val="center"/>
          </w:tcPr>
          <w:p>
            <w:r>
              <w:rPr>
                <w:rFonts w:ascii="Arial" w:hAnsi="Arial"/>
                <w:color w:val="000000"/>
                <w:sz w:val="14"/>
              </w:rPr>
              <w:t>0.8415</w:t>
            </w:r>
          </w:p>
        </w:tc>
        <w:tc>
          <w:tcPr>
            <w:tcW w:type="dxa" w:w="493"/>
            <w:vAlign w:val="center"/>
          </w:tcPr>
          <w:p>
            <w:r>
              <w:rPr>
                <w:rFonts w:ascii="Arial" w:hAnsi="Arial"/>
                <w:color w:val="000000"/>
                <w:sz w:val="14"/>
              </w:rPr>
              <w:t>1.3583</w:t>
            </w:r>
          </w:p>
        </w:tc>
        <w:tc>
          <w:tcPr>
            <w:tcW w:type="dxa" w:w="493"/>
            <w:vAlign w:val="center"/>
          </w:tcPr>
          <w:p>
            <w:r>
              <w:rPr>
                <w:rFonts w:ascii="Arial" w:hAnsi="Arial"/>
                <w:color w:val="000000"/>
                <w:sz w:val="14"/>
              </w:rPr>
              <w:t>0.58432</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relative_95p_3d</w:t>
            </w:r>
          </w:p>
        </w:tc>
        <w:tc>
          <w:tcPr>
            <w:tcW w:type="dxa" w:w="493"/>
            <w:vAlign w:val="center"/>
          </w:tcPr>
          <w:p>
            <w:r>
              <w:rPr>
                <w:rFonts w:ascii="Arial" w:hAnsi="Arial"/>
                <w:color w:val="000000"/>
                <w:sz w:val="14"/>
              </w:rPr>
              <w:t>Calendar-day $T_{\max}&gt;P_{95}$, $\geq3$ days</w:t>
            </w:r>
          </w:p>
        </w:tc>
        <w:tc>
          <w:tcPr>
            <w:tcW w:type="dxa" w:w="493"/>
            <w:vAlign w:val="center"/>
          </w:tcPr>
          <w:p>
            <w:r>
              <w:rPr>
                <w:rFonts w:ascii="Arial" w:hAnsi="Arial"/>
                <w:color w:val="000000"/>
                <w:sz w:val="14"/>
              </w:rPr>
              <w:t>1981–2010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248</w:t>
            </w:r>
          </w:p>
        </w:tc>
        <w:tc>
          <w:tcPr>
            <w:tcW w:type="dxa" w:w="493"/>
            <w:vAlign w:val="center"/>
          </w:tcPr>
          <w:p>
            <w:r>
              <w:rPr>
                <w:rFonts w:ascii="Arial" w:hAnsi="Arial"/>
                <w:color w:val="000000"/>
                <w:sz w:val="14"/>
              </w:rPr>
              <w:t>52</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4.7885</w:t>
            </w:r>
          </w:p>
        </w:tc>
        <w:tc>
          <w:tcPr>
            <w:tcW w:type="dxa" w:w="493"/>
            <w:vAlign w:val="center"/>
          </w:tcPr>
          <w:p>
            <w:r>
              <w:rPr>
                <w:rFonts w:ascii="Arial" w:hAnsi="Arial"/>
                <w:color w:val="000000"/>
                <w:sz w:val="14"/>
              </w:rPr>
              <w:t>16</w:t>
            </w:r>
          </w:p>
        </w:tc>
        <w:tc>
          <w:tcPr>
            <w:tcW w:type="dxa" w:w="493"/>
            <w:vAlign w:val="center"/>
          </w:tcPr>
          <w:p>
            <w:r>
              <w:rPr>
                <w:rFonts w:ascii="Arial" w:hAnsi="Arial"/>
                <w:color w:val="000000"/>
                <w:sz w:val="14"/>
              </w:rPr>
              <w:t>4.7445</w:t>
            </w:r>
          </w:p>
        </w:tc>
        <w:tc>
          <w:tcPr>
            <w:tcW w:type="dxa" w:w="493"/>
            <w:vAlign w:val="center"/>
          </w:tcPr>
          <w:p>
            <w:r>
              <w:rPr>
                <w:rFonts w:ascii="Arial" w:hAnsi="Arial"/>
                <w:color w:val="000000"/>
                <w:sz w:val="14"/>
              </w:rPr>
              <w:t>290.3</w:t>
            </w:r>
          </w:p>
        </w:tc>
        <w:tc>
          <w:tcPr>
            <w:tcW w:type="dxa" w:w="493"/>
            <w:vAlign w:val="center"/>
          </w:tcPr>
          <w:p>
            <w:r>
              <w:rPr>
                <w:rFonts w:ascii="Arial" w:hAnsi="Arial"/>
                <w:color w:val="000000"/>
                <w:sz w:val="14"/>
              </w:rPr>
              <w:t>126</w:t>
            </w:r>
          </w:p>
        </w:tc>
        <w:tc>
          <w:tcPr>
            <w:tcW w:type="dxa" w:w="493"/>
            <w:vAlign w:val="center"/>
          </w:tcPr>
          <w:p>
            <w:r>
              <w:rPr>
                <w:rFonts w:ascii="Arial" w:hAnsi="Arial"/>
                <w:color w:val="000000"/>
                <w:sz w:val="14"/>
              </w:rPr>
              <w:t>5</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1.052</w:t>
            </w:r>
          </w:p>
        </w:tc>
        <w:tc>
          <w:tcPr>
            <w:tcW w:type="dxa" w:w="493"/>
            <w:vAlign w:val="center"/>
          </w:tcPr>
          <w:p>
            <w:r>
              <w:rPr>
                <w:rFonts w:ascii="Arial" w:hAnsi="Arial"/>
                <w:color w:val="000000"/>
                <w:sz w:val="14"/>
              </w:rPr>
              <w:t>0.77936</w:t>
            </w:r>
          </w:p>
        </w:tc>
        <w:tc>
          <w:tcPr>
            <w:tcW w:type="dxa" w:w="493"/>
            <w:vAlign w:val="center"/>
          </w:tcPr>
          <w:p>
            <w:r>
              <w:rPr>
                <w:rFonts w:ascii="Arial" w:hAnsi="Arial"/>
                <w:color w:val="000000"/>
                <w:sz w:val="14"/>
              </w:rPr>
              <w:t>1.4199</w:t>
            </w:r>
          </w:p>
        </w:tc>
        <w:tc>
          <w:tcPr>
            <w:tcW w:type="dxa" w:w="493"/>
            <w:vAlign w:val="center"/>
          </w:tcPr>
          <w:p>
            <w:r>
              <w:rPr>
                <w:rFonts w:ascii="Arial" w:hAnsi="Arial"/>
                <w:color w:val="000000"/>
                <w:sz w:val="14"/>
              </w:rPr>
              <w:t>0.74064</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compound_90p_2d</w:t>
            </w:r>
          </w:p>
        </w:tc>
        <w:tc>
          <w:tcPr>
            <w:tcW w:type="dxa" w:w="493"/>
            <w:vAlign w:val="center"/>
          </w:tcPr>
          <w:p>
            <w:r>
              <w:rPr>
                <w:rFonts w:ascii="Arial" w:hAnsi="Arial"/>
                <w:color w:val="000000"/>
                <w:sz w:val="14"/>
              </w:rPr>
              <w:t>Concurrent $T_{\max},T_{\min}&gt;P_{90}$, $\geq2$ days</w:t>
            </w:r>
          </w:p>
        </w:tc>
        <w:tc>
          <w:tcPr>
            <w:tcW w:type="dxa" w:w="493"/>
            <w:vAlign w:val="center"/>
          </w:tcPr>
          <w:p>
            <w:r>
              <w:rPr>
                <w:rFonts w:ascii="Arial" w:hAnsi="Arial"/>
                <w:color w:val="000000"/>
                <w:sz w:val="14"/>
              </w:rPr>
              <w:t>1981–2010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228</w:t>
            </w:r>
          </w:p>
        </w:tc>
        <w:tc>
          <w:tcPr>
            <w:tcW w:type="dxa" w:w="493"/>
            <w:vAlign w:val="center"/>
          </w:tcPr>
          <w:p>
            <w:r>
              <w:rPr>
                <w:rFonts w:ascii="Arial" w:hAnsi="Arial"/>
                <w:color w:val="000000"/>
                <w:sz w:val="14"/>
              </w:rPr>
              <w:t>71</w:t>
            </w:r>
          </w:p>
        </w:tc>
        <w:tc>
          <w:tcPr>
            <w:tcW w:type="dxa" w:w="493"/>
            <w:vAlign w:val="center"/>
          </w:tcPr>
          <w:p>
            <w:r>
              <w:rPr>
                <w:rFonts w:ascii="Arial" w:hAnsi="Arial"/>
                <w:color w:val="000000"/>
                <w:sz w:val="14"/>
              </w:rPr>
              <w:t>3</w:t>
            </w:r>
          </w:p>
        </w:tc>
        <w:tc>
          <w:tcPr>
            <w:tcW w:type="dxa" w:w="493"/>
            <w:vAlign w:val="center"/>
          </w:tcPr>
          <w:p>
            <w:r>
              <w:rPr>
                <w:rFonts w:ascii="Arial" w:hAnsi="Arial"/>
                <w:color w:val="000000"/>
                <w:sz w:val="14"/>
              </w:rPr>
              <w:t>3.2676</w:t>
            </w:r>
          </w:p>
        </w:tc>
        <w:tc>
          <w:tcPr>
            <w:tcW w:type="dxa" w:w="493"/>
            <w:vAlign w:val="center"/>
          </w:tcPr>
          <w:p>
            <w:r>
              <w:rPr>
                <w:rFonts w:ascii="Arial" w:hAnsi="Arial"/>
                <w:color w:val="000000"/>
                <w:sz w:val="14"/>
              </w:rPr>
              <w:t>14</w:t>
            </w:r>
          </w:p>
        </w:tc>
        <w:tc>
          <w:tcPr>
            <w:tcW w:type="dxa" w:w="493"/>
            <w:vAlign w:val="center"/>
          </w:tcPr>
          <w:p>
            <w:r>
              <w:rPr>
                <w:rFonts w:ascii="Arial" w:hAnsi="Arial"/>
                <w:color w:val="000000"/>
                <w:sz w:val="14"/>
              </w:rPr>
              <w:t>5.157</w:t>
            </w:r>
          </w:p>
        </w:tc>
        <w:tc>
          <w:tcPr>
            <w:tcW w:type="dxa" w:w="493"/>
            <w:vAlign w:val="center"/>
          </w:tcPr>
          <w:p>
            <w:r>
              <w:rPr>
                <w:rFonts w:ascii="Arial" w:hAnsi="Arial"/>
                <w:color w:val="000000"/>
                <w:sz w:val="14"/>
              </w:rPr>
              <w:t>277.07</w:t>
            </w:r>
          </w:p>
        </w:tc>
        <w:tc>
          <w:tcPr>
            <w:tcW w:type="dxa" w:w="493"/>
            <w:vAlign w:val="center"/>
          </w:tcPr>
          <w:p>
            <w:r>
              <w:rPr>
                <w:rFonts w:ascii="Arial" w:hAnsi="Arial"/>
                <w:color w:val="000000"/>
                <w:sz w:val="14"/>
              </w:rPr>
              <w:t>138</w:t>
            </w:r>
          </w:p>
        </w:tc>
        <w:tc>
          <w:tcPr>
            <w:tcW w:type="dxa" w:w="493"/>
            <w:vAlign w:val="center"/>
          </w:tcPr>
          <w:p>
            <w:r>
              <w:rPr>
                <w:rFonts w:ascii="Arial" w:hAnsi="Arial"/>
                <w:color w:val="000000"/>
                <w:sz w:val="14"/>
              </w:rPr>
              <w:t>6</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1.3205</w:t>
            </w:r>
          </w:p>
        </w:tc>
        <w:tc>
          <w:tcPr>
            <w:tcW w:type="dxa" w:w="493"/>
            <w:vAlign w:val="center"/>
          </w:tcPr>
          <w:p>
            <w:r>
              <w:rPr>
                <w:rFonts w:ascii="Arial" w:hAnsi="Arial"/>
                <w:color w:val="000000"/>
                <w:sz w:val="14"/>
              </w:rPr>
              <w:t>1.0429</w:t>
            </w:r>
          </w:p>
        </w:tc>
        <w:tc>
          <w:tcPr>
            <w:tcW w:type="dxa" w:w="493"/>
            <w:vAlign w:val="center"/>
          </w:tcPr>
          <w:p>
            <w:r>
              <w:rPr>
                <w:rFonts w:ascii="Arial" w:hAnsi="Arial"/>
                <w:color w:val="000000"/>
                <w:sz w:val="14"/>
              </w:rPr>
              <w:t>1.6719</w:t>
            </w:r>
          </w:p>
        </w:tc>
        <w:tc>
          <w:tcPr>
            <w:tcW w:type="dxa" w:w="493"/>
            <w:vAlign w:val="center"/>
          </w:tcPr>
          <w:p>
            <w:r>
              <w:rPr>
                <w:rFonts w:ascii="Arial" w:hAnsi="Arial"/>
                <w:color w:val="000000"/>
                <w:sz w:val="14"/>
              </w:rPr>
              <w:t>0.020945</w:t>
            </w:r>
          </w:p>
        </w:tc>
        <w:tc>
          <w:tcPr>
            <w:tcW w:type="dxa" w:w="493"/>
            <w:vAlign w:val="center"/>
          </w:tcPr>
          <w:p>
            <w:r>
              <w:rPr>
                <w:rFonts w:ascii="Arial" w:hAnsi="Arial"/>
                <w:color w:val="000000"/>
                <w:sz w:val="14"/>
              </w:rPr>
              <w:t>0.12567</w:t>
            </w:r>
          </w:p>
        </w:tc>
      </w:tr>
      <w:tr>
        <w:tc>
          <w:tcPr>
            <w:tcW w:type="dxa" w:w="493"/>
            <w:vAlign w:val="center"/>
          </w:tcPr>
          <w:p>
            <w:r>
              <w:rPr>
                <w:rFonts w:ascii="Arial" w:hAnsi="Arial"/>
                <w:color w:val="000000"/>
                <w:sz w:val="14"/>
              </w:rPr>
              <w:t>relative_90p_3d_reference_1991_2020</w:t>
            </w:r>
          </w:p>
        </w:tc>
        <w:tc>
          <w:tcPr>
            <w:tcW w:type="dxa" w:w="493"/>
            <w:vAlign w:val="center"/>
          </w:tcPr>
          <w:p>
            <w:r>
              <w:rPr>
                <w:rFonts w:ascii="Arial" w:hAnsi="Arial"/>
                <w:color w:val="000000"/>
                <w:sz w:val="14"/>
              </w:rPr>
              <w:t>Calendar-day $T_{\max}&gt;P_{90}$, $\geq3$ days</w:t>
            </w:r>
          </w:p>
        </w:tc>
        <w:tc>
          <w:tcPr>
            <w:tcW w:type="dxa" w:w="493"/>
            <w:vAlign w:val="center"/>
          </w:tcPr>
          <w:p>
            <w:r>
              <w:rPr>
                <w:rFonts w:ascii="Arial" w:hAnsi="Arial"/>
                <w:color w:val="000000"/>
                <w:sz w:val="14"/>
              </w:rPr>
              <w:t>1991–2020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467</w:t>
            </w:r>
          </w:p>
        </w:tc>
        <w:tc>
          <w:tcPr>
            <w:tcW w:type="dxa" w:w="493"/>
            <w:vAlign w:val="center"/>
          </w:tcPr>
          <w:p>
            <w:r>
              <w:rPr>
                <w:rFonts w:ascii="Arial" w:hAnsi="Arial"/>
                <w:color w:val="000000"/>
                <w:sz w:val="14"/>
              </w:rPr>
              <w:t>90</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5.2</w:t>
            </w:r>
          </w:p>
        </w:tc>
        <w:tc>
          <w:tcPr>
            <w:tcW w:type="dxa" w:w="493"/>
            <w:vAlign w:val="center"/>
          </w:tcPr>
          <w:p>
            <w:r>
              <w:rPr>
                <w:rFonts w:ascii="Arial" w:hAnsi="Arial"/>
                <w:color w:val="000000"/>
                <w:sz w:val="14"/>
              </w:rPr>
              <w:t>16</w:t>
            </w:r>
          </w:p>
        </w:tc>
        <w:tc>
          <w:tcPr>
            <w:tcW w:type="dxa" w:w="493"/>
            <w:vAlign w:val="center"/>
          </w:tcPr>
          <w:p>
            <w:r>
              <w:rPr>
                <w:rFonts w:ascii="Arial" w:hAnsi="Arial"/>
                <w:color w:val="000000"/>
                <w:sz w:val="14"/>
              </w:rPr>
              <w:t>5.19</w:t>
            </w:r>
          </w:p>
        </w:tc>
        <w:tc>
          <w:tcPr>
            <w:tcW w:type="dxa" w:w="493"/>
            <w:vAlign w:val="center"/>
          </w:tcPr>
          <w:p>
            <w:r>
              <w:rPr>
                <w:rFonts w:ascii="Arial" w:hAnsi="Arial"/>
                <w:color w:val="000000"/>
                <w:sz w:val="14"/>
              </w:rPr>
              <w:t>511.7</w:t>
            </w:r>
          </w:p>
        </w:tc>
        <w:tc>
          <w:tcPr>
            <w:tcW w:type="dxa" w:w="493"/>
            <w:vAlign w:val="center"/>
          </w:tcPr>
          <w:p>
            <w:r>
              <w:rPr>
                <w:rFonts w:ascii="Arial" w:hAnsi="Arial"/>
                <w:color w:val="000000"/>
                <w:sz w:val="14"/>
              </w:rPr>
              <w:t>110</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1.0314</w:t>
            </w:r>
          </w:p>
        </w:tc>
        <w:tc>
          <w:tcPr>
            <w:tcW w:type="dxa" w:w="493"/>
            <w:vAlign w:val="center"/>
          </w:tcPr>
          <w:p>
            <w:r>
              <w:rPr>
                <w:rFonts w:ascii="Arial" w:hAnsi="Arial"/>
                <w:color w:val="000000"/>
                <w:sz w:val="14"/>
              </w:rPr>
              <w:t>0.82448</w:t>
            </w:r>
          </w:p>
        </w:tc>
        <w:tc>
          <w:tcPr>
            <w:tcW w:type="dxa" w:w="493"/>
            <w:vAlign w:val="center"/>
          </w:tcPr>
          <w:p>
            <w:r>
              <w:rPr>
                <w:rFonts w:ascii="Arial" w:hAnsi="Arial"/>
                <w:color w:val="000000"/>
                <w:sz w:val="14"/>
              </w:rPr>
              <w:t>1.2902</w:t>
            </w:r>
          </w:p>
        </w:tc>
        <w:tc>
          <w:tcPr>
            <w:tcW w:type="dxa" w:w="493"/>
            <w:vAlign w:val="center"/>
          </w:tcPr>
          <w:p>
            <w:r>
              <w:rPr>
                <w:rFonts w:ascii="Arial" w:hAnsi="Arial"/>
                <w:color w:val="000000"/>
                <w:sz w:val="14"/>
              </w:rPr>
              <w:t>0.78684</w:t>
            </w:r>
          </w:p>
        </w:tc>
        <w:tc>
          <w:tcPr>
            <w:tcW w:type="dxa" w:w="493"/>
            <w:vAlign w:val="center"/>
          </w:tcPr>
          <w:p>
            <w:r>
              <w:rPr>
                <w:rFonts w:ascii="Arial" w:hAnsi="Arial"/>
                <w:color w:val="000000"/>
                <w:sz w:val="14"/>
              </w:rPr>
            </w:r>
          </w:p>
        </w:tc>
      </w:tr>
      <w:tr>
        <w:tc>
          <w:tcPr>
            <w:tcW w:type="dxa" w:w="493"/>
            <w:vAlign w:val="center"/>
          </w:tcPr>
          <w:p>
            <w:r>
              <w:rPr>
                <w:rFonts w:ascii="Arial" w:hAnsi="Arial"/>
                <w:color w:val="000000"/>
                <w:sz w:val="14"/>
              </w:rPr>
              <w:t>relative_95p_3d_reference_1991_2020</w:t>
            </w:r>
          </w:p>
        </w:tc>
        <w:tc>
          <w:tcPr>
            <w:tcW w:type="dxa" w:w="493"/>
            <w:vAlign w:val="center"/>
          </w:tcPr>
          <w:p>
            <w:r>
              <w:rPr>
                <w:rFonts w:ascii="Arial" w:hAnsi="Arial"/>
                <w:color w:val="000000"/>
                <w:sz w:val="14"/>
              </w:rPr>
              <w:t>Calendar-day $T_{\max}&gt;P_{95}$, $\geq3$ days</w:t>
            </w:r>
          </w:p>
        </w:tc>
        <w:tc>
          <w:tcPr>
            <w:tcW w:type="dxa" w:w="493"/>
            <w:vAlign w:val="center"/>
          </w:tcPr>
          <w:p>
            <w:r>
              <w:rPr>
                <w:rFonts w:ascii="Arial" w:hAnsi="Arial"/>
                <w:color w:val="000000"/>
                <w:sz w:val="14"/>
              </w:rPr>
              <w:t>1991–2020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227</w:t>
            </w:r>
          </w:p>
        </w:tc>
        <w:tc>
          <w:tcPr>
            <w:tcW w:type="dxa" w:w="493"/>
            <w:vAlign w:val="center"/>
          </w:tcPr>
          <w:p>
            <w:r>
              <w:rPr>
                <w:rFonts w:ascii="Arial" w:hAnsi="Arial"/>
                <w:color w:val="000000"/>
                <w:sz w:val="14"/>
              </w:rPr>
              <w:t>49</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4.6327</w:t>
            </w:r>
          </w:p>
        </w:tc>
        <w:tc>
          <w:tcPr>
            <w:tcW w:type="dxa" w:w="493"/>
            <w:vAlign w:val="center"/>
          </w:tcPr>
          <w:p>
            <w:r>
              <w:rPr>
                <w:rFonts w:ascii="Arial" w:hAnsi="Arial"/>
                <w:color w:val="000000"/>
                <w:sz w:val="14"/>
              </w:rPr>
              <w:t>16</w:t>
            </w:r>
          </w:p>
        </w:tc>
        <w:tc>
          <w:tcPr>
            <w:tcW w:type="dxa" w:w="493"/>
            <w:vAlign w:val="center"/>
          </w:tcPr>
          <w:p>
            <w:r>
              <w:rPr>
                <w:rFonts w:ascii="Arial" w:hAnsi="Arial"/>
                <w:color w:val="000000"/>
                <w:sz w:val="14"/>
              </w:rPr>
              <w:t>4.7745</w:t>
            </w:r>
          </w:p>
        </w:tc>
        <w:tc>
          <w:tcPr>
            <w:tcW w:type="dxa" w:w="493"/>
            <w:vAlign w:val="center"/>
          </w:tcPr>
          <w:p>
            <w:r>
              <w:rPr>
                <w:rFonts w:ascii="Arial" w:hAnsi="Arial"/>
                <w:color w:val="000000"/>
                <w:sz w:val="14"/>
              </w:rPr>
              <w:t>268.9</w:t>
            </w:r>
          </w:p>
        </w:tc>
        <w:tc>
          <w:tcPr>
            <w:tcW w:type="dxa" w:w="493"/>
            <w:vAlign w:val="center"/>
          </w:tcPr>
          <w:p>
            <w:r>
              <w:rPr>
                <w:rFonts w:ascii="Arial" w:hAnsi="Arial"/>
                <w:color w:val="000000"/>
                <w:sz w:val="14"/>
              </w:rPr>
              <w:t>107</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0.94352</w:t>
            </w:r>
          </w:p>
        </w:tc>
        <w:tc>
          <w:tcPr>
            <w:tcW w:type="dxa" w:w="493"/>
            <w:vAlign w:val="center"/>
          </w:tcPr>
          <w:p>
            <w:r>
              <w:rPr>
                <w:rFonts w:ascii="Arial" w:hAnsi="Arial"/>
                <w:color w:val="000000"/>
                <w:sz w:val="14"/>
              </w:rPr>
              <w:t>0.71082</w:t>
            </w:r>
          </w:p>
        </w:tc>
        <w:tc>
          <w:tcPr>
            <w:tcW w:type="dxa" w:w="493"/>
            <w:vAlign w:val="center"/>
          </w:tcPr>
          <w:p>
            <w:r>
              <w:rPr>
                <w:rFonts w:ascii="Arial" w:hAnsi="Arial"/>
                <w:color w:val="000000"/>
                <w:sz w:val="14"/>
              </w:rPr>
              <w:t>1.2524</w:t>
            </w:r>
          </w:p>
        </w:tc>
        <w:tc>
          <w:tcPr>
            <w:tcW w:type="dxa" w:w="493"/>
            <w:vAlign w:val="center"/>
          </w:tcPr>
          <w:p>
            <w:r>
              <w:rPr>
                <w:rFonts w:ascii="Arial" w:hAnsi="Arial"/>
                <w:color w:val="000000"/>
                <w:sz w:val="14"/>
              </w:rPr>
              <w:t>0.68741</w:t>
            </w:r>
          </w:p>
        </w:tc>
        <w:tc>
          <w:tcPr>
            <w:tcW w:type="dxa" w:w="493"/>
            <w:vAlign w:val="center"/>
          </w:tcPr>
          <w:p>
            <w:r>
              <w:rPr>
                <w:rFonts w:ascii="Arial" w:hAnsi="Arial"/>
                <w:color w:val="000000"/>
                <w:sz w:val="14"/>
              </w:rPr>
            </w:r>
          </w:p>
        </w:tc>
      </w:tr>
      <w:tr>
        <w:tc>
          <w:tcPr>
            <w:tcW w:type="dxa" w:w="493"/>
            <w:vAlign w:val="center"/>
          </w:tcPr>
          <w:p>
            <w:r>
              <w:rPr>
                <w:rFonts w:ascii="Arial" w:hAnsi="Arial"/>
                <w:color w:val="000000"/>
                <w:sz w:val="14"/>
              </w:rPr>
              <w:t>compound_90p_2d_reference_1991_2020</w:t>
            </w:r>
          </w:p>
        </w:tc>
        <w:tc>
          <w:tcPr>
            <w:tcW w:type="dxa" w:w="493"/>
            <w:vAlign w:val="center"/>
          </w:tcPr>
          <w:p>
            <w:r>
              <w:rPr>
                <w:rFonts w:ascii="Arial" w:hAnsi="Arial"/>
                <w:color w:val="000000"/>
                <w:sz w:val="14"/>
              </w:rPr>
              <w:t>Concurrent $T_{\max},T_{\min}&gt;P_{90}$, $\geq2$ days</w:t>
            </w:r>
          </w:p>
        </w:tc>
        <w:tc>
          <w:tcPr>
            <w:tcW w:type="dxa" w:w="493"/>
            <w:vAlign w:val="center"/>
          </w:tcPr>
          <w:p>
            <w:r>
              <w:rPr>
                <w:rFonts w:ascii="Arial" w:hAnsi="Arial"/>
                <w:color w:val="000000"/>
                <w:sz w:val="14"/>
              </w:rPr>
              <w:t>1991–2020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166</w:t>
            </w:r>
          </w:p>
        </w:tc>
        <w:tc>
          <w:tcPr>
            <w:tcW w:type="dxa" w:w="493"/>
            <w:vAlign w:val="center"/>
          </w:tcPr>
          <w:p>
            <w:r>
              <w:rPr>
                <w:rFonts w:ascii="Arial" w:hAnsi="Arial"/>
                <w:color w:val="000000"/>
                <w:sz w:val="14"/>
              </w:rPr>
              <w:t>54</w:t>
            </w:r>
          </w:p>
        </w:tc>
        <w:tc>
          <w:tcPr>
            <w:tcW w:type="dxa" w:w="493"/>
            <w:vAlign w:val="center"/>
          </w:tcPr>
          <w:p>
            <w:r>
              <w:rPr>
                <w:rFonts w:ascii="Arial" w:hAnsi="Arial"/>
                <w:color w:val="000000"/>
                <w:sz w:val="14"/>
              </w:rPr>
              <w:t>3</w:t>
            </w:r>
          </w:p>
        </w:tc>
        <w:tc>
          <w:tcPr>
            <w:tcW w:type="dxa" w:w="493"/>
            <w:vAlign w:val="center"/>
          </w:tcPr>
          <w:p>
            <w:r>
              <w:rPr>
                <w:rFonts w:ascii="Arial" w:hAnsi="Arial"/>
                <w:color w:val="000000"/>
                <w:sz w:val="14"/>
              </w:rPr>
              <w:t>3.0741</w:t>
            </w:r>
          </w:p>
        </w:tc>
        <w:tc>
          <w:tcPr>
            <w:tcW w:type="dxa" w:w="493"/>
            <w:vAlign w:val="center"/>
          </w:tcPr>
          <w:p>
            <w:r>
              <w:rPr>
                <w:rFonts w:ascii="Arial" w:hAnsi="Arial"/>
                <w:color w:val="000000"/>
                <w:sz w:val="14"/>
              </w:rPr>
              <w:t>8</w:t>
            </w:r>
          </w:p>
        </w:tc>
        <w:tc>
          <w:tcPr>
            <w:tcW w:type="dxa" w:w="493"/>
            <w:vAlign w:val="center"/>
          </w:tcPr>
          <w:p>
            <w:r>
              <w:rPr>
                <w:rFonts w:ascii="Arial" w:hAnsi="Arial"/>
                <w:color w:val="000000"/>
                <w:sz w:val="14"/>
              </w:rPr>
              <w:t>5.037</w:t>
            </w:r>
          </w:p>
        </w:tc>
        <w:tc>
          <w:tcPr>
            <w:tcW w:type="dxa" w:w="493"/>
            <w:vAlign w:val="center"/>
          </w:tcPr>
          <w:p>
            <w:r>
              <w:rPr>
                <w:rFonts w:ascii="Arial" w:hAnsi="Arial"/>
                <w:color w:val="000000"/>
                <w:sz w:val="14"/>
              </w:rPr>
              <w:t>201.03</w:t>
            </w:r>
          </w:p>
        </w:tc>
        <w:tc>
          <w:tcPr>
            <w:tcW w:type="dxa" w:w="493"/>
            <w:vAlign w:val="center"/>
          </w:tcPr>
          <w:p>
            <w:r>
              <w:rPr>
                <w:rFonts w:ascii="Arial" w:hAnsi="Arial"/>
                <w:color w:val="000000"/>
                <w:sz w:val="14"/>
              </w:rPr>
              <w:t>128</w:t>
            </w:r>
          </w:p>
        </w:tc>
        <w:tc>
          <w:tcPr>
            <w:tcW w:type="dxa" w:w="493"/>
            <w:vAlign w:val="center"/>
          </w:tcPr>
          <w:p>
            <w:r>
              <w:rPr>
                <w:rFonts w:ascii="Arial" w:hAnsi="Arial"/>
                <w:color w:val="000000"/>
                <w:sz w:val="14"/>
              </w:rPr>
              <w:t>5</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1.3308</w:t>
            </w:r>
          </w:p>
        </w:tc>
        <w:tc>
          <w:tcPr>
            <w:tcW w:type="dxa" w:w="493"/>
            <w:vAlign w:val="center"/>
          </w:tcPr>
          <w:p>
            <w:r>
              <w:rPr>
                <w:rFonts w:ascii="Arial" w:hAnsi="Arial"/>
                <w:color w:val="000000"/>
                <w:sz w:val="14"/>
              </w:rPr>
              <w:t>1.0209</w:t>
            </w:r>
          </w:p>
        </w:tc>
        <w:tc>
          <w:tcPr>
            <w:tcW w:type="dxa" w:w="493"/>
            <w:vAlign w:val="center"/>
          </w:tcPr>
          <w:p>
            <w:r>
              <w:rPr>
                <w:rFonts w:ascii="Arial" w:hAnsi="Arial"/>
                <w:color w:val="000000"/>
                <w:sz w:val="14"/>
              </w:rPr>
              <w:t>1.735</w:t>
            </w:r>
          </w:p>
        </w:tc>
        <w:tc>
          <w:tcPr>
            <w:tcW w:type="dxa" w:w="493"/>
            <w:vAlign w:val="center"/>
          </w:tcPr>
          <w:p>
            <w:r>
              <w:rPr>
                <w:rFonts w:ascii="Arial" w:hAnsi="Arial"/>
                <w:color w:val="000000"/>
                <w:sz w:val="14"/>
              </w:rPr>
              <w:t>0.034643</w:t>
            </w:r>
          </w:p>
        </w:tc>
        <w:tc>
          <w:tcPr>
            <w:tcW w:type="dxa" w:w="493"/>
            <w:vAlign w:val="center"/>
          </w:tcPr>
          <w:p>
            <w:r>
              <w:rPr>
                <w:rFonts w:ascii="Arial" w:hAnsi="Arial"/>
                <w:color w:val="000000"/>
                <w:sz w:val="14"/>
              </w:rPr>
            </w:r>
          </w:p>
        </w:tc>
      </w:tr>
    </w:tbl>
    <w:p/>
    <w:p>
      <w:pPr>
        <w:pStyle w:val="Caption"/>
        <w:jc w:val="left"/>
      </w:pPr>
      <w:r>
        <w:rPr>
          <w:color w:val="000000"/>
        </w:rPr>
        <w:t>Table 4. Temperature-trend estimates and sensitivity analyses.</w:t>
      </w:r>
    </w:p>
    <w:tbl>
      <w:tblPr>
        <w:tblStyle w:val="TableGrid"/>
        <w:tblW w:type="auto" w:w="0"/>
        <w:tblLayout w:type="autofit"/>
        <w:tblLook w:firstColumn="1" w:firstRow="1" w:lastColumn="0" w:lastRow="0" w:noHBand="0" w:noVBand="1" w:val="04A0"/>
      </w:tblPr>
      <w:tblGrid>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tc>
          <w:tcPr>
            <w:tcW w:type="dxa" w:w="446"/>
            <w:vAlign w:val="center"/>
            <w:shd w:fill="D9EAF7"/>
          </w:tcPr>
          <w:p>
            <w:r>
              <w:rPr>
                <w:rFonts w:ascii="Arial" w:hAnsi="Arial"/>
                <w:b/>
                <w:color w:val="000000"/>
                <w:sz w:val="14"/>
              </w:rPr>
              <w:t>outcome</w:t>
            </w:r>
          </w:p>
        </w:tc>
        <w:tc>
          <w:tcPr>
            <w:tcW w:type="dxa" w:w="446"/>
            <w:vAlign w:val="center"/>
            <w:shd w:fill="D9EAF7"/>
          </w:tcPr>
          <w:p>
            <w:r>
              <w:rPr>
                <w:rFonts w:ascii="Arial" w:hAnsi="Arial"/>
                <w:b/>
                <w:color w:val="000000"/>
                <w:sz w:val="14"/>
              </w:rPr>
              <w:t>n years</w:t>
            </w:r>
          </w:p>
        </w:tc>
        <w:tc>
          <w:tcPr>
            <w:tcW w:type="dxa" w:w="446"/>
            <w:vAlign w:val="center"/>
            <w:shd w:fill="D9EAF7"/>
          </w:tcPr>
          <w:p>
            <w:r>
              <w:rPr>
                <w:rFonts w:ascii="Arial" w:hAnsi="Arial"/>
                <w:b/>
                <w:color w:val="000000"/>
                <w:sz w:val="14"/>
              </w:rPr>
              <w:t>start year</w:t>
            </w:r>
          </w:p>
        </w:tc>
        <w:tc>
          <w:tcPr>
            <w:tcW w:type="dxa" w:w="446"/>
            <w:vAlign w:val="center"/>
            <w:shd w:fill="D9EAF7"/>
          </w:tcPr>
          <w:p>
            <w:r>
              <w:rPr>
                <w:rFonts w:ascii="Arial" w:hAnsi="Arial"/>
                <w:b/>
                <w:color w:val="000000"/>
                <w:sz w:val="14"/>
              </w:rPr>
              <w:t>end year</w:t>
            </w:r>
          </w:p>
        </w:tc>
        <w:tc>
          <w:tcPr>
            <w:tcW w:type="dxa" w:w="446"/>
            <w:vAlign w:val="center"/>
            <w:shd w:fill="D9EAF7"/>
          </w:tcPr>
          <w:p>
            <w:r>
              <w:rPr>
                <w:rFonts w:ascii="Arial" w:hAnsi="Arial"/>
                <w:b/>
                <w:color w:val="000000"/>
                <w:sz w:val="14"/>
              </w:rPr>
              <w:t>ols hac slope per decade</w:t>
            </w:r>
          </w:p>
        </w:tc>
        <w:tc>
          <w:tcPr>
            <w:tcW w:type="dxa" w:w="446"/>
            <w:vAlign w:val="center"/>
            <w:shd w:fill="D9EAF7"/>
          </w:tcPr>
          <w:p>
            <w:r>
              <w:rPr>
                <w:rFonts w:ascii="Arial" w:hAnsi="Arial"/>
                <w:b/>
                <w:color w:val="000000"/>
                <w:sz w:val="14"/>
              </w:rPr>
              <w:t>ols hac se</w:t>
            </w:r>
          </w:p>
        </w:tc>
        <w:tc>
          <w:tcPr>
            <w:tcW w:type="dxa" w:w="446"/>
            <w:vAlign w:val="center"/>
            <w:shd w:fill="D9EAF7"/>
          </w:tcPr>
          <w:p>
            <w:r>
              <w:rPr>
                <w:rFonts w:ascii="Arial" w:hAnsi="Arial"/>
                <w:b/>
                <w:color w:val="000000"/>
                <w:sz w:val="14"/>
              </w:rPr>
              <w:t>ols hac ci lower</w:t>
            </w:r>
          </w:p>
        </w:tc>
        <w:tc>
          <w:tcPr>
            <w:tcW w:type="dxa" w:w="446"/>
            <w:vAlign w:val="center"/>
            <w:shd w:fill="D9EAF7"/>
          </w:tcPr>
          <w:p>
            <w:r>
              <w:rPr>
                <w:rFonts w:ascii="Arial" w:hAnsi="Arial"/>
                <w:b/>
                <w:color w:val="000000"/>
                <w:sz w:val="14"/>
              </w:rPr>
              <w:t>ols hac ci upper</w:t>
            </w:r>
          </w:p>
        </w:tc>
        <w:tc>
          <w:tcPr>
            <w:tcW w:type="dxa" w:w="446"/>
            <w:vAlign w:val="center"/>
            <w:shd w:fill="D9EAF7"/>
          </w:tcPr>
          <w:p>
            <w:r>
              <w:rPr>
                <w:rFonts w:ascii="Arial" w:hAnsi="Arial"/>
                <w:b/>
                <w:color w:val="000000"/>
                <w:sz w:val="14"/>
              </w:rPr>
              <w:t>ols hac p value</w:t>
            </w:r>
          </w:p>
        </w:tc>
        <w:tc>
          <w:tcPr>
            <w:tcW w:type="dxa" w:w="446"/>
            <w:vAlign w:val="center"/>
            <w:shd w:fill="D9EAF7"/>
          </w:tcPr>
          <w:p>
            <w:r>
              <w:rPr>
                <w:rFonts w:ascii="Arial" w:hAnsi="Arial"/>
                <w:b/>
                <w:color w:val="000000"/>
                <w:sz w:val="14"/>
              </w:rPr>
              <w:t>r squared</w:t>
            </w:r>
          </w:p>
        </w:tc>
        <w:tc>
          <w:tcPr>
            <w:tcW w:type="dxa" w:w="446"/>
            <w:vAlign w:val="center"/>
            <w:shd w:fill="D9EAF7"/>
          </w:tcPr>
          <w:p>
            <w:r>
              <w:rPr>
                <w:rFonts w:ascii="Arial" w:hAnsi="Arial"/>
                <w:b/>
                <w:color w:val="000000"/>
                <w:sz w:val="14"/>
              </w:rPr>
              <w:t>sen slope per decade</w:t>
            </w:r>
          </w:p>
        </w:tc>
        <w:tc>
          <w:tcPr>
            <w:tcW w:type="dxa" w:w="446"/>
            <w:vAlign w:val="center"/>
            <w:shd w:fill="D9EAF7"/>
          </w:tcPr>
          <w:p>
            <w:r>
              <w:rPr>
                <w:rFonts w:ascii="Arial" w:hAnsi="Arial"/>
                <w:b/>
                <w:color w:val="000000"/>
                <w:sz w:val="14"/>
              </w:rPr>
              <w:t>sen ci lower per decade</w:t>
            </w:r>
          </w:p>
        </w:tc>
        <w:tc>
          <w:tcPr>
            <w:tcW w:type="dxa" w:w="446"/>
            <w:vAlign w:val="center"/>
            <w:shd w:fill="D9EAF7"/>
          </w:tcPr>
          <w:p>
            <w:r>
              <w:rPr>
                <w:rFonts w:ascii="Arial" w:hAnsi="Arial"/>
                <w:b/>
                <w:color w:val="000000"/>
                <w:sz w:val="14"/>
              </w:rPr>
              <w:t>sen ci upper per decade</w:t>
            </w:r>
          </w:p>
        </w:tc>
        <w:tc>
          <w:tcPr>
            <w:tcW w:type="dxa" w:w="446"/>
            <w:vAlign w:val="center"/>
            <w:shd w:fill="D9EAF7"/>
          </w:tcPr>
          <w:p>
            <w:r>
              <w:rPr>
                <w:rFonts w:ascii="Arial" w:hAnsi="Arial"/>
                <w:b/>
                <w:color w:val="000000"/>
                <w:sz w:val="14"/>
              </w:rPr>
              <w:t>mann kendall tau</w:t>
            </w:r>
          </w:p>
        </w:tc>
        <w:tc>
          <w:tcPr>
            <w:tcW w:type="dxa" w:w="446"/>
            <w:vAlign w:val="center"/>
            <w:shd w:fill="D9EAF7"/>
          </w:tcPr>
          <w:p>
            <w:r>
              <w:rPr>
                <w:rFonts w:ascii="Arial" w:hAnsi="Arial"/>
                <w:b/>
                <w:color w:val="000000"/>
                <w:sz w:val="14"/>
              </w:rPr>
              <w:t>mann kendall p value</w:t>
            </w:r>
          </w:p>
        </w:tc>
        <w:tc>
          <w:tcPr>
            <w:tcW w:type="dxa" w:w="446"/>
            <w:vAlign w:val="center"/>
            <w:shd w:fill="D9EAF7"/>
          </w:tcPr>
          <w:p>
            <w:r>
              <w:rPr>
                <w:rFonts w:ascii="Arial" w:hAnsi="Arial"/>
                <w:b/>
                <w:color w:val="000000"/>
                <w:sz w:val="14"/>
              </w:rPr>
              <w:t>residual lag1 correlation</w:t>
            </w:r>
          </w:p>
        </w:tc>
        <w:tc>
          <w:tcPr>
            <w:tcW w:type="dxa" w:w="446"/>
            <w:vAlign w:val="center"/>
            <w:shd w:fill="D9EAF7"/>
          </w:tcPr>
          <w:p>
            <w:r>
              <w:rPr>
                <w:rFonts w:ascii="Arial" w:hAnsi="Arial"/>
                <w:b/>
                <w:color w:val="000000"/>
                <w:sz w:val="14"/>
              </w:rPr>
              <w:t>mann kendall method</w:t>
            </w:r>
          </w:p>
        </w:tc>
        <w:tc>
          <w:tcPr>
            <w:tcW w:type="dxa" w:w="446"/>
            <w:vAlign w:val="center"/>
            <w:shd w:fill="D9EAF7"/>
          </w:tcPr>
          <w:p>
            <w:r>
              <w:rPr>
                <w:rFonts w:ascii="Arial" w:hAnsi="Arial"/>
                <w:b/>
                <w:color w:val="000000"/>
                <w:sz w:val="14"/>
              </w:rPr>
              <w:t>contrast</w:t>
            </w:r>
          </w:p>
        </w:tc>
        <w:tc>
          <w:tcPr>
            <w:tcW w:type="dxa" w:w="446"/>
            <w:vAlign w:val="center"/>
            <w:shd w:fill="D9EAF7"/>
          </w:tcPr>
          <w:p>
            <w:r>
              <w:rPr>
                <w:rFonts w:ascii="Arial" w:hAnsi="Arial"/>
                <w:b/>
                <w:color w:val="000000"/>
                <w:sz w:val="14"/>
              </w:rPr>
              <w:t>q value bh</w:t>
            </w:r>
          </w:p>
        </w:tc>
        <w:tc>
          <w:tcPr>
            <w:tcW w:type="dxa" w:w="446"/>
            <w:vAlign w:val="center"/>
            <w:shd w:fill="D9EAF7"/>
          </w:tcPr>
          <w:p>
            <w:r>
              <w:rPr>
                <w:rFonts w:ascii="Arial" w:hAnsi="Arial"/>
                <w:b/>
                <w:color w:val="000000"/>
                <w:sz w:val="14"/>
              </w:rPr>
              <w:t>analysis</w:t>
            </w:r>
          </w:p>
        </w:tc>
        <w:tc>
          <w:tcPr>
            <w:tcW w:type="dxa" w:w="446"/>
            <w:vAlign w:val="center"/>
            <w:shd w:fill="D9EAF7"/>
          </w:tcPr>
          <w:p>
            <w:r>
              <w:rPr>
                <w:rFonts w:ascii="Arial" w:hAnsi="Arial"/>
                <w:b/>
                <w:color w:val="000000"/>
                <w:sz w:val="14"/>
              </w:rPr>
              <w:t>endpoint</w:t>
            </w:r>
          </w:p>
        </w:tc>
      </w:tr>
      <w:tr>
        <w:tc>
          <w:tcPr>
            <w:tcW w:type="dxa" w:w="446"/>
            <w:vAlign w:val="center"/>
          </w:tcPr>
          <w:p>
            <w:r>
              <w:rPr>
                <w:rFonts w:ascii="Arial" w:hAnsi="Arial"/>
                <w:color w:val="000000"/>
                <w:sz w:val="14"/>
              </w:rPr>
              <w:t>annual_mean_tmax</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0.19163</w:t>
            </w:r>
          </w:p>
        </w:tc>
        <w:tc>
          <w:tcPr>
            <w:tcW w:type="dxa" w:w="446"/>
            <w:vAlign w:val="center"/>
          </w:tcPr>
          <w:p>
            <w:r>
              <w:rPr>
                <w:rFonts w:ascii="Arial" w:hAnsi="Arial"/>
                <w:color w:val="000000"/>
                <w:sz w:val="14"/>
              </w:rPr>
              <w:t>0.031431</w:t>
            </w:r>
          </w:p>
        </w:tc>
        <w:tc>
          <w:tcPr>
            <w:tcW w:type="dxa" w:w="446"/>
            <w:vAlign w:val="center"/>
          </w:tcPr>
          <w:p>
            <w:r>
              <w:rPr>
                <w:rFonts w:ascii="Arial" w:hAnsi="Arial"/>
                <w:color w:val="000000"/>
                <w:sz w:val="14"/>
              </w:rPr>
              <w:t>0.13002</w:t>
            </w:r>
          </w:p>
        </w:tc>
        <w:tc>
          <w:tcPr>
            <w:tcW w:type="dxa" w:w="446"/>
            <w:vAlign w:val="center"/>
          </w:tcPr>
          <w:p>
            <w:r>
              <w:rPr>
                <w:rFonts w:ascii="Arial" w:hAnsi="Arial"/>
                <w:color w:val="000000"/>
                <w:sz w:val="14"/>
              </w:rPr>
              <w:t>0.25323</w:t>
            </w:r>
          </w:p>
        </w:tc>
        <w:tc>
          <w:tcPr>
            <w:tcW w:type="dxa" w:w="446"/>
            <w:vAlign w:val="center"/>
          </w:tcPr>
          <w:p>
            <w:r>
              <w:rPr>
                <w:rFonts w:ascii="Arial" w:hAnsi="Arial"/>
                <w:color w:val="000000"/>
                <w:sz w:val="14"/>
              </w:rPr>
              <w:t>1.0825e-09</w:t>
            </w:r>
          </w:p>
        </w:tc>
        <w:tc>
          <w:tcPr>
            <w:tcW w:type="dxa" w:w="446"/>
            <w:vAlign w:val="center"/>
          </w:tcPr>
          <w:p>
            <w:r>
              <w:rPr>
                <w:rFonts w:ascii="Arial" w:hAnsi="Arial"/>
                <w:color w:val="000000"/>
                <w:sz w:val="14"/>
              </w:rPr>
              <w:t>0.40514</w:t>
            </w:r>
          </w:p>
        </w:tc>
        <w:tc>
          <w:tcPr>
            <w:tcW w:type="dxa" w:w="446"/>
            <w:vAlign w:val="center"/>
          </w:tcPr>
          <w:p>
            <w:r>
              <w:rPr>
                <w:rFonts w:ascii="Arial" w:hAnsi="Arial"/>
                <w:color w:val="000000"/>
                <w:sz w:val="14"/>
              </w:rPr>
              <w:t>0.20051</w:t>
            </w:r>
          </w:p>
        </w:tc>
        <w:tc>
          <w:tcPr>
            <w:tcW w:type="dxa" w:w="446"/>
            <w:vAlign w:val="center"/>
          </w:tcPr>
          <w:p>
            <w:r>
              <w:rPr>
                <w:rFonts w:ascii="Arial" w:hAnsi="Arial"/>
                <w:color w:val="000000"/>
                <w:sz w:val="14"/>
              </w:rPr>
              <w:t>0.12473</w:t>
            </w:r>
          </w:p>
        </w:tc>
        <w:tc>
          <w:tcPr>
            <w:tcW w:type="dxa" w:w="446"/>
            <w:vAlign w:val="center"/>
          </w:tcPr>
          <w:p>
            <w:r>
              <w:rPr>
                <w:rFonts w:ascii="Arial" w:hAnsi="Arial"/>
                <w:color w:val="000000"/>
                <w:sz w:val="14"/>
              </w:rPr>
              <w:t>0.2652</w:t>
            </w:r>
          </w:p>
        </w:tc>
        <w:tc>
          <w:tcPr>
            <w:tcW w:type="dxa" w:w="446"/>
            <w:vAlign w:val="center"/>
          </w:tcPr>
          <w:p>
            <w:r>
              <w:rPr>
                <w:rFonts w:ascii="Arial" w:hAnsi="Arial"/>
                <w:color w:val="000000"/>
                <w:sz w:val="14"/>
              </w:rPr>
              <w:t>0.48567</w:t>
            </w:r>
          </w:p>
        </w:tc>
        <w:tc>
          <w:tcPr>
            <w:tcW w:type="dxa" w:w="446"/>
            <w:vAlign w:val="center"/>
          </w:tcPr>
          <w:p>
            <w:r>
              <w:rPr>
                <w:rFonts w:ascii="Arial" w:hAnsi="Arial"/>
                <w:color w:val="000000"/>
                <w:sz w:val="14"/>
              </w:rPr>
              <w:t>3.7377e-07</w:t>
            </w:r>
          </w:p>
        </w:tc>
        <w:tc>
          <w:tcPr>
            <w:tcW w:type="dxa" w:w="446"/>
            <w:vAlign w:val="center"/>
          </w:tcPr>
          <w:p>
            <w:r>
              <w:rPr>
                <w:rFonts w:ascii="Arial" w:hAnsi="Arial"/>
                <w:color w:val="000000"/>
                <w:sz w:val="14"/>
              </w:rPr>
              <w:t>0.010776</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3.2476e-09</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annual_mean_tmin</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0.208</w:t>
            </w:r>
          </w:p>
        </w:tc>
        <w:tc>
          <w:tcPr>
            <w:tcW w:type="dxa" w:w="446"/>
            <w:vAlign w:val="center"/>
          </w:tcPr>
          <w:p>
            <w:r>
              <w:rPr>
                <w:rFonts w:ascii="Arial" w:hAnsi="Arial"/>
                <w:color w:val="000000"/>
                <w:sz w:val="14"/>
              </w:rPr>
              <w:t>0.028751</w:t>
            </w:r>
          </w:p>
        </w:tc>
        <w:tc>
          <w:tcPr>
            <w:tcW w:type="dxa" w:w="446"/>
            <w:vAlign w:val="center"/>
          </w:tcPr>
          <w:p>
            <w:r>
              <w:rPr>
                <w:rFonts w:ascii="Arial" w:hAnsi="Arial"/>
                <w:color w:val="000000"/>
                <w:sz w:val="14"/>
              </w:rPr>
              <w:t>0.15165</w:t>
            </w:r>
          </w:p>
        </w:tc>
        <w:tc>
          <w:tcPr>
            <w:tcW w:type="dxa" w:w="446"/>
            <w:vAlign w:val="center"/>
          </w:tcPr>
          <w:p>
            <w:r>
              <w:rPr>
                <w:rFonts w:ascii="Arial" w:hAnsi="Arial"/>
                <w:color w:val="000000"/>
                <w:sz w:val="14"/>
              </w:rPr>
              <w:t>0.26435</w:t>
            </w:r>
          </w:p>
        </w:tc>
        <w:tc>
          <w:tcPr>
            <w:tcW w:type="dxa" w:w="446"/>
            <w:vAlign w:val="center"/>
          </w:tcPr>
          <w:p>
            <w:r>
              <w:rPr>
                <w:rFonts w:ascii="Arial" w:hAnsi="Arial"/>
                <w:color w:val="000000"/>
                <w:sz w:val="14"/>
              </w:rPr>
              <w:t>4.6774e-13</w:t>
            </w:r>
          </w:p>
        </w:tc>
        <w:tc>
          <w:tcPr>
            <w:tcW w:type="dxa" w:w="446"/>
            <w:vAlign w:val="center"/>
          </w:tcPr>
          <w:p>
            <w:r>
              <w:rPr>
                <w:rFonts w:ascii="Arial" w:hAnsi="Arial"/>
                <w:color w:val="000000"/>
                <w:sz w:val="14"/>
              </w:rPr>
              <w:t>0.54289</w:t>
            </w:r>
          </w:p>
        </w:tc>
        <w:tc>
          <w:tcPr>
            <w:tcW w:type="dxa" w:w="446"/>
            <w:vAlign w:val="center"/>
          </w:tcPr>
          <w:p>
            <w:r>
              <w:rPr>
                <w:rFonts w:ascii="Arial" w:hAnsi="Arial"/>
                <w:color w:val="000000"/>
                <w:sz w:val="14"/>
              </w:rPr>
              <w:t>0.21362</w:t>
            </w:r>
          </w:p>
        </w:tc>
        <w:tc>
          <w:tcPr>
            <w:tcW w:type="dxa" w:w="446"/>
            <w:vAlign w:val="center"/>
          </w:tcPr>
          <w:p>
            <w:r>
              <w:rPr>
                <w:rFonts w:ascii="Arial" w:hAnsi="Arial"/>
                <w:color w:val="000000"/>
                <w:sz w:val="14"/>
              </w:rPr>
              <w:t>0.14851</w:t>
            </w:r>
          </w:p>
        </w:tc>
        <w:tc>
          <w:tcPr>
            <w:tcW w:type="dxa" w:w="446"/>
            <w:vAlign w:val="center"/>
          </w:tcPr>
          <w:p>
            <w:r>
              <w:rPr>
                <w:rFonts w:ascii="Arial" w:hAnsi="Arial"/>
                <w:color w:val="000000"/>
                <w:sz w:val="14"/>
              </w:rPr>
              <w:t>0.27503</w:t>
            </w:r>
          </w:p>
        </w:tc>
        <w:tc>
          <w:tcPr>
            <w:tcW w:type="dxa" w:w="446"/>
            <w:vAlign w:val="center"/>
          </w:tcPr>
          <w:p>
            <w:r>
              <w:rPr>
                <w:rFonts w:ascii="Arial" w:hAnsi="Arial"/>
                <w:color w:val="000000"/>
                <w:sz w:val="14"/>
              </w:rPr>
              <w:t>0.55204</w:t>
            </w:r>
          </w:p>
        </w:tc>
        <w:tc>
          <w:tcPr>
            <w:tcW w:type="dxa" w:w="446"/>
            <w:vAlign w:val="center"/>
          </w:tcPr>
          <w:p>
            <w:r>
              <w:rPr>
                <w:rFonts w:ascii="Arial" w:hAnsi="Arial"/>
                <w:color w:val="000000"/>
                <w:sz w:val="14"/>
              </w:rPr>
              <w:t>7.6376e-09</w:t>
            </w:r>
          </w:p>
        </w:tc>
        <w:tc>
          <w:tcPr>
            <w:tcW w:type="dxa" w:w="446"/>
            <w:vAlign w:val="center"/>
          </w:tcPr>
          <w:p>
            <w:r>
              <w:rPr>
                <w:rFonts w:ascii="Arial" w:hAnsi="Arial"/>
                <w:color w:val="000000"/>
                <w:sz w:val="14"/>
              </w:rPr>
              <w:t>0.23239</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2.8064e-12</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annual_mean_day_night_range</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-0.016372</w:t>
            </w:r>
          </w:p>
        </w:tc>
        <w:tc>
          <w:tcPr>
            <w:tcW w:type="dxa" w:w="446"/>
            <w:vAlign w:val="center"/>
          </w:tcPr>
          <w:p>
            <w:r>
              <w:rPr>
                <w:rFonts w:ascii="Arial" w:hAnsi="Arial"/>
                <w:color w:val="000000"/>
                <w:sz w:val="14"/>
              </w:rPr>
              <w:t>0.026603</w:t>
            </w:r>
          </w:p>
        </w:tc>
        <w:tc>
          <w:tcPr>
            <w:tcW w:type="dxa" w:w="446"/>
            <w:vAlign w:val="center"/>
          </w:tcPr>
          <w:p>
            <w:r>
              <w:rPr>
                <w:rFonts w:ascii="Arial" w:hAnsi="Arial"/>
                <w:color w:val="000000"/>
                <w:sz w:val="14"/>
              </w:rPr>
              <w:t>-0.068513</w:t>
            </w:r>
          </w:p>
        </w:tc>
        <w:tc>
          <w:tcPr>
            <w:tcW w:type="dxa" w:w="446"/>
            <w:vAlign w:val="center"/>
          </w:tcPr>
          <w:p>
            <w:r>
              <w:rPr>
                <w:rFonts w:ascii="Arial" w:hAnsi="Arial"/>
                <w:color w:val="000000"/>
                <w:sz w:val="14"/>
              </w:rPr>
              <w:t>0.035768</w:t>
            </w:r>
          </w:p>
        </w:tc>
        <w:tc>
          <w:tcPr>
            <w:tcW w:type="dxa" w:w="446"/>
            <w:vAlign w:val="center"/>
          </w:tcPr>
          <w:p>
            <w:r>
              <w:rPr>
                <w:rFonts w:ascii="Arial" w:hAnsi="Arial"/>
                <w:color w:val="000000"/>
                <w:sz w:val="14"/>
              </w:rPr>
              <w:t>0.53827</w:t>
            </w:r>
          </w:p>
        </w:tc>
        <w:tc>
          <w:tcPr>
            <w:tcW w:type="dxa" w:w="446"/>
            <w:vAlign w:val="center"/>
          </w:tcPr>
          <w:p>
            <w:r>
              <w:rPr>
                <w:rFonts w:ascii="Arial" w:hAnsi="Arial"/>
                <w:color w:val="000000"/>
                <w:sz w:val="14"/>
              </w:rPr>
              <w:t>0.008209</w:t>
            </w:r>
          </w:p>
        </w:tc>
        <w:tc>
          <w:tcPr>
            <w:tcW w:type="dxa" w:w="446"/>
            <w:vAlign w:val="center"/>
          </w:tcPr>
          <w:p>
            <w:r>
              <w:rPr>
                <w:rFonts w:ascii="Arial" w:hAnsi="Arial"/>
                <w:color w:val="000000"/>
                <w:sz w:val="14"/>
              </w:rPr>
              <w:t>-0.018302</w:t>
            </w:r>
          </w:p>
        </w:tc>
        <w:tc>
          <w:tcPr>
            <w:tcW w:type="dxa" w:w="446"/>
            <w:vAlign w:val="center"/>
          </w:tcPr>
          <w:p>
            <w:r>
              <w:rPr>
                <w:rFonts w:ascii="Arial" w:hAnsi="Arial"/>
                <w:color w:val="000000"/>
                <w:sz w:val="14"/>
              </w:rPr>
              <w:t>-0.072146</w:t>
            </w:r>
          </w:p>
        </w:tc>
        <w:tc>
          <w:tcPr>
            <w:tcW w:type="dxa" w:w="446"/>
            <w:vAlign w:val="center"/>
          </w:tcPr>
          <w:p>
            <w:r>
              <w:rPr>
                <w:rFonts w:ascii="Arial" w:hAnsi="Arial"/>
                <w:color w:val="000000"/>
                <w:sz w:val="14"/>
              </w:rPr>
              <w:t>0.036723</w:t>
            </w:r>
          </w:p>
        </w:tc>
        <w:tc>
          <w:tcPr>
            <w:tcW w:type="dxa" w:w="446"/>
            <w:vAlign w:val="center"/>
          </w:tcPr>
          <w:p>
            <w:r>
              <w:rPr>
                <w:rFonts w:ascii="Arial" w:hAnsi="Arial"/>
                <w:color w:val="000000"/>
                <w:sz w:val="14"/>
              </w:rPr>
              <w:t>-0.076923</w:t>
            </w:r>
          </w:p>
        </w:tc>
        <w:tc>
          <w:tcPr>
            <w:tcW w:type="dxa" w:w="446"/>
            <w:vAlign w:val="center"/>
          </w:tcPr>
          <w:p>
            <w:r>
              <w:rPr>
                <w:rFonts w:ascii="Arial" w:hAnsi="Arial"/>
                <w:color w:val="000000"/>
                <w:sz w:val="14"/>
              </w:rPr>
              <w:t>0.42088</w:t>
            </w:r>
          </w:p>
        </w:tc>
        <w:tc>
          <w:tcPr>
            <w:tcW w:type="dxa" w:w="446"/>
            <w:vAlign w:val="center"/>
          </w:tcPr>
          <w:p>
            <w:r>
              <w:rPr>
                <w:rFonts w:ascii="Arial" w:hAnsi="Arial"/>
                <w:color w:val="000000"/>
                <w:sz w:val="14"/>
              </w:rPr>
              <w:t>0.082101</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0.53827</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march_june_mean_tmax</w:t>
            </w:r>
          </w:p>
        </w:tc>
        <w:tc>
          <w:tcPr>
            <w:tcW w:type="dxa" w:w="446"/>
            <w:vAlign w:val="center"/>
          </w:tcPr>
          <w:p>
            <w:r>
              <w:rPr>
                <w:rFonts w:ascii="Arial" w:hAnsi="Arial"/>
                <w:color w:val="000000"/>
                <w:sz w:val="14"/>
              </w:rPr>
              <w:t>53</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2024</w:t>
            </w:r>
          </w:p>
        </w:tc>
        <w:tc>
          <w:tcPr>
            <w:tcW w:type="dxa" w:w="446"/>
            <w:vAlign w:val="center"/>
          </w:tcPr>
          <w:p>
            <w:r>
              <w:rPr>
                <w:rFonts w:ascii="Arial" w:hAnsi="Arial"/>
                <w:color w:val="000000"/>
                <w:sz w:val="14"/>
              </w:rPr>
              <w:t>0.16532</w:t>
            </w:r>
          </w:p>
        </w:tc>
        <w:tc>
          <w:tcPr>
            <w:tcW w:type="dxa" w:w="446"/>
            <w:vAlign w:val="center"/>
          </w:tcPr>
          <w:p>
            <w:r>
              <w:rPr>
                <w:rFonts w:ascii="Arial" w:hAnsi="Arial"/>
                <w:color w:val="000000"/>
                <w:sz w:val="14"/>
              </w:rPr>
              <w:t>0.061899</w:t>
            </w:r>
          </w:p>
        </w:tc>
        <w:tc>
          <w:tcPr>
            <w:tcW w:type="dxa" w:w="446"/>
            <w:vAlign w:val="center"/>
          </w:tcPr>
          <w:p>
            <w:r>
              <w:rPr>
                <w:rFonts w:ascii="Arial" w:hAnsi="Arial"/>
                <w:color w:val="000000"/>
                <w:sz w:val="14"/>
              </w:rPr>
              <w:t>0.044002</w:t>
            </w:r>
          </w:p>
        </w:tc>
        <w:tc>
          <w:tcPr>
            <w:tcW w:type="dxa" w:w="446"/>
            <w:vAlign w:val="center"/>
          </w:tcPr>
          <w:p>
            <w:r>
              <w:rPr>
                <w:rFonts w:ascii="Arial" w:hAnsi="Arial"/>
                <w:color w:val="000000"/>
                <w:sz w:val="14"/>
              </w:rPr>
              <w:t>0.28664</w:t>
            </w:r>
          </w:p>
        </w:tc>
        <w:tc>
          <w:tcPr>
            <w:tcW w:type="dxa" w:w="446"/>
            <w:vAlign w:val="center"/>
          </w:tcPr>
          <w:p>
            <w:r>
              <w:rPr>
                <w:rFonts w:ascii="Arial" w:hAnsi="Arial"/>
                <w:color w:val="000000"/>
                <w:sz w:val="14"/>
              </w:rPr>
              <w:t>0.0075662</w:t>
            </w:r>
          </w:p>
        </w:tc>
        <w:tc>
          <w:tcPr>
            <w:tcW w:type="dxa" w:w="446"/>
            <w:vAlign w:val="center"/>
          </w:tcPr>
          <w:p>
            <w:r>
              <w:rPr>
                <w:rFonts w:ascii="Arial" w:hAnsi="Arial"/>
                <w:color w:val="000000"/>
                <w:sz w:val="14"/>
              </w:rPr>
              <w:t>0.097801</w:t>
            </w:r>
          </w:p>
        </w:tc>
        <w:tc>
          <w:tcPr>
            <w:tcW w:type="dxa" w:w="446"/>
            <w:vAlign w:val="center"/>
          </w:tcPr>
          <w:p>
            <w:r>
              <w:rPr>
                <w:rFonts w:ascii="Arial" w:hAnsi="Arial"/>
                <w:color w:val="000000"/>
                <w:sz w:val="14"/>
              </w:rPr>
              <w:t>0.20017</w:t>
            </w:r>
          </w:p>
        </w:tc>
        <w:tc>
          <w:tcPr>
            <w:tcW w:type="dxa" w:w="446"/>
            <w:vAlign w:val="center"/>
          </w:tcPr>
          <w:p>
            <w:r>
              <w:rPr>
                <w:rFonts w:ascii="Arial" w:hAnsi="Arial"/>
                <w:color w:val="000000"/>
                <w:sz w:val="14"/>
              </w:rPr>
              <w:t>0.050221</w:t>
            </w:r>
          </w:p>
        </w:tc>
        <w:tc>
          <w:tcPr>
            <w:tcW w:type="dxa" w:w="446"/>
            <w:vAlign w:val="center"/>
          </w:tcPr>
          <w:p>
            <w:r>
              <w:rPr>
                <w:rFonts w:ascii="Arial" w:hAnsi="Arial"/>
                <w:color w:val="000000"/>
                <w:sz w:val="14"/>
              </w:rPr>
              <w:t>0.35099</w:t>
            </w:r>
          </w:p>
        </w:tc>
        <w:tc>
          <w:tcPr>
            <w:tcW w:type="dxa" w:w="446"/>
            <w:vAlign w:val="center"/>
          </w:tcPr>
          <w:p>
            <w:r>
              <w:rPr>
                <w:rFonts w:ascii="Arial" w:hAnsi="Arial"/>
                <w:color w:val="000000"/>
                <w:sz w:val="14"/>
              </w:rPr>
              <w:t>0.24238</w:t>
            </w:r>
          </w:p>
        </w:tc>
        <w:tc>
          <w:tcPr>
            <w:tcW w:type="dxa" w:w="446"/>
            <w:vAlign w:val="center"/>
          </w:tcPr>
          <w:p>
            <w:r>
              <w:rPr>
                <w:rFonts w:ascii="Arial" w:hAnsi="Arial"/>
                <w:color w:val="000000"/>
                <w:sz w:val="14"/>
              </w:rPr>
              <w:t>0.010407</w:t>
            </w:r>
          </w:p>
        </w:tc>
        <w:tc>
          <w:tcPr>
            <w:tcW w:type="dxa" w:w="446"/>
            <w:vAlign w:val="center"/>
          </w:tcPr>
          <w:p>
            <w:r>
              <w:rPr>
                <w:rFonts w:ascii="Arial" w:hAnsi="Arial"/>
                <w:color w:val="000000"/>
                <w:sz w:val="14"/>
              </w:rPr>
              <w:t>-0.041867</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0.011349</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march_june_mean_tmin</w:t>
            </w:r>
          </w:p>
        </w:tc>
        <w:tc>
          <w:tcPr>
            <w:tcW w:type="dxa" w:w="446"/>
            <w:vAlign w:val="center"/>
          </w:tcPr>
          <w:p>
            <w:r>
              <w:rPr>
                <w:rFonts w:ascii="Arial" w:hAnsi="Arial"/>
                <w:color w:val="000000"/>
                <w:sz w:val="14"/>
              </w:rPr>
              <w:t>53</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2024</w:t>
            </w:r>
          </w:p>
        </w:tc>
        <w:tc>
          <w:tcPr>
            <w:tcW w:type="dxa" w:w="446"/>
            <w:vAlign w:val="center"/>
          </w:tcPr>
          <w:p>
            <w:r>
              <w:rPr>
                <w:rFonts w:ascii="Arial" w:hAnsi="Arial"/>
                <w:color w:val="000000"/>
                <w:sz w:val="14"/>
              </w:rPr>
              <w:t>0.15276</w:t>
            </w:r>
          </w:p>
        </w:tc>
        <w:tc>
          <w:tcPr>
            <w:tcW w:type="dxa" w:w="446"/>
            <w:vAlign w:val="center"/>
          </w:tcPr>
          <w:p>
            <w:r>
              <w:rPr>
                <w:rFonts w:ascii="Arial" w:hAnsi="Arial"/>
                <w:color w:val="000000"/>
                <w:sz w:val="14"/>
              </w:rPr>
              <w:t>0.042292</w:t>
            </w:r>
          </w:p>
        </w:tc>
        <w:tc>
          <w:tcPr>
            <w:tcW w:type="dxa" w:w="446"/>
            <w:vAlign w:val="center"/>
          </w:tcPr>
          <w:p>
            <w:r>
              <w:rPr>
                <w:rFonts w:ascii="Arial" w:hAnsi="Arial"/>
                <w:color w:val="000000"/>
                <w:sz w:val="14"/>
              </w:rPr>
              <w:t>0.06987</w:t>
            </w:r>
          </w:p>
        </w:tc>
        <w:tc>
          <w:tcPr>
            <w:tcW w:type="dxa" w:w="446"/>
            <w:vAlign w:val="center"/>
          </w:tcPr>
          <w:p>
            <w:r>
              <w:rPr>
                <w:rFonts w:ascii="Arial" w:hAnsi="Arial"/>
                <w:color w:val="000000"/>
                <w:sz w:val="14"/>
              </w:rPr>
              <w:t>0.23565</w:t>
            </w:r>
          </w:p>
        </w:tc>
        <w:tc>
          <w:tcPr>
            <w:tcW w:type="dxa" w:w="446"/>
            <w:vAlign w:val="center"/>
          </w:tcPr>
          <w:p>
            <w:r>
              <w:rPr>
                <w:rFonts w:ascii="Arial" w:hAnsi="Arial"/>
                <w:color w:val="000000"/>
                <w:sz w:val="14"/>
              </w:rPr>
              <w:t>0.00030376</w:t>
            </w:r>
          </w:p>
        </w:tc>
        <w:tc>
          <w:tcPr>
            <w:tcW w:type="dxa" w:w="446"/>
            <w:vAlign w:val="center"/>
          </w:tcPr>
          <w:p>
            <w:r>
              <w:rPr>
                <w:rFonts w:ascii="Arial" w:hAnsi="Arial"/>
                <w:color w:val="000000"/>
                <w:sz w:val="14"/>
              </w:rPr>
              <w:t>0.17868</w:t>
            </w:r>
          </w:p>
        </w:tc>
        <w:tc>
          <w:tcPr>
            <w:tcW w:type="dxa" w:w="446"/>
            <w:vAlign w:val="center"/>
          </w:tcPr>
          <w:p>
            <w:r>
              <w:rPr>
                <w:rFonts w:ascii="Arial" w:hAnsi="Arial"/>
                <w:color w:val="000000"/>
                <w:sz w:val="14"/>
              </w:rPr>
              <w:t>0.14917</w:t>
            </w:r>
          </w:p>
        </w:tc>
        <w:tc>
          <w:tcPr>
            <w:tcW w:type="dxa" w:w="446"/>
            <w:vAlign w:val="center"/>
          </w:tcPr>
          <w:p>
            <w:r>
              <w:rPr>
                <w:rFonts w:ascii="Arial" w:hAnsi="Arial"/>
                <w:color w:val="000000"/>
                <w:sz w:val="14"/>
              </w:rPr>
              <w:t>0.053479</w:t>
            </w:r>
          </w:p>
        </w:tc>
        <w:tc>
          <w:tcPr>
            <w:tcW w:type="dxa" w:w="446"/>
            <w:vAlign w:val="center"/>
          </w:tcPr>
          <w:p>
            <w:r>
              <w:rPr>
                <w:rFonts w:ascii="Arial" w:hAnsi="Arial"/>
                <w:color w:val="000000"/>
                <w:sz w:val="14"/>
              </w:rPr>
              <w:t>0.24665</w:t>
            </w:r>
          </w:p>
        </w:tc>
        <w:tc>
          <w:tcPr>
            <w:tcW w:type="dxa" w:w="446"/>
            <w:vAlign w:val="center"/>
          </w:tcPr>
          <w:p>
            <w:r>
              <w:rPr>
                <w:rFonts w:ascii="Arial" w:hAnsi="Arial"/>
                <w:color w:val="000000"/>
                <w:sz w:val="14"/>
              </w:rPr>
              <w:t>0.28447</w:t>
            </w:r>
          </w:p>
        </w:tc>
        <w:tc>
          <w:tcPr>
            <w:tcW w:type="dxa" w:w="446"/>
            <w:vAlign w:val="center"/>
          </w:tcPr>
          <w:p>
            <w:r>
              <w:rPr>
                <w:rFonts w:ascii="Arial" w:hAnsi="Arial"/>
                <w:color w:val="000000"/>
                <w:sz w:val="14"/>
              </w:rPr>
              <w:t>0.0026391</w:t>
            </w:r>
          </w:p>
        </w:tc>
        <w:tc>
          <w:tcPr>
            <w:tcW w:type="dxa" w:w="446"/>
            <w:vAlign w:val="center"/>
          </w:tcPr>
          <w:p>
            <w:r>
              <w:rPr>
                <w:rFonts w:ascii="Arial" w:hAnsi="Arial"/>
                <w:color w:val="000000"/>
                <w:sz w:val="14"/>
              </w:rPr>
              <w:t>-0.034053</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0.00060751</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formal_tmin_minus_tmax_slope_difference</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0.016372</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-0.034351</w:t>
            </w:r>
          </w:p>
        </w:tc>
        <w:tc>
          <w:tcPr>
            <w:tcW w:type="dxa" w:w="446"/>
            <w:vAlign w:val="center"/>
          </w:tcPr>
          <w:p>
            <w:r>
              <w:rPr>
                <w:rFonts w:ascii="Arial" w:hAnsi="Arial"/>
                <w:color w:val="000000"/>
                <w:sz w:val="14"/>
              </w:rPr>
              <w:t>0.067095</w:t>
            </w:r>
          </w:p>
        </w:tc>
        <w:tc>
          <w:tcPr>
            <w:tcW w:type="dxa" w:w="446"/>
            <w:vAlign w:val="center"/>
          </w:tcPr>
          <w:p>
            <w:r>
              <w:rPr>
                <w:rFonts w:ascii="Arial" w:hAnsi="Arial"/>
                <w:color w:val="000000"/>
                <w:sz w:val="14"/>
              </w:rPr>
              <w:t>0.52697</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Tmin minus Tmax trend</w:t>
            </w:r>
          </w:p>
        </w:tc>
        <w:tc>
          <w:tcPr>
            <w:tcW w:type="dxa" w:w="446"/>
            <w:vAlign w:val="center"/>
          </w:tcPr>
          <w:p>
            <w:r>
              <w:rPr>
                <w:rFonts w:ascii="Arial" w:hAnsi="Arial"/>
                <w:color w:val="000000"/>
                <w:sz w:val="14"/>
              </w:rPr>
              <w:t>0.53827</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march_june_mean_tmax</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0.15136</w:t>
            </w:r>
          </w:p>
        </w:tc>
        <w:tc>
          <w:tcPr>
            <w:tcW w:type="dxa" w:w="446"/>
            <w:vAlign w:val="center"/>
          </w:tcPr>
          <w:p>
            <w:r>
              <w:rPr>
                <w:rFonts w:ascii="Arial" w:hAnsi="Arial"/>
                <w:color w:val="000000"/>
                <w:sz w:val="14"/>
              </w:rPr>
              <w:t>0.059861</w:t>
            </w:r>
          </w:p>
        </w:tc>
        <w:tc>
          <w:tcPr>
            <w:tcW w:type="dxa" w:w="446"/>
            <w:vAlign w:val="center"/>
          </w:tcPr>
          <w:p>
            <w:r>
              <w:rPr>
                <w:rFonts w:ascii="Arial" w:hAnsi="Arial"/>
                <w:color w:val="000000"/>
                <w:sz w:val="14"/>
              </w:rPr>
              <w:t>0.034035</w:t>
            </w:r>
          </w:p>
        </w:tc>
        <w:tc>
          <w:tcPr>
            <w:tcW w:type="dxa" w:w="446"/>
            <w:vAlign w:val="center"/>
          </w:tcPr>
          <w:p>
            <w:r>
              <w:rPr>
                <w:rFonts w:ascii="Arial" w:hAnsi="Arial"/>
                <w:color w:val="000000"/>
                <w:sz w:val="14"/>
              </w:rPr>
              <w:t>0.26868</w:t>
            </w:r>
          </w:p>
        </w:tc>
        <w:tc>
          <w:tcPr>
            <w:tcW w:type="dxa" w:w="446"/>
            <w:vAlign w:val="center"/>
          </w:tcPr>
          <w:p>
            <w:r>
              <w:rPr>
                <w:rFonts w:ascii="Arial" w:hAnsi="Arial"/>
                <w:color w:val="000000"/>
                <w:sz w:val="14"/>
              </w:rPr>
              <w:t>0.011454</w:t>
            </w:r>
          </w:p>
        </w:tc>
        <w:tc>
          <w:tcPr>
            <w:tcW w:type="dxa" w:w="446"/>
            <w:vAlign w:val="center"/>
          </w:tcPr>
          <w:p>
            <w:r>
              <w:rPr>
                <w:rFonts w:ascii="Arial" w:hAnsi="Arial"/>
                <w:color w:val="000000"/>
                <w:sz w:val="14"/>
              </w:rPr>
              <w:t>0.080003</w:t>
            </w:r>
          </w:p>
        </w:tc>
        <w:tc>
          <w:tcPr>
            <w:tcW w:type="dxa" w:w="446"/>
            <w:vAlign w:val="center"/>
          </w:tcPr>
          <w:p>
            <w:r>
              <w:rPr>
                <w:rFonts w:ascii="Arial" w:hAnsi="Arial"/>
                <w:color w:val="000000"/>
                <w:sz w:val="14"/>
              </w:rPr>
              <w:t>0.179</w:t>
            </w:r>
          </w:p>
        </w:tc>
        <w:tc>
          <w:tcPr>
            <w:tcW w:type="dxa" w:w="446"/>
            <w:vAlign w:val="center"/>
          </w:tcPr>
          <w:p>
            <w:r>
              <w:rPr>
                <w:rFonts w:ascii="Arial" w:hAnsi="Arial"/>
                <w:color w:val="000000"/>
                <w:sz w:val="14"/>
              </w:rPr>
              <w:t>0.028251</w:t>
            </w:r>
          </w:p>
        </w:tc>
        <w:tc>
          <w:tcPr>
            <w:tcW w:type="dxa" w:w="446"/>
            <w:vAlign w:val="center"/>
          </w:tcPr>
          <w:p>
            <w:r>
              <w:rPr>
                <w:rFonts w:ascii="Arial" w:hAnsi="Arial"/>
                <w:color w:val="000000"/>
                <w:sz w:val="14"/>
              </w:rPr>
              <w:t>0.34044</w:t>
            </w:r>
          </w:p>
        </w:tc>
        <w:tc>
          <w:tcPr>
            <w:tcW w:type="dxa" w:w="446"/>
            <w:vAlign w:val="center"/>
          </w:tcPr>
          <w:p>
            <w:r>
              <w:rPr>
                <w:rFonts w:ascii="Arial" w:hAnsi="Arial"/>
                <w:color w:val="000000"/>
                <w:sz w:val="14"/>
              </w:rPr>
              <w:t>0.21719</w:t>
            </w:r>
          </w:p>
        </w:tc>
        <w:tc>
          <w:tcPr>
            <w:tcW w:type="dxa" w:w="446"/>
            <w:vAlign w:val="center"/>
          </w:tcPr>
          <w:p>
            <w:r>
              <w:rPr>
                <w:rFonts w:ascii="Arial" w:hAnsi="Arial"/>
                <w:color w:val="000000"/>
                <w:sz w:val="14"/>
              </w:rPr>
              <w:t>0.023048</w:t>
            </w:r>
          </w:p>
        </w:tc>
        <w:tc>
          <w:tcPr>
            <w:tcW w:type="dxa" w:w="446"/>
            <w:vAlign w:val="center"/>
          </w:tcPr>
          <w:p>
            <w:r>
              <w:rPr>
                <w:rFonts w:ascii="Arial" w:hAnsi="Arial"/>
                <w:color w:val="000000"/>
                <w:sz w:val="14"/>
              </w:rPr>
              <w:t>-0.0645</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hot_season_endpoint_sensitivity</w:t>
            </w:r>
          </w:p>
        </w:tc>
        <w:tc>
          <w:tcPr>
            <w:tcW w:type="dxa" w:w="446"/>
            <w:vAlign w:val="center"/>
          </w:tcPr>
          <w:p>
            <w:r>
              <w:rPr>
                <w:rFonts w:ascii="Arial" w:hAnsi="Arial"/>
                <w:color w:val="000000"/>
                <w:sz w:val="14"/>
              </w:rPr>
              <w:t>2023</w:t>
            </w:r>
          </w:p>
        </w:tc>
      </w:tr>
      <w:tr>
        <w:tc>
          <w:tcPr>
            <w:tcW w:type="dxa" w:w="446"/>
            <w:vAlign w:val="center"/>
          </w:tcPr>
          <w:p>
            <w:r>
              <w:rPr>
                <w:rFonts w:ascii="Arial" w:hAnsi="Arial"/>
                <w:color w:val="000000"/>
                <w:sz w:val="14"/>
              </w:rPr>
              <w:t>march_june_mean_tmin</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0.13706</w:t>
            </w:r>
          </w:p>
        </w:tc>
        <w:tc>
          <w:tcPr>
            <w:tcW w:type="dxa" w:w="446"/>
            <w:vAlign w:val="center"/>
          </w:tcPr>
          <w:p>
            <w:r>
              <w:rPr>
                <w:rFonts w:ascii="Arial" w:hAnsi="Arial"/>
                <w:color w:val="000000"/>
                <w:sz w:val="14"/>
              </w:rPr>
              <w:t>0.039222</w:t>
            </w:r>
          </w:p>
        </w:tc>
        <w:tc>
          <w:tcPr>
            <w:tcW w:type="dxa" w:w="446"/>
            <w:vAlign w:val="center"/>
          </w:tcPr>
          <w:p>
            <w:r>
              <w:rPr>
                <w:rFonts w:ascii="Arial" w:hAnsi="Arial"/>
                <w:color w:val="000000"/>
                <w:sz w:val="14"/>
              </w:rPr>
              <w:t>0.060185</w:t>
            </w:r>
          </w:p>
        </w:tc>
        <w:tc>
          <w:tcPr>
            <w:tcW w:type="dxa" w:w="446"/>
            <w:vAlign w:val="center"/>
          </w:tcPr>
          <w:p>
            <w:r>
              <w:rPr>
                <w:rFonts w:ascii="Arial" w:hAnsi="Arial"/>
                <w:color w:val="000000"/>
                <w:sz w:val="14"/>
              </w:rPr>
              <w:t>0.21393</w:t>
            </w:r>
          </w:p>
        </w:tc>
        <w:tc>
          <w:tcPr>
            <w:tcW w:type="dxa" w:w="446"/>
            <w:vAlign w:val="center"/>
          </w:tcPr>
          <w:p>
            <w:r>
              <w:rPr>
                <w:rFonts w:ascii="Arial" w:hAnsi="Arial"/>
                <w:color w:val="000000"/>
                <w:sz w:val="14"/>
              </w:rPr>
              <w:t>0.00047506</w:t>
            </w:r>
          </w:p>
        </w:tc>
        <w:tc>
          <w:tcPr>
            <w:tcW w:type="dxa" w:w="446"/>
            <w:vAlign w:val="center"/>
          </w:tcPr>
          <w:p>
            <w:r>
              <w:rPr>
                <w:rFonts w:ascii="Arial" w:hAnsi="Arial"/>
                <w:color w:val="000000"/>
                <w:sz w:val="14"/>
              </w:rPr>
              <w:t>0.14685</w:t>
            </w:r>
          </w:p>
        </w:tc>
        <w:tc>
          <w:tcPr>
            <w:tcW w:type="dxa" w:w="446"/>
            <w:vAlign w:val="center"/>
          </w:tcPr>
          <w:p>
            <w:r>
              <w:rPr>
                <w:rFonts w:ascii="Arial" w:hAnsi="Arial"/>
                <w:color w:val="000000"/>
                <w:sz w:val="14"/>
              </w:rPr>
              <w:t>0.13007</w:t>
            </w:r>
          </w:p>
        </w:tc>
        <w:tc>
          <w:tcPr>
            <w:tcW w:type="dxa" w:w="446"/>
            <w:vAlign w:val="center"/>
          </w:tcPr>
          <w:p>
            <w:r>
              <w:rPr>
                <w:rFonts w:ascii="Arial" w:hAnsi="Arial"/>
                <w:color w:val="000000"/>
                <w:sz w:val="14"/>
              </w:rPr>
              <w:t>0.040683</w:t>
            </w:r>
          </w:p>
        </w:tc>
        <w:tc>
          <w:tcPr>
            <w:tcW w:type="dxa" w:w="446"/>
            <w:vAlign w:val="center"/>
          </w:tcPr>
          <w:p>
            <w:r>
              <w:rPr>
                <w:rFonts w:ascii="Arial" w:hAnsi="Arial"/>
                <w:color w:val="000000"/>
                <w:sz w:val="14"/>
              </w:rPr>
              <w:t>0.23213</w:t>
            </w:r>
          </w:p>
        </w:tc>
        <w:tc>
          <w:tcPr>
            <w:tcW w:type="dxa" w:w="446"/>
            <w:vAlign w:val="center"/>
          </w:tcPr>
          <w:p>
            <w:r>
              <w:rPr>
                <w:rFonts w:ascii="Arial" w:hAnsi="Arial"/>
                <w:color w:val="000000"/>
                <w:sz w:val="14"/>
              </w:rPr>
              <w:t>0.25792</w:t>
            </w:r>
          </w:p>
        </w:tc>
        <w:tc>
          <w:tcPr>
            <w:tcW w:type="dxa" w:w="446"/>
            <w:vAlign w:val="center"/>
          </w:tcPr>
          <w:p>
            <w:r>
              <w:rPr>
                <w:rFonts w:ascii="Arial" w:hAnsi="Arial"/>
                <w:color w:val="000000"/>
                <w:sz w:val="14"/>
              </w:rPr>
              <w:t>0.0069601</w:t>
            </w:r>
          </w:p>
        </w:tc>
        <w:tc>
          <w:tcPr>
            <w:tcW w:type="dxa" w:w="446"/>
            <w:vAlign w:val="center"/>
          </w:tcPr>
          <w:p>
            <w:r>
              <w:rPr>
                <w:rFonts w:ascii="Arial" w:hAnsi="Arial"/>
                <w:color w:val="000000"/>
                <w:sz w:val="14"/>
              </w:rPr>
              <w:t>-0.03111</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hot_season_endpoint_sensitivity</w:t>
            </w:r>
          </w:p>
        </w:tc>
        <w:tc>
          <w:tcPr>
            <w:tcW w:type="dxa" w:w="446"/>
            <w:vAlign w:val="center"/>
          </w:tcPr>
          <w:p>
            <w:r>
              <w:rPr>
                <w:rFonts w:ascii="Arial" w:hAnsi="Arial"/>
                <w:color w:val="000000"/>
                <w:sz w:val="14"/>
              </w:rPr>
              <w:t>2023</w:t>
            </w:r>
          </w:p>
        </w:tc>
      </w:tr>
      <w:tr>
        <w:tc>
          <w:tcPr>
            <w:tcW w:type="dxa" w:w="446"/>
            <w:vAlign w:val="center"/>
          </w:tcPr>
          <w:p>
            <w:r>
              <w:rPr>
                <w:rFonts w:ascii="Arial" w:hAnsi="Arial"/>
                <w:color w:val="000000"/>
                <w:sz w:val="14"/>
              </w:rPr>
              <w:t>march_june_mean_tmax</w:t>
            </w:r>
          </w:p>
        </w:tc>
        <w:tc>
          <w:tcPr>
            <w:tcW w:type="dxa" w:w="446"/>
            <w:vAlign w:val="center"/>
          </w:tcPr>
          <w:p>
            <w:r>
              <w:rPr>
                <w:rFonts w:ascii="Arial" w:hAnsi="Arial"/>
                <w:color w:val="000000"/>
                <w:sz w:val="14"/>
              </w:rPr>
              <w:t>53</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2024</w:t>
            </w:r>
          </w:p>
        </w:tc>
        <w:tc>
          <w:tcPr>
            <w:tcW w:type="dxa" w:w="446"/>
            <w:vAlign w:val="center"/>
          </w:tcPr>
          <w:p>
            <w:r>
              <w:rPr>
                <w:rFonts w:ascii="Arial" w:hAnsi="Arial"/>
                <w:color w:val="000000"/>
                <w:sz w:val="14"/>
              </w:rPr>
              <w:t>0.16532</w:t>
            </w:r>
          </w:p>
        </w:tc>
        <w:tc>
          <w:tcPr>
            <w:tcW w:type="dxa" w:w="446"/>
            <w:vAlign w:val="center"/>
          </w:tcPr>
          <w:p>
            <w:r>
              <w:rPr>
                <w:rFonts w:ascii="Arial" w:hAnsi="Arial"/>
                <w:color w:val="000000"/>
                <w:sz w:val="14"/>
              </w:rPr>
              <w:t>0.061899</w:t>
            </w:r>
          </w:p>
        </w:tc>
        <w:tc>
          <w:tcPr>
            <w:tcW w:type="dxa" w:w="446"/>
            <w:vAlign w:val="center"/>
          </w:tcPr>
          <w:p>
            <w:r>
              <w:rPr>
                <w:rFonts w:ascii="Arial" w:hAnsi="Arial"/>
                <w:color w:val="000000"/>
                <w:sz w:val="14"/>
              </w:rPr>
              <w:t>0.044002</w:t>
            </w:r>
          </w:p>
        </w:tc>
        <w:tc>
          <w:tcPr>
            <w:tcW w:type="dxa" w:w="446"/>
            <w:vAlign w:val="center"/>
          </w:tcPr>
          <w:p>
            <w:r>
              <w:rPr>
                <w:rFonts w:ascii="Arial" w:hAnsi="Arial"/>
                <w:color w:val="000000"/>
                <w:sz w:val="14"/>
              </w:rPr>
              <w:t>0.28664</w:t>
            </w:r>
          </w:p>
        </w:tc>
        <w:tc>
          <w:tcPr>
            <w:tcW w:type="dxa" w:w="446"/>
            <w:vAlign w:val="center"/>
          </w:tcPr>
          <w:p>
            <w:r>
              <w:rPr>
                <w:rFonts w:ascii="Arial" w:hAnsi="Arial"/>
                <w:color w:val="000000"/>
                <w:sz w:val="14"/>
              </w:rPr>
              <w:t>0.0075662</w:t>
            </w:r>
          </w:p>
        </w:tc>
        <w:tc>
          <w:tcPr>
            <w:tcW w:type="dxa" w:w="446"/>
            <w:vAlign w:val="center"/>
          </w:tcPr>
          <w:p>
            <w:r>
              <w:rPr>
                <w:rFonts w:ascii="Arial" w:hAnsi="Arial"/>
                <w:color w:val="000000"/>
                <w:sz w:val="14"/>
              </w:rPr>
              <w:t>0.097801</w:t>
            </w:r>
          </w:p>
        </w:tc>
        <w:tc>
          <w:tcPr>
            <w:tcW w:type="dxa" w:w="446"/>
            <w:vAlign w:val="center"/>
          </w:tcPr>
          <w:p>
            <w:r>
              <w:rPr>
                <w:rFonts w:ascii="Arial" w:hAnsi="Arial"/>
                <w:color w:val="000000"/>
                <w:sz w:val="14"/>
              </w:rPr>
              <w:t>0.20017</w:t>
            </w:r>
          </w:p>
        </w:tc>
        <w:tc>
          <w:tcPr>
            <w:tcW w:type="dxa" w:w="446"/>
            <w:vAlign w:val="center"/>
          </w:tcPr>
          <w:p>
            <w:r>
              <w:rPr>
                <w:rFonts w:ascii="Arial" w:hAnsi="Arial"/>
                <w:color w:val="000000"/>
                <w:sz w:val="14"/>
              </w:rPr>
              <w:t>0.050221</w:t>
            </w:r>
          </w:p>
        </w:tc>
        <w:tc>
          <w:tcPr>
            <w:tcW w:type="dxa" w:w="446"/>
            <w:vAlign w:val="center"/>
          </w:tcPr>
          <w:p>
            <w:r>
              <w:rPr>
                <w:rFonts w:ascii="Arial" w:hAnsi="Arial"/>
                <w:color w:val="000000"/>
                <w:sz w:val="14"/>
              </w:rPr>
              <w:t>0.35099</w:t>
            </w:r>
          </w:p>
        </w:tc>
        <w:tc>
          <w:tcPr>
            <w:tcW w:type="dxa" w:w="446"/>
            <w:vAlign w:val="center"/>
          </w:tcPr>
          <w:p>
            <w:r>
              <w:rPr>
                <w:rFonts w:ascii="Arial" w:hAnsi="Arial"/>
                <w:color w:val="000000"/>
                <w:sz w:val="14"/>
              </w:rPr>
              <w:t>0.24238</w:t>
            </w:r>
          </w:p>
        </w:tc>
        <w:tc>
          <w:tcPr>
            <w:tcW w:type="dxa" w:w="446"/>
            <w:vAlign w:val="center"/>
          </w:tcPr>
          <w:p>
            <w:r>
              <w:rPr>
                <w:rFonts w:ascii="Arial" w:hAnsi="Arial"/>
                <w:color w:val="000000"/>
                <w:sz w:val="14"/>
              </w:rPr>
              <w:t>0.010407</w:t>
            </w:r>
          </w:p>
        </w:tc>
        <w:tc>
          <w:tcPr>
            <w:tcW w:type="dxa" w:w="446"/>
            <w:vAlign w:val="center"/>
          </w:tcPr>
          <w:p>
            <w:r>
              <w:rPr>
                <w:rFonts w:ascii="Arial" w:hAnsi="Arial"/>
                <w:color w:val="000000"/>
                <w:sz w:val="14"/>
              </w:rPr>
              <w:t>-0.041867</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hot_season_endpoint_sensitivity</w:t>
            </w:r>
          </w:p>
        </w:tc>
        <w:tc>
          <w:tcPr>
            <w:tcW w:type="dxa" w:w="446"/>
            <w:vAlign w:val="center"/>
          </w:tcPr>
          <w:p>
            <w:r>
              <w:rPr>
                <w:rFonts w:ascii="Arial" w:hAnsi="Arial"/>
                <w:color w:val="000000"/>
                <w:sz w:val="14"/>
              </w:rPr>
              <w:t>2024</w:t>
            </w:r>
          </w:p>
        </w:tc>
      </w:tr>
      <w:tr>
        <w:tc>
          <w:tcPr>
            <w:tcW w:type="dxa" w:w="446"/>
            <w:vAlign w:val="center"/>
          </w:tcPr>
          <w:p>
            <w:r>
              <w:rPr>
                <w:rFonts w:ascii="Arial" w:hAnsi="Arial"/>
                <w:color w:val="000000"/>
                <w:sz w:val="14"/>
              </w:rPr>
              <w:t>march_june_mean_tmin</w:t>
            </w:r>
          </w:p>
        </w:tc>
        <w:tc>
          <w:tcPr>
            <w:tcW w:type="dxa" w:w="446"/>
            <w:vAlign w:val="center"/>
          </w:tcPr>
          <w:p>
            <w:r>
              <w:rPr>
                <w:rFonts w:ascii="Arial" w:hAnsi="Arial"/>
                <w:color w:val="000000"/>
                <w:sz w:val="14"/>
              </w:rPr>
              <w:t>53</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2024</w:t>
            </w:r>
          </w:p>
        </w:tc>
        <w:tc>
          <w:tcPr>
            <w:tcW w:type="dxa" w:w="446"/>
            <w:vAlign w:val="center"/>
          </w:tcPr>
          <w:p>
            <w:r>
              <w:rPr>
                <w:rFonts w:ascii="Arial" w:hAnsi="Arial"/>
                <w:color w:val="000000"/>
                <w:sz w:val="14"/>
              </w:rPr>
              <w:t>0.15276</w:t>
            </w:r>
          </w:p>
        </w:tc>
        <w:tc>
          <w:tcPr>
            <w:tcW w:type="dxa" w:w="446"/>
            <w:vAlign w:val="center"/>
          </w:tcPr>
          <w:p>
            <w:r>
              <w:rPr>
                <w:rFonts w:ascii="Arial" w:hAnsi="Arial"/>
                <w:color w:val="000000"/>
                <w:sz w:val="14"/>
              </w:rPr>
              <w:t>0.042292</w:t>
            </w:r>
          </w:p>
        </w:tc>
        <w:tc>
          <w:tcPr>
            <w:tcW w:type="dxa" w:w="446"/>
            <w:vAlign w:val="center"/>
          </w:tcPr>
          <w:p>
            <w:r>
              <w:rPr>
                <w:rFonts w:ascii="Arial" w:hAnsi="Arial"/>
                <w:color w:val="000000"/>
                <w:sz w:val="14"/>
              </w:rPr>
              <w:t>0.06987</w:t>
            </w:r>
          </w:p>
        </w:tc>
        <w:tc>
          <w:tcPr>
            <w:tcW w:type="dxa" w:w="446"/>
            <w:vAlign w:val="center"/>
          </w:tcPr>
          <w:p>
            <w:r>
              <w:rPr>
                <w:rFonts w:ascii="Arial" w:hAnsi="Arial"/>
                <w:color w:val="000000"/>
                <w:sz w:val="14"/>
              </w:rPr>
              <w:t>0.23565</w:t>
            </w:r>
          </w:p>
        </w:tc>
        <w:tc>
          <w:tcPr>
            <w:tcW w:type="dxa" w:w="446"/>
            <w:vAlign w:val="center"/>
          </w:tcPr>
          <w:p>
            <w:r>
              <w:rPr>
                <w:rFonts w:ascii="Arial" w:hAnsi="Arial"/>
                <w:color w:val="000000"/>
                <w:sz w:val="14"/>
              </w:rPr>
              <w:t>0.00030376</w:t>
            </w:r>
          </w:p>
        </w:tc>
        <w:tc>
          <w:tcPr>
            <w:tcW w:type="dxa" w:w="446"/>
            <w:vAlign w:val="center"/>
          </w:tcPr>
          <w:p>
            <w:r>
              <w:rPr>
                <w:rFonts w:ascii="Arial" w:hAnsi="Arial"/>
                <w:color w:val="000000"/>
                <w:sz w:val="14"/>
              </w:rPr>
              <w:t>0.17868</w:t>
            </w:r>
          </w:p>
        </w:tc>
        <w:tc>
          <w:tcPr>
            <w:tcW w:type="dxa" w:w="446"/>
            <w:vAlign w:val="center"/>
          </w:tcPr>
          <w:p>
            <w:r>
              <w:rPr>
                <w:rFonts w:ascii="Arial" w:hAnsi="Arial"/>
                <w:color w:val="000000"/>
                <w:sz w:val="14"/>
              </w:rPr>
              <w:t>0.14917</w:t>
            </w:r>
          </w:p>
        </w:tc>
        <w:tc>
          <w:tcPr>
            <w:tcW w:type="dxa" w:w="446"/>
            <w:vAlign w:val="center"/>
          </w:tcPr>
          <w:p>
            <w:r>
              <w:rPr>
                <w:rFonts w:ascii="Arial" w:hAnsi="Arial"/>
                <w:color w:val="000000"/>
                <w:sz w:val="14"/>
              </w:rPr>
              <w:t>0.053479</w:t>
            </w:r>
          </w:p>
        </w:tc>
        <w:tc>
          <w:tcPr>
            <w:tcW w:type="dxa" w:w="446"/>
            <w:vAlign w:val="center"/>
          </w:tcPr>
          <w:p>
            <w:r>
              <w:rPr>
                <w:rFonts w:ascii="Arial" w:hAnsi="Arial"/>
                <w:color w:val="000000"/>
                <w:sz w:val="14"/>
              </w:rPr>
              <w:t>0.24665</w:t>
            </w:r>
          </w:p>
        </w:tc>
        <w:tc>
          <w:tcPr>
            <w:tcW w:type="dxa" w:w="446"/>
            <w:vAlign w:val="center"/>
          </w:tcPr>
          <w:p>
            <w:r>
              <w:rPr>
                <w:rFonts w:ascii="Arial" w:hAnsi="Arial"/>
                <w:color w:val="000000"/>
                <w:sz w:val="14"/>
              </w:rPr>
              <w:t>0.28447</w:t>
            </w:r>
          </w:p>
        </w:tc>
        <w:tc>
          <w:tcPr>
            <w:tcW w:type="dxa" w:w="446"/>
            <w:vAlign w:val="center"/>
          </w:tcPr>
          <w:p>
            <w:r>
              <w:rPr>
                <w:rFonts w:ascii="Arial" w:hAnsi="Arial"/>
                <w:color w:val="000000"/>
                <w:sz w:val="14"/>
              </w:rPr>
              <w:t>0.0026391</w:t>
            </w:r>
          </w:p>
        </w:tc>
        <w:tc>
          <w:tcPr>
            <w:tcW w:type="dxa" w:w="446"/>
            <w:vAlign w:val="center"/>
          </w:tcPr>
          <w:p>
            <w:r>
              <w:rPr>
                <w:rFonts w:ascii="Arial" w:hAnsi="Arial"/>
                <w:color w:val="000000"/>
                <w:sz w:val="14"/>
              </w:rPr>
              <w:t>-0.034053</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hot_season_endpoint_sensitivity</w:t>
            </w:r>
          </w:p>
        </w:tc>
        <w:tc>
          <w:tcPr>
            <w:tcW w:type="dxa" w:w="446"/>
            <w:vAlign w:val="center"/>
          </w:tcPr>
          <w:p>
            <w:r>
              <w:rPr>
                <w:rFonts w:ascii="Arial" w:hAnsi="Arial"/>
                <w:color w:val="000000"/>
                <w:sz w:val="14"/>
              </w:rPr>
              <w:t>2024</w:t>
            </w:r>
          </w:p>
        </w:tc>
      </w:tr>
    </w:tbl>
    <w:p/>
    <w:p>
      <w:pPr>
        <w:pStyle w:val="Caption"/>
        <w:jc w:val="left"/>
      </w:pPr>
      <w:r>
        <w:rPr>
          <w:color w:val="000000"/>
        </w:rPr>
        <w:t>Table 5. Poisson and negative-binomial model comparison.</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D9EAF7"/>
          </w:tcPr>
          <w:p>
            <w:r>
              <w:rPr>
                <w:rFonts w:ascii="Arial" w:hAnsi="Arial"/>
                <w:b/>
                <w:color w:val="000000"/>
                <w:sz w:val="14"/>
              </w:rPr>
              <w:t>model</w:t>
            </w:r>
          </w:p>
        </w:tc>
        <w:tc>
          <w:tcPr>
            <w:tcW w:type="dxa" w:w="1040"/>
            <w:vAlign w:val="center"/>
            <w:shd w:fill="D9EAF7"/>
          </w:tcPr>
          <w:p>
            <w:r>
              <w:rPr>
                <w:rFonts w:ascii="Arial" w:hAnsi="Arial"/>
                <w:b/>
                <w:color w:val="000000"/>
                <w:sz w:val="14"/>
              </w:rPr>
              <w:t>aic</w:t>
            </w:r>
          </w:p>
        </w:tc>
        <w:tc>
          <w:tcPr>
            <w:tcW w:type="dxa" w:w="1040"/>
            <w:vAlign w:val="center"/>
            <w:shd w:fill="D9EAF7"/>
          </w:tcPr>
          <w:p>
            <w:r>
              <w:rPr>
                <w:rFonts w:ascii="Arial" w:hAnsi="Arial"/>
                <w:b/>
                <w:color w:val="000000"/>
                <w:sz w:val="14"/>
              </w:rPr>
              <w:t>bic</w:t>
            </w:r>
          </w:p>
        </w:tc>
        <w:tc>
          <w:tcPr>
            <w:tcW w:type="dxa" w:w="1040"/>
            <w:vAlign w:val="center"/>
            <w:shd w:fill="D9EAF7"/>
          </w:tcPr>
          <w:p>
            <w:r>
              <w:rPr>
                <w:rFonts w:ascii="Arial" w:hAnsi="Arial"/>
                <w:b/>
                <w:color w:val="000000"/>
                <w:sz w:val="14"/>
              </w:rPr>
              <w:t>log likelihood</w:t>
            </w:r>
          </w:p>
        </w:tc>
        <w:tc>
          <w:tcPr>
            <w:tcW w:type="dxa" w:w="1040"/>
            <w:vAlign w:val="center"/>
            <w:shd w:fill="D9EAF7"/>
          </w:tcPr>
          <w:p>
            <w:r>
              <w:rPr>
                <w:rFonts w:ascii="Arial" w:hAnsi="Arial"/>
                <w:b/>
                <w:color w:val="000000"/>
                <w:sz w:val="14"/>
              </w:rPr>
              <w:t>residual deviance</w:t>
            </w:r>
          </w:p>
        </w:tc>
        <w:tc>
          <w:tcPr>
            <w:tcW w:type="dxa" w:w="1040"/>
            <w:vAlign w:val="center"/>
            <w:shd w:fill="D9EAF7"/>
          </w:tcPr>
          <w:p>
            <w:r>
              <w:rPr>
                <w:rFonts w:ascii="Arial" w:hAnsi="Arial"/>
                <w:b/>
                <w:color w:val="000000"/>
                <w:sz w:val="14"/>
              </w:rPr>
              <w:t>pearson statistic</w:t>
            </w:r>
          </w:p>
        </w:tc>
        <w:tc>
          <w:tcPr>
            <w:tcW w:type="dxa" w:w="1040"/>
            <w:vAlign w:val="center"/>
            <w:shd w:fill="D9EAF7"/>
          </w:tcPr>
          <w:p>
            <w:r>
              <w:rPr>
                <w:rFonts w:ascii="Arial" w:hAnsi="Arial"/>
                <w:b/>
                <w:color w:val="000000"/>
                <w:sz w:val="14"/>
              </w:rPr>
              <w:t>dispersion ratio</w:t>
            </w:r>
          </w:p>
        </w:tc>
        <w:tc>
          <w:tcPr>
            <w:tcW w:type="dxa" w:w="1040"/>
            <w:vAlign w:val="center"/>
            <w:shd w:fill="D9EAF7"/>
          </w:tcPr>
          <w:p>
            <w:r>
              <w:rPr>
                <w:rFonts w:ascii="Arial" w:hAnsi="Arial"/>
                <w:b/>
                <w:color w:val="000000"/>
                <w:sz w:val="14"/>
              </w:rPr>
              <w:t>converged</w:t>
            </w:r>
          </w:p>
        </w:tc>
        <w:tc>
          <w:tcPr>
            <w:tcW w:type="dxa" w:w="1040"/>
            <w:vAlign w:val="center"/>
            <w:shd w:fill="D9EAF7"/>
          </w:tcPr>
          <w:p>
            <w:r>
              <w:rPr>
                <w:rFonts w:ascii="Arial" w:hAnsi="Arial"/>
                <w:b/>
                <w:color w:val="000000"/>
                <w:sz w:val="14"/>
              </w:rPr>
              <w:t>selected</w:t>
            </w:r>
          </w:p>
        </w:tc>
      </w:tr>
      <w:tr>
        <w:tc>
          <w:tcPr>
            <w:tcW w:type="dxa" w:w="1040"/>
            <w:vAlign w:val="center"/>
          </w:tcPr>
          <w:p>
            <w:r>
              <w:rPr>
                <w:rFonts w:ascii="Arial" w:hAnsi="Arial"/>
                <w:color w:val="000000"/>
                <w:sz w:val="14"/>
              </w:rPr>
              <w:t>poisson</w:t>
            </w:r>
          </w:p>
        </w:tc>
        <w:tc>
          <w:tcPr>
            <w:tcW w:type="dxa" w:w="1040"/>
            <w:vAlign w:val="center"/>
          </w:tcPr>
          <w:p>
            <w:r>
              <w:rPr>
                <w:rFonts w:ascii="Arial" w:hAnsi="Arial"/>
                <w:color w:val="000000"/>
                <w:sz w:val="14"/>
              </w:rPr>
              <w:t>659.8</w:t>
            </w:r>
          </w:p>
        </w:tc>
        <w:tc>
          <w:tcPr>
            <w:tcW w:type="dxa" w:w="1040"/>
            <w:vAlign w:val="center"/>
          </w:tcPr>
          <w:p>
            <w:r>
              <w:rPr>
                <w:rFonts w:ascii="Arial" w:hAnsi="Arial"/>
                <w:color w:val="000000"/>
                <w:sz w:val="14"/>
              </w:rPr>
              <w:t>663.75</w:t>
            </w:r>
          </w:p>
        </w:tc>
        <w:tc>
          <w:tcPr>
            <w:tcW w:type="dxa" w:w="1040"/>
            <w:vAlign w:val="center"/>
          </w:tcPr>
          <w:p>
            <w:r>
              <w:rPr>
                <w:rFonts w:ascii="Arial" w:hAnsi="Arial"/>
                <w:color w:val="000000"/>
                <w:sz w:val="14"/>
              </w:rPr>
              <w:t>-327.9</w:t>
            </w:r>
          </w:p>
        </w:tc>
        <w:tc>
          <w:tcPr>
            <w:tcW w:type="dxa" w:w="1040"/>
            <w:vAlign w:val="center"/>
          </w:tcPr>
          <w:p>
            <w:r>
              <w:rPr>
                <w:rFonts w:ascii="Arial" w:hAnsi="Arial"/>
                <w:color w:val="000000"/>
                <w:sz w:val="14"/>
              </w:rPr>
              <w:t>563.92</w:t>
            </w:r>
          </w:p>
        </w:tc>
        <w:tc>
          <w:tcPr>
            <w:tcW w:type="dxa" w:w="1040"/>
            <w:vAlign w:val="center"/>
          </w:tcPr>
          <w:p>
            <w:r>
              <w:rPr>
                <w:rFonts w:ascii="Arial" w:hAnsi="Arial"/>
                <w:color w:val="000000"/>
                <w:sz w:val="14"/>
              </w:rPr>
              <w:t>593.51</w:t>
            </w:r>
          </w:p>
        </w:tc>
        <w:tc>
          <w:tcPr>
            <w:tcW w:type="dxa" w:w="1040"/>
            <w:vAlign w:val="center"/>
          </w:tcPr>
          <w:p>
            <w:r>
              <w:rPr>
                <w:rFonts w:ascii="Arial" w:hAnsi="Arial"/>
                <w:color w:val="000000"/>
                <w:sz w:val="14"/>
              </w:rPr>
              <w:t>11.638</w:t>
            </w:r>
          </w:p>
        </w:tc>
        <w:tc>
          <w:tcPr>
            <w:tcW w:type="dxa" w:w="1040"/>
            <w:vAlign w:val="center"/>
          </w:tcPr>
          <w:p>
            <w:r>
              <w:rPr>
                <w:rFonts w:ascii="Arial" w:hAnsi="Arial"/>
                <w:color w:val="000000"/>
                <w:sz w:val="14"/>
              </w:rPr>
              <w:t>True</w:t>
            </w:r>
          </w:p>
        </w:tc>
        <w:tc>
          <w:tcPr>
            <w:tcW w:type="dxa" w:w="1040"/>
            <w:vAlign w:val="center"/>
          </w:tcPr>
          <w:p>
            <w:r>
              <w:rPr>
                <w:rFonts w:ascii="Arial" w:hAnsi="Arial"/>
                <w:color w:val="000000"/>
                <w:sz w:val="14"/>
              </w:rPr>
              <w:t>False</w:t>
            </w:r>
          </w:p>
        </w:tc>
      </w:tr>
      <w:tr>
        <w:tc>
          <w:tcPr>
            <w:tcW w:type="dxa" w:w="1040"/>
            <w:vAlign w:val="center"/>
          </w:tcPr>
          <w:p>
            <w:r>
              <w:rPr>
                <w:rFonts w:ascii="Arial" w:hAnsi="Arial"/>
                <w:color w:val="000000"/>
                <w:sz w:val="14"/>
              </w:rPr>
              <w:t>negative_binomial</w:t>
            </w:r>
          </w:p>
        </w:tc>
        <w:tc>
          <w:tcPr>
            <w:tcW w:type="dxa" w:w="1040"/>
            <w:vAlign w:val="center"/>
          </w:tcPr>
          <w:p>
            <w:r>
              <w:rPr>
                <w:rFonts w:ascii="Arial" w:hAnsi="Arial"/>
                <w:color w:val="000000"/>
                <w:sz w:val="14"/>
              </w:rPr>
              <w:t>245.18</w:t>
            </w:r>
          </w:p>
        </w:tc>
        <w:tc>
          <w:tcPr>
            <w:tcW w:type="dxa" w:w="1040"/>
            <w:vAlign w:val="center"/>
          </w:tcPr>
          <w:p>
            <w:r>
              <w:rPr>
                <w:rFonts w:ascii="Arial" w:hAnsi="Arial"/>
                <w:color w:val="000000"/>
                <w:sz w:val="14"/>
              </w:rPr>
              <w:t>251.09</w:t>
            </w:r>
          </w:p>
        </w:tc>
        <w:tc>
          <w:tcPr>
            <w:tcW w:type="dxa" w:w="1040"/>
            <w:vAlign w:val="center"/>
          </w:tcPr>
          <w:p>
            <w:r>
              <w:rPr>
                <w:rFonts w:ascii="Arial" w:hAnsi="Arial"/>
                <w:color w:val="000000"/>
                <w:sz w:val="14"/>
              </w:rPr>
              <w:t>-119.59</w:t>
            </w:r>
          </w:p>
        </w:tc>
        <w:tc>
          <w:tcPr>
            <w:tcW w:type="dxa" w:w="1040"/>
            <w:vAlign w:val="center"/>
          </w:tcPr>
          <w:p>
            <w:r>
              <w:rPr>
                <w:rFonts w:ascii="Arial" w:hAnsi="Arial"/>
                <w:color w:val="000000"/>
                <w:sz w:val="14"/>
              </w:rPr>
              <w:t>43.367</w:t>
            </w:r>
          </w:p>
        </w:tc>
        <w:tc>
          <w:tcPr>
            <w:tcW w:type="dxa" w:w="1040"/>
            <w:vAlign w:val="center"/>
          </w:tcPr>
          <w:p>
            <w:r>
              <w:rPr>
                <w:rFonts w:ascii="Arial" w:hAnsi="Arial"/>
                <w:color w:val="000000"/>
                <w:sz w:val="14"/>
              </w:rPr>
              <w:t>20.303</w:t>
            </w:r>
          </w:p>
        </w:tc>
        <w:tc>
          <w:tcPr>
            <w:tcW w:type="dxa" w:w="1040"/>
            <w:vAlign w:val="center"/>
          </w:tcPr>
          <w:p>
            <w:r>
              <w:rPr>
                <w:rFonts w:ascii="Arial" w:hAnsi="Arial"/>
                <w:color w:val="000000"/>
                <w:sz w:val="14"/>
              </w:rPr>
              <w:t>0.3981</w:t>
            </w:r>
          </w:p>
        </w:tc>
        <w:tc>
          <w:tcPr>
            <w:tcW w:type="dxa" w:w="1040"/>
            <w:vAlign w:val="center"/>
          </w:tcPr>
          <w:p>
            <w:r>
              <w:rPr>
                <w:rFonts w:ascii="Arial" w:hAnsi="Arial"/>
                <w:color w:val="000000"/>
                <w:sz w:val="14"/>
              </w:rPr>
              <w:t>True</w:t>
            </w:r>
          </w:p>
        </w:tc>
        <w:tc>
          <w:tcPr>
            <w:tcW w:type="dxa" w:w="1040"/>
            <w:vAlign w:val="center"/>
          </w:tcPr>
          <w:p>
            <w:r>
              <w:rPr>
                <w:rFonts w:ascii="Arial" w:hAnsi="Arial"/>
                <w:color w:val="000000"/>
                <w:sz w:val="14"/>
              </w:rPr>
              <w:t>True</w:t>
            </w:r>
          </w:p>
        </w:tc>
      </w:tr>
    </w:tbl>
    <w:p/>
    <w:p>
      <w:pPr>
        <w:pStyle w:val="Caption"/>
        <w:jc w:val="left"/>
      </w:pPr>
      <w:r>
        <w:rPr>
          <w:color w:val="000000"/>
        </w:rPr>
        <w:t>Table 6. Primary negative-binomial count-model estimate.</w:t>
      </w:r>
    </w:p>
    <w:tbl>
      <w:tblPr>
        <w:tblStyle w:val="TableGrid"/>
        <w:tblW w:type="auto" w:w="0"/>
        <w:tblLayout w:type="autofit"/>
        <w:tblLook w:firstColumn="1" w:firstRow="1" w:lastColumn="0" w:lastRow="0" w:noHBand="0" w:noVBand="1" w:val="04A0"/>
      </w:tblPr>
      <w:tblGrid>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tblGrid>
      <w:tr>
        <w:tc>
          <w:tcPr>
            <w:tcW w:type="dxa" w:w="374"/>
            <w:vAlign w:val="center"/>
            <w:shd w:fill="D9EAF7"/>
          </w:tcPr>
          <w:p>
            <w:r>
              <w:rPr>
                <w:rFonts w:ascii="Arial" w:hAnsi="Arial"/>
                <w:b/>
                <w:color w:val="000000"/>
                <w:sz w:val="14"/>
              </w:rPr>
              <w:t>outcome</w:t>
            </w:r>
          </w:p>
        </w:tc>
        <w:tc>
          <w:tcPr>
            <w:tcW w:type="dxa" w:w="374"/>
            <w:vAlign w:val="center"/>
            <w:shd w:fill="D9EAF7"/>
          </w:tcPr>
          <w:p>
            <w:r>
              <w:rPr>
                <w:rFonts w:ascii="Arial" w:hAnsi="Arial"/>
                <w:b/>
                <w:color w:val="000000"/>
                <w:sz w:val="14"/>
              </w:rPr>
              <w:t>n</w:t>
            </w:r>
          </w:p>
        </w:tc>
        <w:tc>
          <w:tcPr>
            <w:tcW w:type="dxa" w:w="374"/>
            <w:vAlign w:val="center"/>
            <w:shd w:fill="D9EAF7"/>
          </w:tcPr>
          <w:p>
            <w:r>
              <w:rPr>
                <w:rFonts w:ascii="Arial" w:hAnsi="Arial"/>
                <w:b/>
                <w:color w:val="000000"/>
                <w:sz w:val="14"/>
              </w:rPr>
              <w:t>mean</w:t>
            </w:r>
          </w:p>
        </w:tc>
        <w:tc>
          <w:tcPr>
            <w:tcW w:type="dxa" w:w="374"/>
            <w:vAlign w:val="center"/>
            <w:shd w:fill="D9EAF7"/>
          </w:tcPr>
          <w:p>
            <w:r>
              <w:rPr>
                <w:rFonts w:ascii="Arial" w:hAnsi="Arial"/>
                <w:b/>
                <w:color w:val="000000"/>
                <w:sz w:val="14"/>
              </w:rPr>
              <w:t>variance</w:t>
            </w:r>
          </w:p>
        </w:tc>
        <w:tc>
          <w:tcPr>
            <w:tcW w:type="dxa" w:w="374"/>
            <w:vAlign w:val="center"/>
            <w:shd w:fill="D9EAF7"/>
          </w:tcPr>
          <w:p>
            <w:r>
              <w:rPr>
                <w:rFonts w:ascii="Arial" w:hAnsi="Arial"/>
                <w:b/>
                <w:color w:val="000000"/>
                <w:sz w:val="14"/>
              </w:rPr>
              <w:t>variance to mean</w:t>
            </w:r>
          </w:p>
        </w:tc>
        <w:tc>
          <w:tcPr>
            <w:tcW w:type="dxa" w:w="374"/>
            <w:vAlign w:val="center"/>
            <w:shd w:fill="D9EAF7"/>
          </w:tcPr>
          <w:p>
            <w:r>
              <w:rPr>
                <w:rFonts w:ascii="Arial" w:hAnsi="Arial"/>
                <w:b/>
                <w:color w:val="000000"/>
                <w:sz w:val="14"/>
              </w:rPr>
              <w:t>zero count</w:t>
            </w:r>
          </w:p>
        </w:tc>
        <w:tc>
          <w:tcPr>
            <w:tcW w:type="dxa" w:w="374"/>
            <w:vAlign w:val="center"/>
            <w:shd w:fill="D9EAF7"/>
          </w:tcPr>
          <w:p>
            <w:r>
              <w:rPr>
                <w:rFonts w:ascii="Arial" w:hAnsi="Arial"/>
                <w:b/>
                <w:color w:val="000000"/>
                <w:sz w:val="14"/>
              </w:rPr>
              <w:t>zero fraction</w:t>
            </w:r>
          </w:p>
        </w:tc>
        <w:tc>
          <w:tcPr>
            <w:tcW w:type="dxa" w:w="374"/>
            <w:vAlign w:val="center"/>
            <w:shd w:fill="D9EAF7"/>
          </w:tcPr>
          <w:p>
            <w:r>
              <w:rPr>
                <w:rFonts w:ascii="Arial" w:hAnsi="Arial"/>
                <w:b/>
                <w:color w:val="000000"/>
                <w:sz w:val="14"/>
              </w:rPr>
              <w:t>minimum</w:t>
            </w:r>
          </w:p>
        </w:tc>
        <w:tc>
          <w:tcPr>
            <w:tcW w:type="dxa" w:w="374"/>
            <w:vAlign w:val="center"/>
            <w:shd w:fill="D9EAF7"/>
          </w:tcPr>
          <w:p>
            <w:r>
              <w:rPr>
                <w:rFonts w:ascii="Arial" w:hAnsi="Arial"/>
                <w:b/>
                <w:color w:val="000000"/>
                <w:sz w:val="14"/>
              </w:rPr>
              <w:t>maximum</w:t>
            </w:r>
          </w:p>
        </w:tc>
        <w:tc>
          <w:tcPr>
            <w:tcW w:type="dxa" w:w="374"/>
            <w:vAlign w:val="center"/>
            <w:shd w:fill="D9EAF7"/>
          </w:tcPr>
          <w:p>
            <w:r>
              <w:rPr>
                <w:rFonts w:ascii="Arial" w:hAnsi="Arial"/>
                <w:b/>
                <w:color w:val="000000"/>
                <w:sz w:val="14"/>
              </w:rPr>
              <w:t>skewness</w:t>
            </w:r>
          </w:p>
        </w:tc>
        <w:tc>
          <w:tcPr>
            <w:tcW w:type="dxa" w:w="374"/>
            <w:vAlign w:val="center"/>
            <w:shd w:fill="D9EAF7"/>
          </w:tcPr>
          <w:p>
            <w:r>
              <w:rPr>
                <w:rFonts w:ascii="Arial" w:hAnsi="Arial"/>
                <w:b/>
                <w:color w:val="000000"/>
                <w:sz w:val="14"/>
              </w:rPr>
              <w:t>section</w:t>
            </w:r>
          </w:p>
        </w:tc>
        <w:tc>
          <w:tcPr>
            <w:tcW w:type="dxa" w:w="374"/>
            <w:vAlign w:val="center"/>
            <w:shd w:fill="D9EAF7"/>
          </w:tcPr>
          <w:p>
            <w:r>
              <w:rPr>
                <w:rFonts w:ascii="Arial" w:hAnsi="Arial"/>
                <w:b/>
                <w:color w:val="000000"/>
                <w:sz w:val="14"/>
              </w:rPr>
              <w:t>model</w:t>
            </w:r>
          </w:p>
        </w:tc>
        <w:tc>
          <w:tcPr>
            <w:tcW w:type="dxa" w:w="374"/>
            <w:vAlign w:val="center"/>
            <w:shd w:fill="D9EAF7"/>
          </w:tcPr>
          <w:p>
            <w:r>
              <w:rPr>
                <w:rFonts w:ascii="Arial" w:hAnsi="Arial"/>
                <w:b/>
                <w:color w:val="000000"/>
                <w:sz w:val="14"/>
              </w:rPr>
              <w:t>term</w:t>
            </w:r>
          </w:p>
        </w:tc>
        <w:tc>
          <w:tcPr>
            <w:tcW w:type="dxa" w:w="374"/>
            <w:vAlign w:val="center"/>
            <w:shd w:fill="D9EAF7"/>
          </w:tcPr>
          <w:p>
            <w:r>
              <w:rPr>
                <w:rFonts w:ascii="Arial" w:hAnsi="Arial"/>
                <w:b/>
                <w:color w:val="000000"/>
                <w:sz w:val="14"/>
              </w:rPr>
              <w:t>coefficient</w:t>
            </w:r>
          </w:p>
        </w:tc>
        <w:tc>
          <w:tcPr>
            <w:tcW w:type="dxa" w:w="374"/>
            <w:vAlign w:val="center"/>
            <w:shd w:fill="D9EAF7"/>
          </w:tcPr>
          <w:p>
            <w:r>
              <w:rPr>
                <w:rFonts w:ascii="Arial" w:hAnsi="Arial"/>
                <w:b/>
                <w:color w:val="000000"/>
                <w:sz w:val="14"/>
              </w:rPr>
              <w:t>standard error</w:t>
            </w:r>
          </w:p>
        </w:tc>
        <w:tc>
          <w:tcPr>
            <w:tcW w:type="dxa" w:w="374"/>
            <w:vAlign w:val="center"/>
            <w:shd w:fill="D9EAF7"/>
          </w:tcPr>
          <w:p>
            <w:r>
              <w:rPr>
                <w:rFonts w:ascii="Arial" w:hAnsi="Arial"/>
                <w:b/>
                <w:color w:val="000000"/>
                <w:sz w:val="14"/>
              </w:rPr>
              <w:t>ci lower</w:t>
            </w:r>
          </w:p>
        </w:tc>
        <w:tc>
          <w:tcPr>
            <w:tcW w:type="dxa" w:w="374"/>
            <w:vAlign w:val="center"/>
            <w:shd w:fill="D9EAF7"/>
          </w:tcPr>
          <w:p>
            <w:r>
              <w:rPr>
                <w:rFonts w:ascii="Arial" w:hAnsi="Arial"/>
                <w:b/>
                <w:color w:val="000000"/>
                <w:sz w:val="14"/>
              </w:rPr>
              <w:t>ci upper</w:t>
            </w:r>
          </w:p>
        </w:tc>
        <w:tc>
          <w:tcPr>
            <w:tcW w:type="dxa" w:w="374"/>
            <w:vAlign w:val="center"/>
            <w:shd w:fill="D9EAF7"/>
          </w:tcPr>
          <w:p>
            <w:r>
              <w:rPr>
                <w:rFonts w:ascii="Arial" w:hAnsi="Arial"/>
                <w:b/>
                <w:color w:val="000000"/>
                <w:sz w:val="14"/>
              </w:rPr>
              <w:t>p value</w:t>
            </w:r>
          </w:p>
        </w:tc>
        <w:tc>
          <w:tcPr>
            <w:tcW w:type="dxa" w:w="374"/>
            <w:vAlign w:val="center"/>
            <w:shd w:fill="D9EAF7"/>
          </w:tcPr>
          <w:p>
            <w:r>
              <w:rPr>
                <w:rFonts w:ascii="Arial" w:hAnsi="Arial"/>
                <w:b/>
                <w:color w:val="000000"/>
                <w:sz w:val="14"/>
              </w:rPr>
              <w:t>incidence rate ratio</w:t>
            </w:r>
          </w:p>
        </w:tc>
        <w:tc>
          <w:tcPr>
            <w:tcW w:type="dxa" w:w="374"/>
            <w:vAlign w:val="center"/>
            <w:shd w:fill="D9EAF7"/>
          </w:tcPr>
          <w:p>
            <w:r>
              <w:rPr>
                <w:rFonts w:ascii="Arial" w:hAnsi="Arial"/>
                <w:b/>
                <w:color w:val="000000"/>
                <w:sz w:val="14"/>
              </w:rPr>
              <w:t>irr ci lower</w:t>
            </w:r>
          </w:p>
        </w:tc>
        <w:tc>
          <w:tcPr>
            <w:tcW w:type="dxa" w:w="374"/>
            <w:vAlign w:val="center"/>
            <w:shd w:fill="D9EAF7"/>
          </w:tcPr>
          <w:p>
            <w:r>
              <w:rPr>
                <w:rFonts w:ascii="Arial" w:hAnsi="Arial"/>
                <w:b/>
                <w:color w:val="000000"/>
                <w:sz w:val="14"/>
              </w:rPr>
              <w:t>irr ci upper</w:t>
            </w:r>
          </w:p>
        </w:tc>
        <w:tc>
          <w:tcPr>
            <w:tcW w:type="dxa" w:w="374"/>
            <w:vAlign w:val="center"/>
            <w:shd w:fill="D9EAF7"/>
          </w:tcPr>
          <w:p>
            <w:r>
              <w:rPr>
                <w:rFonts w:ascii="Arial" w:hAnsi="Arial"/>
                <w:b/>
                <w:color w:val="000000"/>
                <w:sz w:val="14"/>
              </w:rPr>
              <w:t>percentage change per decade</w:t>
            </w:r>
          </w:p>
        </w:tc>
        <w:tc>
          <w:tcPr>
            <w:tcW w:type="dxa" w:w="374"/>
            <w:vAlign w:val="center"/>
            <w:shd w:fill="D9EAF7"/>
          </w:tcPr>
          <w:p>
            <w:r>
              <w:rPr>
                <w:rFonts w:ascii="Arial" w:hAnsi="Arial"/>
                <w:b/>
                <w:color w:val="000000"/>
                <w:sz w:val="14"/>
              </w:rPr>
              <w:t>aic</w:t>
            </w:r>
          </w:p>
        </w:tc>
        <w:tc>
          <w:tcPr>
            <w:tcW w:type="dxa" w:w="374"/>
            <w:vAlign w:val="center"/>
            <w:shd w:fill="D9EAF7"/>
          </w:tcPr>
          <w:p>
            <w:r>
              <w:rPr>
                <w:rFonts w:ascii="Arial" w:hAnsi="Arial"/>
                <w:b/>
                <w:color w:val="000000"/>
                <w:sz w:val="14"/>
              </w:rPr>
              <w:t>bic</w:t>
            </w:r>
          </w:p>
        </w:tc>
        <w:tc>
          <w:tcPr>
            <w:tcW w:type="dxa" w:w="374"/>
            <w:vAlign w:val="center"/>
            <w:shd w:fill="D9EAF7"/>
          </w:tcPr>
          <w:p>
            <w:r>
              <w:rPr>
                <w:rFonts w:ascii="Arial" w:hAnsi="Arial"/>
                <w:b/>
                <w:color w:val="000000"/>
                <w:sz w:val="14"/>
              </w:rPr>
              <w:t>log likelihood</w:t>
            </w:r>
          </w:p>
        </w:tc>
      </w:tr>
      <w:tr>
        <w:tc>
          <w:tcPr>
            <w:tcW w:type="dxa" w:w="374"/>
            <w:vAlign w:val="center"/>
          </w:tcPr>
          <w:p>
            <w:r>
              <w:rPr>
                <w:rFonts w:ascii="Arial" w:hAnsi="Arial"/>
                <w:color w:val="000000"/>
                <w:sz w:val="14"/>
              </w:rPr>
              <w:t>heatwave_days</w:t>
            </w:r>
          </w:p>
        </w:tc>
        <w:tc>
          <w:tcPr>
            <w:tcW w:type="dxa" w:w="374"/>
            <w:vAlign w:val="center"/>
          </w:tcPr>
          <w:p>
            <w:r>
              <w:rPr>
                <w:rFonts w:ascii="Arial" w:hAnsi="Arial"/>
                <w:color w:val="000000"/>
                <w:sz w:val="14"/>
              </w:rPr>
              <w:t>53</w:t>
            </w:r>
          </w:p>
        </w:tc>
        <w:tc>
          <w:tcPr>
            <w:tcW w:type="dxa" w:w="374"/>
            <w:vAlign w:val="center"/>
          </w:tcPr>
          <w:p>
            <w:r>
              <w:rPr>
                <w:rFonts w:ascii="Arial" w:hAnsi="Arial"/>
                <w:color w:val="000000"/>
                <w:sz w:val="14"/>
              </w:rPr>
              <w:t>5.0943</w:t>
            </w:r>
          </w:p>
        </w:tc>
        <w:tc>
          <w:tcPr>
            <w:tcW w:type="dxa" w:w="374"/>
            <w:vAlign w:val="center"/>
          </w:tcPr>
          <w:p>
            <w:r>
              <w:rPr>
                <w:rFonts w:ascii="Arial" w:hAnsi="Arial"/>
                <w:color w:val="000000"/>
                <w:sz w:val="14"/>
              </w:rPr>
              <w:t>58.895</w:t>
            </w:r>
          </w:p>
        </w:tc>
        <w:tc>
          <w:tcPr>
            <w:tcW w:type="dxa" w:w="374"/>
            <w:vAlign w:val="center"/>
          </w:tcPr>
          <w:p>
            <w:r>
              <w:rPr>
                <w:rFonts w:ascii="Arial" w:hAnsi="Arial"/>
                <w:color w:val="000000"/>
                <w:sz w:val="14"/>
              </w:rPr>
              <w:t>11.561</w:t>
            </w:r>
          </w:p>
        </w:tc>
        <w:tc>
          <w:tcPr>
            <w:tcW w:type="dxa" w:w="374"/>
            <w:vAlign w:val="center"/>
          </w:tcPr>
          <w:p>
            <w:r>
              <w:rPr>
                <w:rFonts w:ascii="Arial" w:hAnsi="Arial"/>
                <w:color w:val="000000"/>
                <w:sz w:val="14"/>
              </w:rPr>
              <w:t>31</w:t>
            </w:r>
          </w:p>
        </w:tc>
        <w:tc>
          <w:tcPr>
            <w:tcW w:type="dxa" w:w="374"/>
            <w:vAlign w:val="center"/>
          </w:tcPr>
          <w:p>
            <w:r>
              <w:rPr>
                <w:rFonts w:ascii="Arial" w:hAnsi="Arial"/>
                <w:color w:val="000000"/>
                <w:sz w:val="14"/>
              </w:rPr>
              <w:t>0.58491</w:t>
            </w:r>
          </w:p>
        </w:tc>
        <w:tc>
          <w:tcPr>
            <w:tcW w:type="dxa" w:w="374"/>
            <w:vAlign w:val="center"/>
          </w:tcPr>
          <w:p>
            <w:r>
              <w:rPr>
                <w:rFonts w:ascii="Arial" w:hAnsi="Arial"/>
                <w:color w:val="000000"/>
                <w:sz w:val="14"/>
              </w:rPr>
              <w:t>0</w:t>
            </w:r>
          </w:p>
        </w:tc>
        <w:tc>
          <w:tcPr>
            <w:tcW w:type="dxa" w:w="374"/>
            <w:vAlign w:val="center"/>
          </w:tcPr>
          <w:p>
            <w:r>
              <w:rPr>
                <w:rFonts w:ascii="Arial" w:hAnsi="Arial"/>
                <w:color w:val="000000"/>
                <w:sz w:val="14"/>
              </w:rPr>
              <w:t>28</w:t>
            </w:r>
          </w:p>
        </w:tc>
        <w:tc>
          <w:tcPr>
            <w:tcW w:type="dxa" w:w="374"/>
            <w:vAlign w:val="center"/>
          </w:tcPr>
          <w:p>
            <w:r>
              <w:rPr>
                <w:rFonts w:ascii="Arial" w:hAnsi="Arial"/>
                <w:color w:val="000000"/>
                <w:sz w:val="14"/>
              </w:rPr>
              <w:t>1.5075</w:t>
            </w:r>
          </w:p>
        </w:tc>
        <w:tc>
          <w:tcPr>
            <w:tcW w:type="dxa" w:w="374"/>
            <w:vAlign w:val="center"/>
          </w:tcPr>
          <w:p>
            <w:r>
              <w:rPr>
                <w:rFonts w:ascii="Arial" w:hAnsi="Arial"/>
                <w:color w:val="000000"/>
                <w:sz w:val="14"/>
              </w:rPr>
              <w:t>distribution</w:t>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r>
      <w:tr>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t>model</w:t>
            </w:r>
          </w:p>
        </w:tc>
        <w:tc>
          <w:tcPr>
            <w:tcW w:type="dxa" w:w="374"/>
            <w:vAlign w:val="center"/>
          </w:tcPr>
          <w:p>
            <w:r>
              <w:rPr>
                <w:rFonts w:ascii="Arial" w:hAnsi="Arial"/>
                <w:color w:val="000000"/>
                <w:sz w:val="14"/>
              </w:rPr>
              <w:t>negative_binomial</w:t>
            </w:r>
          </w:p>
        </w:tc>
        <w:tc>
          <w:tcPr>
            <w:tcW w:type="dxa" w:w="374"/>
            <w:vAlign w:val="center"/>
          </w:tcPr>
          <w:p>
            <w:r>
              <w:rPr>
                <w:rFonts w:ascii="Arial" w:hAnsi="Arial"/>
                <w:color w:val="000000"/>
                <w:sz w:val="14"/>
              </w:rPr>
              <w:t>decade</w:t>
            </w:r>
          </w:p>
        </w:tc>
        <w:tc>
          <w:tcPr>
            <w:tcW w:type="dxa" w:w="374"/>
            <w:vAlign w:val="center"/>
          </w:tcPr>
          <w:p>
            <w:r>
              <w:rPr>
                <w:rFonts w:ascii="Arial" w:hAnsi="Arial"/>
                <w:color w:val="000000"/>
                <w:sz w:val="14"/>
              </w:rPr>
              <w:t>0.028386</w:t>
            </w:r>
          </w:p>
        </w:tc>
        <w:tc>
          <w:tcPr>
            <w:tcW w:type="dxa" w:w="374"/>
            <w:vAlign w:val="center"/>
          </w:tcPr>
          <w:p>
            <w:r>
              <w:rPr>
                <w:rFonts w:ascii="Arial" w:hAnsi="Arial"/>
                <w:color w:val="000000"/>
                <w:sz w:val="14"/>
              </w:rPr>
              <w:t>0.17681</w:t>
            </w:r>
          </w:p>
        </w:tc>
        <w:tc>
          <w:tcPr>
            <w:tcW w:type="dxa" w:w="374"/>
            <w:vAlign w:val="center"/>
          </w:tcPr>
          <w:p>
            <w:r>
              <w:rPr>
                <w:rFonts w:ascii="Arial" w:hAnsi="Arial"/>
                <w:color w:val="000000"/>
                <w:sz w:val="14"/>
              </w:rPr>
              <w:t>-0.31816</w:t>
            </w:r>
          </w:p>
        </w:tc>
        <w:tc>
          <w:tcPr>
            <w:tcW w:type="dxa" w:w="374"/>
            <w:vAlign w:val="center"/>
          </w:tcPr>
          <w:p>
            <w:r>
              <w:rPr>
                <w:rFonts w:ascii="Arial" w:hAnsi="Arial"/>
                <w:color w:val="000000"/>
                <w:sz w:val="14"/>
              </w:rPr>
              <w:t>0.37493</w:t>
            </w:r>
          </w:p>
        </w:tc>
        <w:tc>
          <w:tcPr>
            <w:tcW w:type="dxa" w:w="374"/>
            <w:vAlign w:val="center"/>
          </w:tcPr>
          <w:p>
            <w:r>
              <w:rPr>
                <w:rFonts w:ascii="Arial" w:hAnsi="Arial"/>
                <w:color w:val="000000"/>
                <w:sz w:val="14"/>
              </w:rPr>
              <w:t>0.87245</w:t>
            </w:r>
          </w:p>
        </w:tc>
        <w:tc>
          <w:tcPr>
            <w:tcW w:type="dxa" w:w="374"/>
            <w:vAlign w:val="center"/>
          </w:tcPr>
          <w:p>
            <w:r>
              <w:rPr>
                <w:rFonts w:ascii="Arial" w:hAnsi="Arial"/>
                <w:color w:val="000000"/>
                <w:sz w:val="14"/>
              </w:rPr>
              <w:t>1.0288</w:t>
            </w:r>
          </w:p>
        </w:tc>
        <w:tc>
          <w:tcPr>
            <w:tcW w:type="dxa" w:w="374"/>
            <w:vAlign w:val="center"/>
          </w:tcPr>
          <w:p>
            <w:r>
              <w:rPr>
                <w:rFonts w:ascii="Arial" w:hAnsi="Arial"/>
                <w:color w:val="000000"/>
                <w:sz w:val="14"/>
              </w:rPr>
              <w:t>0.72749</w:t>
            </w:r>
          </w:p>
        </w:tc>
        <w:tc>
          <w:tcPr>
            <w:tcW w:type="dxa" w:w="374"/>
            <w:vAlign w:val="center"/>
          </w:tcPr>
          <w:p>
            <w:r>
              <w:rPr>
                <w:rFonts w:ascii="Arial" w:hAnsi="Arial"/>
                <w:color w:val="000000"/>
                <w:sz w:val="14"/>
              </w:rPr>
              <w:t>1.4549</w:t>
            </w:r>
          </w:p>
        </w:tc>
        <w:tc>
          <w:tcPr>
            <w:tcW w:type="dxa" w:w="374"/>
            <w:vAlign w:val="center"/>
          </w:tcPr>
          <w:p>
            <w:r>
              <w:rPr>
                <w:rFonts w:ascii="Arial" w:hAnsi="Arial"/>
                <w:color w:val="000000"/>
                <w:sz w:val="14"/>
              </w:rPr>
              <w:t>2.8793</w:t>
            </w:r>
          </w:p>
        </w:tc>
        <w:tc>
          <w:tcPr>
            <w:tcW w:type="dxa" w:w="374"/>
            <w:vAlign w:val="center"/>
          </w:tcPr>
          <w:p>
            <w:r>
              <w:rPr>
                <w:rFonts w:ascii="Arial" w:hAnsi="Arial"/>
                <w:color w:val="000000"/>
                <w:sz w:val="14"/>
              </w:rPr>
              <w:t>245.18</w:t>
            </w:r>
          </w:p>
        </w:tc>
        <w:tc>
          <w:tcPr>
            <w:tcW w:type="dxa" w:w="374"/>
            <w:vAlign w:val="center"/>
          </w:tcPr>
          <w:p>
            <w:r>
              <w:rPr>
                <w:rFonts w:ascii="Arial" w:hAnsi="Arial"/>
                <w:color w:val="000000"/>
                <w:sz w:val="14"/>
              </w:rPr>
              <w:t>251.09</w:t>
            </w:r>
          </w:p>
        </w:tc>
        <w:tc>
          <w:tcPr>
            <w:tcW w:type="dxa" w:w="374"/>
            <w:vAlign w:val="center"/>
          </w:tcPr>
          <w:p>
            <w:r>
              <w:rPr>
                <w:rFonts w:ascii="Arial" w:hAnsi="Arial"/>
                <w:color w:val="000000"/>
                <w:sz w:val="14"/>
              </w:rPr>
              <w:t>-119.59</w:t>
            </w:r>
          </w:p>
        </w:tc>
      </w:tr>
    </w:tbl>
    <w:p/>
    <w:p>
      <w:pPr>
        <w:pStyle w:val="Caption"/>
        <w:jc w:val="left"/>
      </w:pPr>
      <w:r>
        <w:rPr>
          <w:color w:val="000000"/>
        </w:rPr>
        <w:t>Table 7. Adjusted antecedent meteorological associations and sensitivity analyses.</w:t>
      </w:r>
    </w:p>
    <w:tbl>
      <w:tblPr>
        <w:tblStyle w:val="TableGrid"/>
        <w:tblW w:type="auto" w:w="0"/>
        <w:tblLayout w:type="autofit"/>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vAlign w:val="center"/>
            <w:shd w:fill="D9EAF7"/>
          </w:tcPr>
          <w:p>
            <w:r>
              <w:rPr>
                <w:rFonts w:ascii="Arial" w:hAnsi="Arial"/>
                <w:b/>
                <w:color w:val="000000"/>
                <w:sz w:val="14"/>
              </w:rPr>
              <w:t>model</w:t>
            </w:r>
          </w:p>
        </w:tc>
        <w:tc>
          <w:tcPr>
            <w:tcW w:type="dxa" w:w="669"/>
            <w:vAlign w:val="center"/>
            <w:shd w:fill="D9EAF7"/>
          </w:tcPr>
          <w:p>
            <w:r>
              <w:rPr>
                <w:rFonts w:ascii="Arial" w:hAnsi="Arial"/>
                <w:b/>
                <w:color w:val="000000"/>
                <w:sz w:val="14"/>
              </w:rPr>
              <w:t>term</w:t>
            </w:r>
          </w:p>
        </w:tc>
        <w:tc>
          <w:tcPr>
            <w:tcW w:type="dxa" w:w="669"/>
            <w:vAlign w:val="center"/>
            <w:shd w:fill="D9EAF7"/>
          </w:tcPr>
          <w:p>
            <w:r>
              <w:rPr>
                <w:rFonts w:ascii="Arial" w:hAnsi="Arial"/>
                <w:b/>
                <w:color w:val="000000"/>
                <w:sz w:val="14"/>
              </w:rPr>
              <w:t>coefficient</w:t>
            </w:r>
          </w:p>
        </w:tc>
        <w:tc>
          <w:tcPr>
            <w:tcW w:type="dxa" w:w="669"/>
            <w:vAlign w:val="center"/>
            <w:shd w:fill="D9EAF7"/>
          </w:tcPr>
          <w:p>
            <w:r>
              <w:rPr>
                <w:rFonts w:ascii="Arial" w:hAnsi="Arial"/>
                <w:b/>
                <w:color w:val="000000"/>
                <w:sz w:val="14"/>
              </w:rPr>
              <w:t>standard error</w:t>
            </w:r>
          </w:p>
        </w:tc>
        <w:tc>
          <w:tcPr>
            <w:tcW w:type="dxa" w:w="669"/>
            <w:vAlign w:val="center"/>
            <w:shd w:fill="D9EAF7"/>
          </w:tcPr>
          <w:p>
            <w:r>
              <w:rPr>
                <w:rFonts w:ascii="Arial" w:hAnsi="Arial"/>
                <w:b/>
                <w:color w:val="000000"/>
                <w:sz w:val="14"/>
              </w:rPr>
              <w:t>adjusted odds ratio</w:t>
            </w:r>
          </w:p>
        </w:tc>
        <w:tc>
          <w:tcPr>
            <w:tcW w:type="dxa" w:w="669"/>
            <w:vAlign w:val="center"/>
            <w:shd w:fill="D9EAF7"/>
          </w:tcPr>
          <w:p>
            <w:r>
              <w:rPr>
                <w:rFonts w:ascii="Arial" w:hAnsi="Arial"/>
                <w:b/>
                <w:color w:val="000000"/>
                <w:sz w:val="14"/>
              </w:rPr>
              <w:t>or ci lower</w:t>
            </w:r>
          </w:p>
        </w:tc>
        <w:tc>
          <w:tcPr>
            <w:tcW w:type="dxa" w:w="669"/>
            <w:vAlign w:val="center"/>
            <w:shd w:fill="D9EAF7"/>
          </w:tcPr>
          <w:p>
            <w:r>
              <w:rPr>
                <w:rFonts w:ascii="Arial" w:hAnsi="Arial"/>
                <w:b/>
                <w:color w:val="000000"/>
                <w:sz w:val="14"/>
              </w:rPr>
              <w:t>or ci upper</w:t>
            </w:r>
          </w:p>
        </w:tc>
        <w:tc>
          <w:tcPr>
            <w:tcW w:type="dxa" w:w="669"/>
            <w:vAlign w:val="center"/>
            <w:shd w:fill="D9EAF7"/>
          </w:tcPr>
          <w:p>
            <w:r>
              <w:rPr>
                <w:rFonts w:ascii="Arial" w:hAnsi="Arial"/>
                <w:b/>
                <w:color w:val="000000"/>
                <w:sz w:val="14"/>
              </w:rPr>
              <w:t>p value</w:t>
            </w:r>
          </w:p>
        </w:tc>
        <w:tc>
          <w:tcPr>
            <w:tcW w:type="dxa" w:w="669"/>
            <w:vAlign w:val="center"/>
            <w:shd w:fill="D9EAF7"/>
          </w:tcPr>
          <w:p>
            <w:r>
              <w:rPr>
                <w:rFonts w:ascii="Arial" w:hAnsi="Arial"/>
                <w:b/>
                <w:color w:val="000000"/>
                <w:sz w:val="14"/>
              </w:rPr>
              <w:t>aic</w:t>
            </w:r>
          </w:p>
        </w:tc>
        <w:tc>
          <w:tcPr>
            <w:tcW w:type="dxa" w:w="669"/>
            <w:vAlign w:val="center"/>
            <w:shd w:fill="D9EAF7"/>
          </w:tcPr>
          <w:p>
            <w:r>
              <w:rPr>
                <w:rFonts w:ascii="Arial" w:hAnsi="Arial"/>
                <w:b/>
                <w:color w:val="000000"/>
                <w:sz w:val="14"/>
              </w:rPr>
              <w:t>log likelihood</w:t>
            </w:r>
          </w:p>
        </w:tc>
        <w:tc>
          <w:tcPr>
            <w:tcW w:type="dxa" w:w="669"/>
            <w:vAlign w:val="center"/>
            <w:shd w:fill="D9EAF7"/>
          </w:tcPr>
          <w:p>
            <w:r>
              <w:rPr>
                <w:rFonts w:ascii="Arial" w:hAnsi="Arial"/>
                <w:b/>
                <w:color w:val="000000"/>
                <w:sz w:val="14"/>
              </w:rPr>
              <w:t>working correlation</w:t>
            </w:r>
          </w:p>
        </w:tc>
        <w:tc>
          <w:tcPr>
            <w:tcW w:type="dxa" w:w="669"/>
            <w:vAlign w:val="center"/>
            <w:shd w:fill="D9EAF7"/>
          </w:tcPr>
          <w:p>
            <w:r>
              <w:rPr>
                <w:rFonts w:ascii="Arial" w:hAnsi="Arial"/>
                <w:b/>
                <w:color w:val="000000"/>
                <w:sz w:val="14"/>
              </w:rPr>
              <w:t>dependence parameter</w:t>
            </w:r>
          </w:p>
        </w:tc>
        <w:tc>
          <w:tcPr>
            <w:tcW w:type="dxa" w:w="669"/>
            <w:vAlign w:val="center"/>
            <w:shd w:fill="D9EAF7"/>
          </w:tcPr>
          <w:p>
            <w:r>
              <w:rPr>
                <w:rFonts w:ascii="Arial" w:hAnsi="Arial"/>
                <w:b/>
                <w:color w:val="000000"/>
                <w:sz w:val="14"/>
              </w:rPr>
              <w:t>q value bh</w:t>
            </w:r>
          </w:p>
        </w:tc>
        <w:tc>
          <w:tcPr>
            <w:tcW w:type="dxa" w:w="669"/>
            <w:vAlign w:val="center"/>
            <w:shd w:fill="D9EAF7"/>
          </w:tcPr>
          <w:p>
            <w:r>
              <w:rPr>
                <w:rFonts w:ascii="Arial" w:hAnsi="Arial"/>
                <w:b/>
                <w:color w:val="000000"/>
                <w:sz w:val="14"/>
              </w:rPr>
              <w:t>one sd original units</w:t>
            </w:r>
          </w:p>
        </w:tc>
      </w:tr>
      <w:tr>
        <w:tc>
          <w:tcPr>
            <w:tcW w:type="dxa" w:w="669"/>
            <w:vAlign w:val="center"/>
          </w:tcPr>
          <w:p>
            <w:r>
              <w:rPr>
                <w:rFonts w:ascii="Arial" w:hAnsi="Arial"/>
                <w:color w:val="000000"/>
                <w:sz w:val="14"/>
              </w:rPr>
              <w:t>seasonal_trend_base</w:t>
            </w:r>
          </w:p>
        </w:tc>
        <w:tc>
          <w:tcPr>
            <w:tcW w:type="dxa" w:w="669"/>
            <w:vAlign w:val="center"/>
          </w:tcPr>
          <w:p>
            <w:r>
              <w:rPr>
                <w:rFonts w:ascii="Arial" w:hAnsi="Arial"/>
                <w:color w:val="000000"/>
                <w:sz w:val="14"/>
              </w:rPr>
              <w:t>decade</w:t>
            </w:r>
          </w:p>
        </w:tc>
        <w:tc>
          <w:tcPr>
            <w:tcW w:type="dxa" w:w="669"/>
            <w:vAlign w:val="center"/>
          </w:tcPr>
          <w:p>
            <w:r>
              <w:rPr>
                <w:rFonts w:ascii="Arial" w:hAnsi="Arial"/>
                <w:color w:val="000000"/>
                <w:sz w:val="14"/>
              </w:rPr>
              <w:t>0.092283</w:t>
            </w:r>
          </w:p>
        </w:tc>
        <w:tc>
          <w:tcPr>
            <w:tcW w:type="dxa" w:w="669"/>
            <w:vAlign w:val="center"/>
          </w:tcPr>
          <w:p>
            <w:r>
              <w:rPr>
                <w:rFonts w:ascii="Arial" w:hAnsi="Arial"/>
                <w:color w:val="000000"/>
                <w:sz w:val="14"/>
              </w:rPr>
              <w:t>0.28475</w:t>
            </w:r>
          </w:p>
        </w:tc>
        <w:tc>
          <w:tcPr>
            <w:tcW w:type="dxa" w:w="669"/>
            <w:vAlign w:val="center"/>
          </w:tcPr>
          <w:p>
            <w:r>
              <w:rPr>
                <w:rFonts w:ascii="Arial" w:hAnsi="Arial"/>
                <w:color w:val="000000"/>
                <w:sz w:val="14"/>
              </w:rPr>
              <w:t>1.0967</w:t>
            </w:r>
          </w:p>
        </w:tc>
        <w:tc>
          <w:tcPr>
            <w:tcW w:type="dxa" w:w="669"/>
            <w:vAlign w:val="center"/>
          </w:tcPr>
          <w:p>
            <w:r>
              <w:rPr>
                <w:rFonts w:ascii="Arial" w:hAnsi="Arial"/>
                <w:color w:val="000000"/>
                <w:sz w:val="14"/>
              </w:rPr>
              <w:t>0.62762</w:t>
            </w:r>
          </w:p>
        </w:tc>
        <w:tc>
          <w:tcPr>
            <w:tcW w:type="dxa" w:w="669"/>
            <w:vAlign w:val="center"/>
          </w:tcPr>
          <w:p>
            <w:r>
              <w:rPr>
                <w:rFonts w:ascii="Arial" w:hAnsi="Arial"/>
                <w:color w:val="000000"/>
                <w:sz w:val="14"/>
              </w:rPr>
              <w:t>1.9163</w:t>
            </w:r>
          </w:p>
        </w:tc>
        <w:tc>
          <w:tcPr>
            <w:tcW w:type="dxa" w:w="669"/>
            <w:vAlign w:val="center"/>
          </w:tcPr>
          <w:p>
            <w:r>
              <w:rPr>
                <w:rFonts w:ascii="Arial" w:hAnsi="Arial"/>
                <w:color w:val="000000"/>
                <w:sz w:val="14"/>
              </w:rPr>
              <w:t>0.74588</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0.79981</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decade</w:t>
            </w:r>
          </w:p>
        </w:tc>
        <w:tc>
          <w:tcPr>
            <w:tcW w:type="dxa" w:w="669"/>
            <w:vAlign w:val="center"/>
          </w:tcPr>
          <w:p>
            <w:r>
              <w:rPr>
                <w:rFonts w:ascii="Arial" w:hAnsi="Arial"/>
                <w:color w:val="000000"/>
                <w:sz w:val="14"/>
              </w:rPr>
              <w:t>0.2411</w:t>
            </w:r>
          </w:p>
        </w:tc>
        <w:tc>
          <w:tcPr>
            <w:tcW w:type="dxa" w:w="669"/>
            <w:vAlign w:val="center"/>
          </w:tcPr>
          <w:p>
            <w:r>
              <w:rPr>
                <w:rFonts w:ascii="Arial" w:hAnsi="Arial"/>
                <w:color w:val="000000"/>
                <w:sz w:val="14"/>
              </w:rPr>
              <w:t>0.18296</w:t>
            </w:r>
          </w:p>
        </w:tc>
        <w:tc>
          <w:tcPr>
            <w:tcW w:type="dxa" w:w="669"/>
            <w:vAlign w:val="center"/>
          </w:tcPr>
          <w:p>
            <w:r>
              <w:rPr>
                <w:rFonts w:ascii="Arial" w:hAnsi="Arial"/>
                <w:color w:val="000000"/>
                <w:sz w:val="14"/>
              </w:rPr>
              <w:t>1.2726</w:t>
            </w:r>
          </w:p>
        </w:tc>
        <w:tc>
          <w:tcPr>
            <w:tcW w:type="dxa" w:w="669"/>
            <w:vAlign w:val="center"/>
          </w:tcPr>
          <w:p>
            <w:r>
              <w:rPr>
                <w:rFonts w:ascii="Arial" w:hAnsi="Arial"/>
                <w:color w:val="000000"/>
                <w:sz w:val="14"/>
              </w:rPr>
              <w:t>0.88913</w:t>
            </w:r>
          </w:p>
        </w:tc>
        <w:tc>
          <w:tcPr>
            <w:tcW w:type="dxa" w:w="669"/>
            <w:vAlign w:val="center"/>
          </w:tcPr>
          <w:p>
            <w:r>
              <w:rPr>
                <w:rFonts w:ascii="Arial" w:hAnsi="Arial"/>
                <w:color w:val="000000"/>
                <w:sz w:val="14"/>
              </w:rPr>
              <w:t>1.8216</w:t>
            </w:r>
          </w:p>
        </w:tc>
        <w:tc>
          <w:tcPr>
            <w:tcW w:type="dxa" w:w="669"/>
            <w:vAlign w:val="center"/>
          </w:tcPr>
          <w:p>
            <w:r>
              <w:rPr>
                <w:rFonts w:ascii="Arial" w:hAnsi="Arial"/>
                <w:color w:val="000000"/>
                <w:sz w:val="14"/>
              </w:rPr>
              <w:t>0.1876</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rh_mean_lag3_mean</w:t>
            </w:r>
          </w:p>
        </w:tc>
        <w:tc>
          <w:tcPr>
            <w:tcW w:type="dxa" w:w="669"/>
            <w:vAlign w:val="center"/>
          </w:tcPr>
          <w:p>
            <w:r>
              <w:rPr>
                <w:rFonts w:ascii="Arial" w:hAnsi="Arial"/>
                <w:color w:val="000000"/>
                <w:sz w:val="14"/>
              </w:rPr>
              <w:t>-1.1818</w:t>
            </w:r>
          </w:p>
        </w:tc>
        <w:tc>
          <w:tcPr>
            <w:tcW w:type="dxa" w:w="669"/>
            <w:vAlign w:val="center"/>
          </w:tcPr>
          <w:p>
            <w:r>
              <w:rPr>
                <w:rFonts w:ascii="Arial" w:hAnsi="Arial"/>
                <w:color w:val="000000"/>
                <w:sz w:val="14"/>
              </w:rPr>
              <w:t>0.13462</w:t>
            </w:r>
          </w:p>
        </w:tc>
        <w:tc>
          <w:tcPr>
            <w:tcW w:type="dxa" w:w="669"/>
            <w:vAlign w:val="center"/>
          </w:tcPr>
          <w:p>
            <w:r>
              <w:rPr>
                <w:rFonts w:ascii="Arial" w:hAnsi="Arial"/>
                <w:color w:val="000000"/>
                <w:sz w:val="14"/>
              </w:rPr>
              <w:t>0.30672</w:t>
            </w:r>
          </w:p>
        </w:tc>
        <w:tc>
          <w:tcPr>
            <w:tcW w:type="dxa" w:w="669"/>
            <w:vAlign w:val="center"/>
          </w:tcPr>
          <w:p>
            <w:r>
              <w:rPr>
                <w:rFonts w:ascii="Arial" w:hAnsi="Arial"/>
                <w:color w:val="000000"/>
                <w:sz w:val="14"/>
              </w:rPr>
              <w:t>0.23559</w:t>
            </w:r>
          </w:p>
        </w:tc>
        <w:tc>
          <w:tcPr>
            <w:tcW w:type="dxa" w:w="669"/>
            <w:vAlign w:val="center"/>
          </w:tcPr>
          <w:p>
            <w:r>
              <w:rPr>
                <w:rFonts w:ascii="Arial" w:hAnsi="Arial"/>
                <w:color w:val="000000"/>
                <w:sz w:val="14"/>
              </w:rPr>
              <w:t>0.39932</w:t>
            </w:r>
          </w:p>
        </w:tc>
        <w:tc>
          <w:tcPr>
            <w:tcW w:type="dxa" w:w="669"/>
            <w:vAlign w:val="center"/>
          </w:tcPr>
          <w:p>
            <w:r>
              <w:rPr>
                <w:rFonts w:ascii="Arial" w:hAnsi="Arial"/>
                <w:color w:val="000000"/>
                <w:sz w:val="14"/>
              </w:rPr>
              <w:t>1.6484e-18</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t>6.5936e-18</w:t>
            </w:r>
          </w:p>
        </w:tc>
        <w:tc>
          <w:tcPr>
            <w:tcW w:type="dxa" w:w="669"/>
            <w:vAlign w:val="center"/>
          </w:tcPr>
          <w:p>
            <w:r>
              <w:rPr>
                <w:rFonts w:ascii="Arial" w:hAnsi="Arial"/>
                <w:color w:val="000000"/>
                <w:sz w:val="14"/>
              </w:rPr>
              <w:t>9.1898</w:t>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precipitation_lag7_sum</w:t>
            </w:r>
          </w:p>
        </w:tc>
        <w:tc>
          <w:tcPr>
            <w:tcW w:type="dxa" w:w="669"/>
            <w:vAlign w:val="center"/>
          </w:tcPr>
          <w:p>
            <w:r>
              <w:rPr>
                <w:rFonts w:ascii="Arial" w:hAnsi="Arial"/>
                <w:color w:val="000000"/>
                <w:sz w:val="14"/>
              </w:rPr>
              <w:t>-1.966</w:t>
            </w:r>
          </w:p>
        </w:tc>
        <w:tc>
          <w:tcPr>
            <w:tcW w:type="dxa" w:w="669"/>
            <w:vAlign w:val="center"/>
          </w:tcPr>
          <w:p>
            <w:r>
              <w:rPr>
                <w:rFonts w:ascii="Arial" w:hAnsi="Arial"/>
                <w:color w:val="000000"/>
                <w:sz w:val="14"/>
              </w:rPr>
              <w:t>0.40067</w:t>
            </w:r>
          </w:p>
        </w:tc>
        <w:tc>
          <w:tcPr>
            <w:tcW w:type="dxa" w:w="669"/>
            <w:vAlign w:val="center"/>
          </w:tcPr>
          <w:p>
            <w:r>
              <w:rPr>
                <w:rFonts w:ascii="Arial" w:hAnsi="Arial"/>
                <w:color w:val="000000"/>
                <w:sz w:val="14"/>
              </w:rPr>
              <w:t>0.14002</w:t>
            </w:r>
          </w:p>
        </w:tc>
        <w:tc>
          <w:tcPr>
            <w:tcW w:type="dxa" w:w="669"/>
            <w:vAlign w:val="center"/>
          </w:tcPr>
          <w:p>
            <w:r>
              <w:rPr>
                <w:rFonts w:ascii="Arial" w:hAnsi="Arial"/>
                <w:color w:val="000000"/>
                <w:sz w:val="14"/>
              </w:rPr>
              <w:t>0.063848</w:t>
            </w:r>
          </w:p>
        </w:tc>
        <w:tc>
          <w:tcPr>
            <w:tcW w:type="dxa" w:w="669"/>
            <w:vAlign w:val="center"/>
          </w:tcPr>
          <w:p>
            <w:r>
              <w:rPr>
                <w:rFonts w:ascii="Arial" w:hAnsi="Arial"/>
                <w:color w:val="000000"/>
                <w:sz w:val="14"/>
              </w:rPr>
              <w:t>0.30707</w:t>
            </w:r>
          </w:p>
        </w:tc>
        <w:tc>
          <w:tcPr>
            <w:tcW w:type="dxa" w:w="669"/>
            <w:vAlign w:val="center"/>
          </w:tcPr>
          <w:p>
            <w:r>
              <w:rPr>
                <w:rFonts w:ascii="Arial" w:hAnsi="Arial"/>
                <w:color w:val="000000"/>
                <w:sz w:val="14"/>
              </w:rPr>
              <w:t>9.2601e-07</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t>1.852e-06</w:t>
            </w:r>
          </w:p>
        </w:tc>
        <w:tc>
          <w:tcPr>
            <w:tcW w:type="dxa" w:w="669"/>
            <w:vAlign w:val="center"/>
          </w:tcPr>
          <w:p>
            <w:r>
              <w:rPr>
                <w:rFonts w:ascii="Arial" w:hAnsi="Arial"/>
                <w:color w:val="000000"/>
                <w:sz w:val="14"/>
              </w:rPr>
              <w:t>55.834</w:t>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wind_speed_mean_lag3_mean</w:t>
            </w:r>
          </w:p>
        </w:tc>
        <w:tc>
          <w:tcPr>
            <w:tcW w:type="dxa" w:w="669"/>
            <w:vAlign w:val="center"/>
          </w:tcPr>
          <w:p>
            <w:r>
              <w:rPr>
                <w:rFonts w:ascii="Arial" w:hAnsi="Arial"/>
                <w:color w:val="000000"/>
                <w:sz w:val="14"/>
              </w:rPr>
              <w:t>0.29044</w:t>
            </w:r>
          </w:p>
        </w:tc>
        <w:tc>
          <w:tcPr>
            <w:tcW w:type="dxa" w:w="669"/>
            <w:vAlign w:val="center"/>
          </w:tcPr>
          <w:p>
            <w:r>
              <w:rPr>
                <w:rFonts w:ascii="Arial" w:hAnsi="Arial"/>
                <w:color w:val="000000"/>
                <w:sz w:val="14"/>
              </w:rPr>
              <w:t>0.09611</w:t>
            </w:r>
          </w:p>
        </w:tc>
        <w:tc>
          <w:tcPr>
            <w:tcW w:type="dxa" w:w="669"/>
            <w:vAlign w:val="center"/>
          </w:tcPr>
          <w:p>
            <w:r>
              <w:rPr>
                <w:rFonts w:ascii="Arial" w:hAnsi="Arial"/>
                <w:color w:val="000000"/>
                <w:sz w:val="14"/>
              </w:rPr>
              <w:t>1.337</w:t>
            </w:r>
          </w:p>
        </w:tc>
        <w:tc>
          <w:tcPr>
            <w:tcW w:type="dxa" w:w="669"/>
            <w:vAlign w:val="center"/>
          </w:tcPr>
          <w:p>
            <w:r>
              <w:rPr>
                <w:rFonts w:ascii="Arial" w:hAnsi="Arial"/>
                <w:color w:val="000000"/>
                <w:sz w:val="14"/>
              </w:rPr>
              <w:t>1.1075</w:t>
            </w:r>
          </w:p>
        </w:tc>
        <w:tc>
          <w:tcPr>
            <w:tcW w:type="dxa" w:w="669"/>
            <w:vAlign w:val="center"/>
          </w:tcPr>
          <w:p>
            <w:r>
              <w:rPr>
                <w:rFonts w:ascii="Arial" w:hAnsi="Arial"/>
                <w:color w:val="000000"/>
                <w:sz w:val="14"/>
              </w:rPr>
              <w:t>1.6142</w:t>
            </w:r>
          </w:p>
        </w:tc>
        <w:tc>
          <w:tcPr>
            <w:tcW w:type="dxa" w:w="669"/>
            <w:vAlign w:val="center"/>
          </w:tcPr>
          <w:p>
            <w:r>
              <w:rPr>
                <w:rFonts w:ascii="Arial" w:hAnsi="Arial"/>
                <w:color w:val="000000"/>
                <w:sz w:val="14"/>
              </w:rPr>
              <w:t>0.0025118</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t>0.0033491</w:t>
            </w:r>
          </w:p>
        </w:tc>
        <w:tc>
          <w:tcPr>
            <w:tcW w:type="dxa" w:w="669"/>
            <w:vAlign w:val="center"/>
          </w:tcPr>
          <w:p>
            <w:r>
              <w:rPr>
                <w:rFonts w:ascii="Arial" w:hAnsi="Arial"/>
                <w:color w:val="000000"/>
                <w:sz w:val="14"/>
              </w:rPr>
              <w:t>3.2283</w:t>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pressure_mean_lag3_mean</w:t>
            </w:r>
          </w:p>
        </w:tc>
        <w:tc>
          <w:tcPr>
            <w:tcW w:type="dxa" w:w="669"/>
            <w:vAlign w:val="center"/>
          </w:tcPr>
          <w:p>
            <w:r>
              <w:rPr>
                <w:rFonts w:ascii="Arial" w:hAnsi="Arial"/>
                <w:color w:val="000000"/>
                <w:sz w:val="14"/>
              </w:rPr>
              <w:t>-0.42214</w:t>
            </w:r>
          </w:p>
        </w:tc>
        <w:tc>
          <w:tcPr>
            <w:tcW w:type="dxa" w:w="669"/>
            <w:vAlign w:val="center"/>
          </w:tcPr>
          <w:p>
            <w:r>
              <w:rPr>
                <w:rFonts w:ascii="Arial" w:hAnsi="Arial"/>
                <w:color w:val="000000"/>
                <w:sz w:val="14"/>
              </w:rPr>
              <w:t>0.24759</w:t>
            </w:r>
          </w:p>
        </w:tc>
        <w:tc>
          <w:tcPr>
            <w:tcW w:type="dxa" w:w="669"/>
            <w:vAlign w:val="center"/>
          </w:tcPr>
          <w:p>
            <w:r>
              <w:rPr>
                <w:rFonts w:ascii="Arial" w:hAnsi="Arial"/>
                <w:color w:val="000000"/>
                <w:sz w:val="14"/>
              </w:rPr>
              <w:t>0.65564</w:t>
            </w:r>
          </w:p>
        </w:tc>
        <w:tc>
          <w:tcPr>
            <w:tcW w:type="dxa" w:w="669"/>
            <w:vAlign w:val="center"/>
          </w:tcPr>
          <w:p>
            <w:r>
              <w:rPr>
                <w:rFonts w:ascii="Arial" w:hAnsi="Arial"/>
                <w:color w:val="000000"/>
                <w:sz w:val="14"/>
              </w:rPr>
              <w:t>0.40357</w:t>
            </w:r>
          </w:p>
        </w:tc>
        <w:tc>
          <w:tcPr>
            <w:tcW w:type="dxa" w:w="669"/>
            <w:vAlign w:val="center"/>
          </w:tcPr>
          <w:p>
            <w:r>
              <w:rPr>
                <w:rFonts w:ascii="Arial" w:hAnsi="Arial"/>
                <w:color w:val="000000"/>
                <w:sz w:val="14"/>
              </w:rPr>
              <w:t>1.0652</w:t>
            </w:r>
          </w:p>
        </w:tc>
        <w:tc>
          <w:tcPr>
            <w:tcW w:type="dxa" w:w="669"/>
            <w:vAlign w:val="center"/>
          </w:tcPr>
          <w:p>
            <w:r>
              <w:rPr>
                <w:rFonts w:ascii="Arial" w:hAnsi="Arial"/>
                <w:color w:val="000000"/>
                <w:sz w:val="14"/>
              </w:rPr>
              <w:t>0.088198</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t>0.088198</w:t>
            </w:r>
          </w:p>
        </w:tc>
        <w:tc>
          <w:tcPr>
            <w:tcW w:type="dxa" w:w="669"/>
            <w:vAlign w:val="center"/>
          </w:tcPr>
          <w:p>
            <w:r>
              <w:rPr>
                <w:rFonts w:ascii="Arial" w:hAnsi="Arial"/>
                <w:color w:val="000000"/>
                <w:sz w:val="14"/>
              </w:rPr>
              <w:t>4.2143</w:t>
            </w:r>
          </w:p>
        </w:tc>
      </w:tr>
    </w:tbl>
    <w:p/>
    <w:p>
      <w:pPr>
        <w:pStyle w:val="Caption"/>
        <w:jc w:val="left"/>
      </w:pPr>
      <w:r>
        <w:rPr>
          <w:color w:val="000000"/>
        </w:rPr>
        <w:t>Table 8. Strictly chronological blocked-validation performance.</w:t>
      </w:r>
    </w:p>
    <w:tbl>
      <w:tblPr>
        <w:tblStyle w:val="TableGrid"/>
        <w:tblW w:type="auto" w:w="0"/>
        <w:tblLayout w:type="autofit"/>
        <w:tblLook w:firstColumn="1" w:firstRow="1" w:lastColumn="0" w:lastRow="0" w:noHBand="0" w:noVBand="1" w:val="04A0"/>
      </w:tblPr>
      <w:tblGrid>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tblGrid>
      <w:tr>
        <w:tc>
          <w:tcPr>
            <w:tcW w:type="dxa" w:w="323"/>
            <w:vAlign w:val="center"/>
            <w:shd w:fill="D9EAF7"/>
          </w:tcPr>
          <w:p>
            <w:r>
              <w:rPr>
                <w:rFonts w:ascii="Arial" w:hAnsi="Arial"/>
                <w:b/>
                <w:color w:val="000000"/>
                <w:sz w:val="14"/>
              </w:rPr>
              <w:t>validation scope</w:t>
            </w:r>
          </w:p>
        </w:tc>
        <w:tc>
          <w:tcPr>
            <w:tcW w:type="dxa" w:w="323"/>
            <w:vAlign w:val="center"/>
            <w:shd w:fill="D9EAF7"/>
          </w:tcPr>
          <w:p>
            <w:r>
              <w:rPr>
                <w:rFonts w:ascii="Arial" w:hAnsi="Arial"/>
                <w:b/>
                <w:color w:val="000000"/>
                <w:sz w:val="14"/>
              </w:rPr>
              <w:t>validation year</w:t>
            </w:r>
          </w:p>
        </w:tc>
        <w:tc>
          <w:tcPr>
            <w:tcW w:type="dxa" w:w="323"/>
            <w:vAlign w:val="center"/>
            <w:shd w:fill="D9EAF7"/>
          </w:tcPr>
          <w:p>
            <w:r>
              <w:rPr>
                <w:rFonts w:ascii="Arial" w:hAnsi="Arial"/>
                <w:b/>
                <w:color w:val="000000"/>
                <w:sz w:val="14"/>
              </w:rPr>
              <w:t>model</w:t>
            </w:r>
          </w:p>
        </w:tc>
        <w:tc>
          <w:tcPr>
            <w:tcW w:type="dxa" w:w="323"/>
            <w:vAlign w:val="center"/>
            <w:shd w:fill="D9EAF7"/>
          </w:tcPr>
          <w:p>
            <w:r>
              <w:rPr>
                <w:rFonts w:ascii="Arial" w:hAnsi="Arial"/>
                <w:b/>
                <w:color w:val="000000"/>
                <w:sz w:val="14"/>
              </w:rPr>
              <w:t>train end year</w:t>
            </w:r>
          </w:p>
        </w:tc>
        <w:tc>
          <w:tcPr>
            <w:tcW w:type="dxa" w:w="323"/>
            <w:vAlign w:val="center"/>
            <w:shd w:fill="D9EAF7"/>
          </w:tcPr>
          <w:p>
            <w:r>
              <w:rPr>
                <w:rFonts w:ascii="Arial" w:hAnsi="Arial"/>
                <w:b/>
                <w:color w:val="000000"/>
                <w:sz w:val="14"/>
              </w:rPr>
              <w:t>n</w:t>
            </w:r>
          </w:p>
        </w:tc>
        <w:tc>
          <w:tcPr>
            <w:tcW w:type="dxa" w:w="323"/>
            <w:vAlign w:val="center"/>
            <w:shd w:fill="D9EAF7"/>
          </w:tcPr>
          <w:p>
            <w:r>
              <w:rPr>
                <w:rFonts w:ascii="Arial" w:hAnsi="Arial"/>
                <w:b/>
                <w:color w:val="000000"/>
                <w:sz w:val="14"/>
              </w:rPr>
              <w:t>positive n</w:t>
            </w:r>
          </w:p>
        </w:tc>
        <w:tc>
          <w:tcPr>
            <w:tcW w:type="dxa" w:w="323"/>
            <w:vAlign w:val="center"/>
            <w:shd w:fill="D9EAF7"/>
          </w:tcPr>
          <w:p>
            <w:r>
              <w:rPr>
                <w:rFonts w:ascii="Arial" w:hAnsi="Arial"/>
                <w:b/>
                <w:color w:val="000000"/>
                <w:sz w:val="14"/>
              </w:rPr>
              <w:t>brier score</w:t>
            </w:r>
          </w:p>
        </w:tc>
        <w:tc>
          <w:tcPr>
            <w:tcW w:type="dxa" w:w="323"/>
            <w:vAlign w:val="center"/>
            <w:shd w:fill="D9EAF7"/>
          </w:tcPr>
          <w:p>
            <w:r>
              <w:rPr>
                <w:rFonts w:ascii="Arial" w:hAnsi="Arial"/>
                <w:b/>
                <w:color w:val="000000"/>
                <w:sz w:val="14"/>
              </w:rPr>
              <w:t>roc auc</w:t>
            </w:r>
          </w:p>
        </w:tc>
        <w:tc>
          <w:tcPr>
            <w:tcW w:type="dxa" w:w="323"/>
            <w:vAlign w:val="center"/>
            <w:shd w:fill="D9EAF7"/>
          </w:tcPr>
          <w:p>
            <w:r>
              <w:rPr>
                <w:rFonts w:ascii="Arial" w:hAnsi="Arial"/>
                <w:b/>
                <w:color w:val="000000"/>
                <w:sz w:val="14"/>
              </w:rPr>
              <w:t>precision recall auc</w:t>
            </w:r>
          </w:p>
        </w:tc>
        <w:tc>
          <w:tcPr>
            <w:tcW w:type="dxa" w:w="323"/>
            <w:vAlign w:val="center"/>
            <w:shd w:fill="D9EAF7"/>
          </w:tcPr>
          <w:p>
            <w:r>
              <w:rPr>
                <w:rFonts w:ascii="Arial" w:hAnsi="Arial"/>
                <w:b/>
                <w:color w:val="000000"/>
                <w:sz w:val="14"/>
              </w:rPr>
              <w:t>threshold</w:t>
            </w:r>
          </w:p>
        </w:tc>
        <w:tc>
          <w:tcPr>
            <w:tcW w:type="dxa" w:w="323"/>
            <w:vAlign w:val="center"/>
            <w:shd w:fill="D9EAF7"/>
          </w:tcPr>
          <w:p>
            <w:r>
              <w:rPr>
                <w:rFonts w:ascii="Arial" w:hAnsi="Arial"/>
                <w:b/>
                <w:color w:val="000000"/>
                <w:sz w:val="14"/>
              </w:rPr>
              <w:t>sensitivity</w:t>
            </w:r>
          </w:p>
        </w:tc>
        <w:tc>
          <w:tcPr>
            <w:tcW w:type="dxa" w:w="323"/>
            <w:vAlign w:val="center"/>
            <w:shd w:fill="D9EAF7"/>
          </w:tcPr>
          <w:p>
            <w:r>
              <w:rPr>
                <w:rFonts w:ascii="Arial" w:hAnsi="Arial"/>
                <w:b/>
                <w:color w:val="000000"/>
                <w:sz w:val="14"/>
              </w:rPr>
              <w:t>specificity</w:t>
            </w:r>
          </w:p>
        </w:tc>
        <w:tc>
          <w:tcPr>
            <w:tcW w:type="dxa" w:w="323"/>
            <w:vAlign w:val="center"/>
            <w:shd w:fill="D9EAF7"/>
          </w:tcPr>
          <w:p>
            <w:r>
              <w:rPr>
                <w:rFonts w:ascii="Arial" w:hAnsi="Arial"/>
                <w:b/>
                <w:color w:val="000000"/>
                <w:sz w:val="14"/>
              </w:rPr>
              <w:t>calibration intercept</w:t>
            </w:r>
          </w:p>
        </w:tc>
        <w:tc>
          <w:tcPr>
            <w:tcW w:type="dxa" w:w="323"/>
            <w:vAlign w:val="center"/>
            <w:shd w:fill="D9EAF7"/>
          </w:tcPr>
          <w:p>
            <w:r>
              <w:rPr>
                <w:rFonts w:ascii="Arial" w:hAnsi="Arial"/>
                <w:b/>
                <w:color w:val="000000"/>
                <w:sz w:val="14"/>
              </w:rPr>
              <w:t>calibration slope</w:t>
            </w:r>
          </w:p>
        </w:tc>
        <w:tc>
          <w:tcPr>
            <w:tcW w:type="dxa" w:w="323"/>
            <w:vAlign w:val="center"/>
            <w:shd w:fill="D9EAF7"/>
          </w:tcPr>
          <w:p>
            <w:r>
              <w:rPr>
                <w:rFonts w:ascii="Arial" w:hAnsi="Arial"/>
                <w:b/>
                <w:color w:val="000000"/>
                <w:sz w:val="14"/>
              </w:rPr>
              <w:t>section</w:t>
            </w:r>
          </w:p>
        </w:tc>
        <w:tc>
          <w:tcPr>
            <w:tcW w:type="dxa" w:w="323"/>
            <w:vAlign w:val="center"/>
            <w:shd w:fill="D9EAF7"/>
          </w:tcPr>
          <w:p>
            <w:r>
              <w:rPr>
                <w:rFonts w:ascii="Arial" w:hAnsi="Arial"/>
                <w:b/>
                <w:color w:val="000000"/>
                <w:sz w:val="14"/>
              </w:rPr>
              <w:t>variant</w:t>
            </w:r>
          </w:p>
        </w:tc>
        <w:tc>
          <w:tcPr>
            <w:tcW w:type="dxa" w:w="323"/>
            <w:vAlign w:val="center"/>
            <w:shd w:fill="D9EAF7"/>
          </w:tcPr>
          <w:p>
            <w:r>
              <w:rPr>
                <w:rFonts w:ascii="Arial" w:hAnsi="Arial"/>
                <w:b/>
                <w:color w:val="000000"/>
                <w:sz w:val="14"/>
              </w:rPr>
              <w:t>outcome</w:t>
            </w:r>
          </w:p>
        </w:tc>
        <w:tc>
          <w:tcPr>
            <w:tcW w:type="dxa" w:w="323"/>
            <w:vAlign w:val="center"/>
            <w:shd w:fill="D9EAF7"/>
          </w:tcPr>
          <w:p>
            <w:r>
              <w:rPr>
                <w:rFonts w:ascii="Arial" w:hAnsi="Arial"/>
                <w:b/>
                <w:color w:val="000000"/>
                <w:sz w:val="14"/>
              </w:rPr>
              <w:t>positive days</w:t>
            </w:r>
          </w:p>
        </w:tc>
        <w:tc>
          <w:tcPr>
            <w:tcW w:type="dxa" w:w="323"/>
            <w:vAlign w:val="center"/>
            <w:shd w:fill="D9EAF7"/>
          </w:tcPr>
          <w:p>
            <w:r>
              <w:rPr>
                <w:rFonts w:ascii="Arial" w:hAnsi="Arial"/>
                <w:b/>
                <w:color w:val="000000"/>
                <w:sz w:val="14"/>
              </w:rPr>
              <w:t>term</w:t>
            </w:r>
          </w:p>
        </w:tc>
        <w:tc>
          <w:tcPr>
            <w:tcW w:type="dxa" w:w="323"/>
            <w:vAlign w:val="center"/>
            <w:shd w:fill="D9EAF7"/>
          </w:tcPr>
          <w:p>
            <w:r>
              <w:rPr>
                <w:rFonts w:ascii="Arial" w:hAnsi="Arial"/>
                <w:b/>
                <w:color w:val="000000"/>
                <w:sz w:val="14"/>
              </w:rPr>
              <w:t>coefficient</w:t>
            </w:r>
          </w:p>
        </w:tc>
        <w:tc>
          <w:tcPr>
            <w:tcW w:type="dxa" w:w="323"/>
            <w:vAlign w:val="center"/>
            <w:shd w:fill="D9EAF7"/>
          </w:tcPr>
          <w:p>
            <w:r>
              <w:rPr>
                <w:rFonts w:ascii="Arial" w:hAnsi="Arial"/>
                <w:b/>
                <w:color w:val="000000"/>
                <w:sz w:val="14"/>
              </w:rPr>
              <w:t>standard error</w:t>
            </w:r>
          </w:p>
        </w:tc>
        <w:tc>
          <w:tcPr>
            <w:tcW w:type="dxa" w:w="323"/>
            <w:vAlign w:val="center"/>
            <w:shd w:fill="D9EAF7"/>
          </w:tcPr>
          <w:p>
            <w:r>
              <w:rPr>
                <w:rFonts w:ascii="Arial" w:hAnsi="Arial"/>
                <w:b/>
                <w:color w:val="000000"/>
                <w:sz w:val="14"/>
              </w:rPr>
              <w:t>adjusted odds ratio</w:t>
            </w:r>
          </w:p>
        </w:tc>
        <w:tc>
          <w:tcPr>
            <w:tcW w:type="dxa" w:w="323"/>
            <w:vAlign w:val="center"/>
            <w:shd w:fill="D9EAF7"/>
          </w:tcPr>
          <w:p>
            <w:r>
              <w:rPr>
                <w:rFonts w:ascii="Arial" w:hAnsi="Arial"/>
                <w:b/>
                <w:color w:val="000000"/>
                <w:sz w:val="14"/>
              </w:rPr>
              <w:t>or ci lower</w:t>
            </w:r>
          </w:p>
        </w:tc>
        <w:tc>
          <w:tcPr>
            <w:tcW w:type="dxa" w:w="323"/>
            <w:vAlign w:val="center"/>
            <w:shd w:fill="D9EAF7"/>
          </w:tcPr>
          <w:p>
            <w:r>
              <w:rPr>
                <w:rFonts w:ascii="Arial" w:hAnsi="Arial"/>
                <w:b/>
                <w:color w:val="000000"/>
                <w:sz w:val="14"/>
              </w:rPr>
              <w:t>or ci upper</w:t>
            </w:r>
          </w:p>
        </w:tc>
        <w:tc>
          <w:tcPr>
            <w:tcW w:type="dxa" w:w="323"/>
            <w:vAlign w:val="center"/>
            <w:shd w:fill="D9EAF7"/>
          </w:tcPr>
          <w:p>
            <w:r>
              <w:rPr>
                <w:rFonts w:ascii="Arial" w:hAnsi="Arial"/>
                <w:b/>
                <w:color w:val="000000"/>
                <w:sz w:val="14"/>
              </w:rPr>
              <w:t>p value</w:t>
            </w:r>
          </w:p>
        </w:tc>
        <w:tc>
          <w:tcPr>
            <w:tcW w:type="dxa" w:w="323"/>
            <w:vAlign w:val="center"/>
            <w:shd w:fill="D9EAF7"/>
          </w:tcPr>
          <w:p>
            <w:r>
              <w:rPr>
                <w:rFonts w:ascii="Arial" w:hAnsi="Arial"/>
                <w:b/>
                <w:color w:val="000000"/>
                <w:sz w:val="14"/>
              </w:rPr>
              <w:t>aic</w:t>
            </w:r>
          </w:p>
        </w:tc>
        <w:tc>
          <w:tcPr>
            <w:tcW w:type="dxa" w:w="323"/>
            <w:vAlign w:val="center"/>
            <w:shd w:fill="D9EAF7"/>
          </w:tcPr>
          <w:p>
            <w:r>
              <w:rPr>
                <w:rFonts w:ascii="Arial" w:hAnsi="Arial"/>
                <w:b/>
                <w:color w:val="000000"/>
                <w:sz w:val="14"/>
              </w:rPr>
              <w:t>log likelihood</w:t>
            </w:r>
          </w:p>
        </w:tc>
        <w:tc>
          <w:tcPr>
            <w:tcW w:type="dxa" w:w="323"/>
            <w:vAlign w:val="center"/>
            <w:shd w:fill="D9EAF7"/>
          </w:tcPr>
          <w:p>
            <w:r>
              <w:rPr>
                <w:rFonts w:ascii="Arial" w:hAnsi="Arial"/>
                <w:b/>
                <w:color w:val="000000"/>
                <w:sz w:val="14"/>
              </w:rPr>
              <w:t>working correlation</w:t>
            </w:r>
          </w:p>
        </w:tc>
        <w:tc>
          <w:tcPr>
            <w:tcW w:type="dxa" w:w="323"/>
            <w:vAlign w:val="center"/>
            <w:shd w:fill="D9EAF7"/>
          </w:tcPr>
          <w:p>
            <w:r>
              <w:rPr>
                <w:rFonts w:ascii="Arial" w:hAnsi="Arial"/>
                <w:b/>
                <w:color w:val="000000"/>
                <w:sz w:val="14"/>
              </w:rPr>
              <w:t>dependence parameter</w:t>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2000</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1999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0.001178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0.035434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0.68852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2000</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1999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0.00073754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0.047922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0.93443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2001</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0.00087561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0.037023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0.7377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2001</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0.0024311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0.043476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0.87705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2002</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0.0006561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0.036277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0.77049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2002</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0.00016515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0.040567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0.96721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2003</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0.00049524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0.033039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0.77869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2003</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0.00013577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0.038723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0.97541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2004</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0.00037635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0.037443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0.92623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2004</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0.00035918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0.03665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0.95902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2005</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2004</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0.00028778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0.037398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2005</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2004</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0.00013443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0.036654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0.9918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2006</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2005</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0.00022132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0.037051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2006</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2005</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0.00023491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0.035418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0.92623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2007</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2006</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0.0001711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0.033662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2007</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2006</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0.00022188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0.033794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0.92623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2008</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2007</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11</w:t>
            </w:r>
          </w:p>
        </w:tc>
        <w:tc>
          <w:tcPr>
            <w:tcW w:type="dxa" w:w="323"/>
            <w:vAlign w:val="center"/>
          </w:tcPr>
          <w:p>
            <w:r>
              <w:rPr>
                <w:rFonts w:ascii="Arial" w:hAnsi="Arial"/>
                <w:color w:val="000000"/>
                <w:sz w:val="14"/>
              </w:rPr>
              <w:t>0.087376</w:t>
            </w:r>
          </w:p>
        </w:tc>
        <w:tc>
          <w:tcPr>
            <w:tcW w:type="dxa" w:w="323"/>
            <w:vAlign w:val="center"/>
          </w:tcPr>
          <w:p>
            <w:r>
              <w:rPr>
                <w:rFonts w:ascii="Arial" w:hAnsi="Arial"/>
                <w:color w:val="000000"/>
                <w:sz w:val="14"/>
              </w:rPr>
              <w:t>0.80999</w:t>
            </w:r>
          </w:p>
        </w:tc>
        <w:tc>
          <w:tcPr>
            <w:tcW w:type="dxa" w:w="323"/>
            <w:vAlign w:val="center"/>
          </w:tcPr>
          <w:p>
            <w:r>
              <w:rPr>
                <w:rFonts w:ascii="Arial" w:hAnsi="Arial"/>
                <w:color w:val="000000"/>
                <w:sz w:val="14"/>
              </w:rPr>
              <w:t>0.20761</w:t>
            </w:r>
          </w:p>
        </w:tc>
        <w:tc>
          <w:tcPr>
            <w:tcW w:type="dxa" w:w="323"/>
            <w:vAlign w:val="center"/>
          </w:tcPr>
          <w:p>
            <w:r>
              <w:rPr>
                <w:rFonts w:ascii="Arial" w:hAnsi="Arial"/>
                <w:color w:val="000000"/>
                <w:sz w:val="14"/>
              </w:rPr>
              <w:t>0.03238</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t>4.8088</w:t>
            </w:r>
          </w:p>
        </w:tc>
        <w:tc>
          <w:tcPr>
            <w:tcW w:type="dxa" w:w="323"/>
            <w:vAlign w:val="center"/>
          </w:tcPr>
          <w:p>
            <w:r>
              <w:rPr>
                <w:rFonts w:ascii="Arial" w:hAnsi="Arial"/>
                <w:color w:val="000000"/>
                <w:sz w:val="14"/>
              </w:rPr>
              <w:t>1.5316</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2008</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2007</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11</w:t>
            </w:r>
          </w:p>
        </w:tc>
        <w:tc>
          <w:tcPr>
            <w:tcW w:type="dxa" w:w="323"/>
            <w:vAlign w:val="center"/>
          </w:tcPr>
          <w:p>
            <w:r>
              <w:rPr>
                <w:rFonts w:ascii="Arial" w:hAnsi="Arial"/>
                <w:color w:val="000000"/>
                <w:sz w:val="14"/>
              </w:rPr>
              <w:t>0.083295</w:t>
            </w:r>
          </w:p>
        </w:tc>
        <w:tc>
          <w:tcPr>
            <w:tcW w:type="dxa" w:w="323"/>
            <w:vAlign w:val="center"/>
          </w:tcPr>
          <w:p>
            <w:r>
              <w:rPr>
                <w:rFonts w:ascii="Arial" w:hAnsi="Arial"/>
                <w:color w:val="000000"/>
                <w:sz w:val="14"/>
              </w:rPr>
              <w:t>0.92875</w:t>
            </w:r>
          </w:p>
        </w:tc>
        <w:tc>
          <w:tcPr>
            <w:tcW w:type="dxa" w:w="323"/>
            <w:vAlign w:val="center"/>
          </w:tcPr>
          <w:p>
            <w:r>
              <w:rPr>
                <w:rFonts w:ascii="Arial" w:hAnsi="Arial"/>
                <w:color w:val="000000"/>
                <w:sz w:val="14"/>
              </w:rPr>
              <w:t>0.52468</w:t>
            </w:r>
          </w:p>
        </w:tc>
        <w:tc>
          <w:tcPr>
            <w:tcW w:type="dxa" w:w="323"/>
            <w:vAlign w:val="center"/>
          </w:tcPr>
          <w:p>
            <w:r>
              <w:rPr>
                <w:rFonts w:ascii="Arial" w:hAnsi="Arial"/>
                <w:color w:val="000000"/>
                <w:sz w:val="14"/>
              </w:rPr>
              <w:t>0.073039</w:t>
            </w:r>
          </w:p>
        </w:tc>
        <w:tc>
          <w:tcPr>
            <w:tcW w:type="dxa" w:w="323"/>
            <w:vAlign w:val="center"/>
          </w:tcPr>
          <w:p>
            <w:r>
              <w:rPr>
                <w:rFonts w:ascii="Arial" w:hAnsi="Arial"/>
                <w:color w:val="000000"/>
                <w:sz w:val="14"/>
              </w:rPr>
              <w:t>0.090909</w:t>
            </w:r>
          </w:p>
        </w:tc>
        <w:tc>
          <w:tcPr>
            <w:tcW w:type="dxa" w:w="323"/>
            <w:vAlign w:val="center"/>
          </w:tcPr>
          <w:p>
            <w:r>
              <w:rPr>
                <w:rFonts w:ascii="Arial" w:hAnsi="Arial"/>
                <w:color w:val="000000"/>
                <w:sz w:val="14"/>
              </w:rPr>
              <w:t>0.99099</w:t>
            </w:r>
          </w:p>
        </w:tc>
        <w:tc>
          <w:tcPr>
            <w:tcW w:type="dxa" w:w="323"/>
            <w:vAlign w:val="center"/>
          </w:tcPr>
          <w:p>
            <w:r>
              <w:rPr>
                <w:rFonts w:ascii="Arial" w:hAnsi="Arial"/>
                <w:color w:val="000000"/>
                <w:sz w:val="14"/>
              </w:rPr>
              <w:t>3.345</w:t>
            </w:r>
          </w:p>
        </w:tc>
        <w:tc>
          <w:tcPr>
            <w:tcW w:type="dxa" w:w="323"/>
            <w:vAlign w:val="center"/>
          </w:tcPr>
          <w:p>
            <w:r>
              <w:rPr>
                <w:rFonts w:ascii="Arial" w:hAnsi="Arial"/>
                <w:color w:val="000000"/>
                <w:sz w:val="14"/>
              </w:rPr>
              <w:t>1.2096</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2009</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2008</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9</w:t>
            </w:r>
          </w:p>
        </w:tc>
        <w:tc>
          <w:tcPr>
            <w:tcW w:type="dxa" w:w="323"/>
            <w:vAlign w:val="center"/>
          </w:tcPr>
          <w:p>
            <w:r>
              <w:rPr>
                <w:rFonts w:ascii="Arial" w:hAnsi="Arial"/>
                <w:color w:val="000000"/>
                <w:sz w:val="14"/>
              </w:rPr>
              <w:t>0.070359</w:t>
            </w:r>
          </w:p>
        </w:tc>
        <w:tc>
          <w:tcPr>
            <w:tcW w:type="dxa" w:w="323"/>
            <w:vAlign w:val="center"/>
          </w:tcPr>
          <w:p>
            <w:r>
              <w:rPr>
                <w:rFonts w:ascii="Arial" w:hAnsi="Arial"/>
                <w:color w:val="000000"/>
                <w:sz w:val="14"/>
              </w:rPr>
              <w:t>0.80826</w:t>
            </w:r>
          </w:p>
        </w:tc>
        <w:tc>
          <w:tcPr>
            <w:tcW w:type="dxa" w:w="323"/>
            <w:vAlign w:val="center"/>
          </w:tcPr>
          <w:p>
            <w:r>
              <w:rPr>
                <w:rFonts w:ascii="Arial" w:hAnsi="Arial"/>
                <w:color w:val="000000"/>
                <w:sz w:val="14"/>
              </w:rPr>
              <w:t>0.19723</w:t>
            </w:r>
          </w:p>
        </w:tc>
        <w:tc>
          <w:tcPr>
            <w:tcW w:type="dxa" w:w="323"/>
            <w:vAlign w:val="center"/>
          </w:tcPr>
          <w:p>
            <w:r>
              <w:rPr>
                <w:rFonts w:ascii="Arial" w:hAnsi="Arial"/>
                <w:color w:val="000000"/>
                <w:sz w:val="14"/>
              </w:rPr>
              <w:t>0.033654</w:t>
            </w:r>
          </w:p>
        </w:tc>
        <w:tc>
          <w:tcPr>
            <w:tcW w:type="dxa" w:w="323"/>
            <w:vAlign w:val="center"/>
          </w:tcPr>
          <w:p>
            <w:r>
              <w:rPr>
                <w:rFonts w:ascii="Arial" w:hAnsi="Arial"/>
                <w:color w:val="000000"/>
                <w:sz w:val="14"/>
              </w:rPr>
              <w:t>0.22222</w:t>
            </w:r>
          </w:p>
        </w:tc>
        <w:tc>
          <w:tcPr>
            <w:tcW w:type="dxa" w:w="323"/>
            <w:vAlign w:val="center"/>
          </w:tcPr>
          <w:p>
            <w:r>
              <w:rPr>
                <w:rFonts w:ascii="Arial" w:hAnsi="Arial"/>
                <w:color w:val="000000"/>
                <w:sz w:val="14"/>
              </w:rPr>
              <w:t>0.9115</w:t>
            </w:r>
          </w:p>
        </w:tc>
        <w:tc>
          <w:tcPr>
            <w:tcW w:type="dxa" w:w="323"/>
            <w:vAlign w:val="center"/>
          </w:tcPr>
          <w:p>
            <w:r>
              <w:rPr>
                <w:rFonts w:ascii="Arial" w:hAnsi="Arial"/>
                <w:color w:val="000000"/>
                <w:sz w:val="14"/>
              </w:rPr>
              <w:t>2.7074</w:t>
            </w:r>
          </w:p>
        </w:tc>
        <w:tc>
          <w:tcPr>
            <w:tcW w:type="dxa" w:w="323"/>
            <w:vAlign w:val="center"/>
          </w:tcPr>
          <w:p>
            <w:r>
              <w:rPr>
                <w:rFonts w:ascii="Arial" w:hAnsi="Arial"/>
                <w:color w:val="000000"/>
                <w:sz w:val="14"/>
              </w:rPr>
              <w:t>1.2224</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2009</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2008</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9</w:t>
            </w:r>
          </w:p>
        </w:tc>
        <w:tc>
          <w:tcPr>
            <w:tcW w:type="dxa" w:w="323"/>
            <w:vAlign w:val="center"/>
          </w:tcPr>
          <w:p>
            <w:r>
              <w:rPr>
                <w:rFonts w:ascii="Arial" w:hAnsi="Arial"/>
                <w:color w:val="000000"/>
                <w:sz w:val="14"/>
              </w:rPr>
              <w:t>0.065834</w:t>
            </w:r>
          </w:p>
        </w:tc>
        <w:tc>
          <w:tcPr>
            <w:tcW w:type="dxa" w:w="323"/>
            <w:vAlign w:val="center"/>
          </w:tcPr>
          <w:p>
            <w:r>
              <w:rPr>
                <w:rFonts w:ascii="Arial" w:hAnsi="Arial"/>
                <w:color w:val="000000"/>
                <w:sz w:val="14"/>
              </w:rPr>
              <w:t>0.92822</w:t>
            </w:r>
          </w:p>
        </w:tc>
        <w:tc>
          <w:tcPr>
            <w:tcW w:type="dxa" w:w="323"/>
            <w:vAlign w:val="center"/>
          </w:tcPr>
          <w:p>
            <w:r>
              <w:rPr>
                <w:rFonts w:ascii="Arial" w:hAnsi="Arial"/>
                <w:color w:val="000000"/>
                <w:sz w:val="14"/>
              </w:rPr>
              <w:t>0.49667</w:t>
            </w:r>
          </w:p>
        </w:tc>
        <w:tc>
          <w:tcPr>
            <w:tcW w:type="dxa" w:w="323"/>
            <w:vAlign w:val="center"/>
          </w:tcPr>
          <w:p>
            <w:r>
              <w:rPr>
                <w:rFonts w:ascii="Arial" w:hAnsi="Arial"/>
                <w:color w:val="000000"/>
                <w:sz w:val="14"/>
              </w:rPr>
              <w:t>0.047066</w:t>
            </w:r>
          </w:p>
        </w:tc>
        <w:tc>
          <w:tcPr>
            <w:tcW w:type="dxa" w:w="323"/>
            <w:vAlign w:val="center"/>
          </w:tcPr>
          <w:p>
            <w:r>
              <w:rPr>
                <w:rFonts w:ascii="Arial" w:hAnsi="Arial"/>
                <w:color w:val="000000"/>
                <w:sz w:val="14"/>
              </w:rPr>
              <w:t>0.66667</w:t>
            </w:r>
          </w:p>
        </w:tc>
        <w:tc>
          <w:tcPr>
            <w:tcW w:type="dxa" w:w="323"/>
            <w:vAlign w:val="center"/>
          </w:tcPr>
          <w:p>
            <w:r>
              <w:rPr>
                <w:rFonts w:ascii="Arial" w:hAnsi="Arial"/>
                <w:color w:val="000000"/>
                <w:sz w:val="14"/>
              </w:rPr>
              <w:t>0.9292</w:t>
            </w:r>
          </w:p>
        </w:tc>
        <w:tc>
          <w:tcPr>
            <w:tcW w:type="dxa" w:w="323"/>
            <w:vAlign w:val="center"/>
          </w:tcPr>
          <w:p>
            <w:r>
              <w:rPr>
                <w:rFonts w:ascii="Arial" w:hAnsi="Arial"/>
                <w:color w:val="000000"/>
                <w:sz w:val="14"/>
              </w:rPr>
              <w:t>2.6012</w:t>
            </w:r>
          </w:p>
        </w:tc>
        <w:tc>
          <w:tcPr>
            <w:tcW w:type="dxa" w:w="323"/>
            <w:vAlign w:val="center"/>
          </w:tcPr>
          <w:p>
            <w:r>
              <w:rPr>
                <w:rFonts w:ascii="Arial" w:hAnsi="Arial"/>
                <w:color w:val="000000"/>
                <w:sz w:val="14"/>
              </w:rPr>
              <w:t>1.1725</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2010</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19</w:t>
            </w:r>
          </w:p>
        </w:tc>
        <w:tc>
          <w:tcPr>
            <w:tcW w:type="dxa" w:w="323"/>
            <w:vAlign w:val="center"/>
          </w:tcPr>
          <w:p>
            <w:r>
              <w:rPr>
                <w:rFonts w:ascii="Arial" w:hAnsi="Arial"/>
                <w:color w:val="000000"/>
                <w:sz w:val="14"/>
              </w:rPr>
              <w:t>0.1445</w:t>
            </w:r>
          </w:p>
        </w:tc>
        <w:tc>
          <w:tcPr>
            <w:tcW w:type="dxa" w:w="323"/>
            <w:vAlign w:val="center"/>
          </w:tcPr>
          <w:p>
            <w:r>
              <w:rPr>
                <w:rFonts w:ascii="Arial" w:hAnsi="Arial"/>
                <w:color w:val="000000"/>
                <w:sz w:val="14"/>
              </w:rPr>
              <w:t>0.90751</w:t>
            </w:r>
          </w:p>
        </w:tc>
        <w:tc>
          <w:tcPr>
            <w:tcW w:type="dxa" w:w="323"/>
            <w:vAlign w:val="center"/>
          </w:tcPr>
          <w:p>
            <w:r>
              <w:rPr>
                <w:rFonts w:ascii="Arial" w:hAnsi="Arial"/>
                <w:color w:val="000000"/>
                <w:sz w:val="14"/>
              </w:rPr>
              <w:t>0.70041</w:t>
            </w:r>
          </w:p>
        </w:tc>
        <w:tc>
          <w:tcPr>
            <w:tcW w:type="dxa" w:w="323"/>
            <w:vAlign w:val="center"/>
          </w:tcPr>
          <w:p>
            <w:r>
              <w:rPr>
                <w:rFonts w:ascii="Arial" w:hAnsi="Arial"/>
                <w:color w:val="000000"/>
                <w:sz w:val="14"/>
              </w:rPr>
              <w:t>0.032841</w:t>
            </w:r>
          </w:p>
        </w:tc>
        <w:tc>
          <w:tcPr>
            <w:tcW w:type="dxa" w:w="323"/>
            <w:vAlign w:val="center"/>
          </w:tcPr>
          <w:p>
            <w:r>
              <w:rPr>
                <w:rFonts w:ascii="Arial" w:hAnsi="Arial"/>
                <w:color w:val="000000"/>
                <w:sz w:val="14"/>
              </w:rPr>
              <w:t>0.78947</w:t>
            </w:r>
          </w:p>
        </w:tc>
        <w:tc>
          <w:tcPr>
            <w:tcW w:type="dxa" w:w="323"/>
            <w:vAlign w:val="center"/>
          </w:tcPr>
          <w:p>
            <w:r>
              <w:rPr>
                <w:rFonts w:ascii="Arial" w:hAnsi="Arial"/>
                <w:color w:val="000000"/>
                <w:sz w:val="14"/>
              </w:rPr>
              <w:t>0.90291</w:t>
            </w:r>
          </w:p>
        </w:tc>
        <w:tc>
          <w:tcPr>
            <w:tcW w:type="dxa" w:w="323"/>
            <w:vAlign w:val="center"/>
          </w:tcPr>
          <w:p>
            <w:r>
              <w:rPr>
                <w:rFonts w:ascii="Arial" w:hAnsi="Arial"/>
                <w:color w:val="000000"/>
                <w:sz w:val="14"/>
              </w:rPr>
              <w:t>8.2585</w:t>
            </w:r>
          </w:p>
        </w:tc>
        <w:tc>
          <w:tcPr>
            <w:tcW w:type="dxa" w:w="323"/>
            <w:vAlign w:val="center"/>
          </w:tcPr>
          <w:p>
            <w:r>
              <w:rPr>
                <w:rFonts w:ascii="Arial" w:hAnsi="Arial"/>
                <w:color w:val="000000"/>
                <w:sz w:val="14"/>
              </w:rPr>
              <w:t>2.6245</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2010</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19</w:t>
            </w:r>
          </w:p>
        </w:tc>
        <w:tc>
          <w:tcPr>
            <w:tcW w:type="dxa" w:w="323"/>
            <w:vAlign w:val="center"/>
          </w:tcPr>
          <w:p>
            <w:r>
              <w:rPr>
                <w:rFonts w:ascii="Arial" w:hAnsi="Arial"/>
                <w:color w:val="000000"/>
                <w:sz w:val="14"/>
              </w:rPr>
              <w:t>0.12605</w:t>
            </w:r>
          </w:p>
        </w:tc>
        <w:tc>
          <w:tcPr>
            <w:tcW w:type="dxa" w:w="323"/>
            <w:vAlign w:val="center"/>
          </w:tcPr>
          <w:p>
            <w:r>
              <w:rPr>
                <w:rFonts w:ascii="Arial" w:hAnsi="Arial"/>
                <w:color w:val="000000"/>
                <w:sz w:val="14"/>
              </w:rPr>
              <w:t>0.9397</w:t>
            </w:r>
          </w:p>
        </w:tc>
        <w:tc>
          <w:tcPr>
            <w:tcW w:type="dxa" w:w="323"/>
            <w:vAlign w:val="center"/>
          </w:tcPr>
          <w:p>
            <w:r>
              <w:rPr>
                <w:rFonts w:ascii="Arial" w:hAnsi="Arial"/>
                <w:color w:val="000000"/>
                <w:sz w:val="14"/>
              </w:rPr>
              <w:t>0.79944</w:t>
            </w:r>
          </w:p>
        </w:tc>
        <w:tc>
          <w:tcPr>
            <w:tcW w:type="dxa" w:w="323"/>
            <w:vAlign w:val="center"/>
          </w:tcPr>
          <w:p>
            <w:r>
              <w:rPr>
                <w:rFonts w:ascii="Arial" w:hAnsi="Arial"/>
                <w:color w:val="000000"/>
                <w:sz w:val="14"/>
              </w:rPr>
              <w:t>0.040212</w:t>
            </w:r>
          </w:p>
        </w:tc>
        <w:tc>
          <w:tcPr>
            <w:tcW w:type="dxa" w:w="323"/>
            <w:vAlign w:val="center"/>
          </w:tcPr>
          <w:p>
            <w:r>
              <w:rPr>
                <w:rFonts w:ascii="Arial" w:hAnsi="Arial"/>
                <w:color w:val="000000"/>
                <w:sz w:val="14"/>
              </w:rPr>
              <w:t>0.63158</w:t>
            </w:r>
          </w:p>
        </w:tc>
        <w:tc>
          <w:tcPr>
            <w:tcW w:type="dxa" w:w="323"/>
            <w:vAlign w:val="center"/>
          </w:tcPr>
          <w:p>
            <w:r>
              <w:rPr>
                <w:rFonts w:ascii="Arial" w:hAnsi="Arial"/>
                <w:color w:val="000000"/>
                <w:sz w:val="14"/>
              </w:rPr>
              <w:t>0.95146</w:t>
            </w:r>
          </w:p>
        </w:tc>
        <w:tc>
          <w:tcPr>
            <w:tcW w:type="dxa" w:w="323"/>
            <w:vAlign w:val="center"/>
          </w:tcPr>
          <w:p>
            <w:r>
              <w:rPr>
                <w:rFonts w:ascii="Arial" w:hAnsi="Arial"/>
                <w:color w:val="000000"/>
                <w:sz w:val="14"/>
              </w:rPr>
              <w:t>3.5025</w:t>
            </w:r>
          </w:p>
        </w:tc>
        <w:tc>
          <w:tcPr>
            <w:tcW w:type="dxa" w:w="323"/>
            <w:vAlign w:val="center"/>
          </w:tcPr>
          <w:p>
            <w:r>
              <w:rPr>
                <w:rFonts w:ascii="Arial" w:hAnsi="Arial"/>
                <w:color w:val="000000"/>
                <w:sz w:val="14"/>
              </w:rPr>
              <w:t>1.2488</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2011</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0.0015598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0.028066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0.61475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2011</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0.00066334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0.047392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0.90984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2012</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0.0012653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0.02872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0.63115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2012</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0.00064058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0.044295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0.91803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2013</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0.0010308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0.030277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0.65574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2013</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0.0026981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0.052271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0.90164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2014</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15</w:t>
            </w:r>
          </w:p>
        </w:tc>
        <w:tc>
          <w:tcPr>
            <w:tcW w:type="dxa" w:w="323"/>
            <w:vAlign w:val="center"/>
          </w:tcPr>
          <w:p>
            <w:r>
              <w:rPr>
                <w:rFonts w:ascii="Arial" w:hAnsi="Arial"/>
                <w:color w:val="000000"/>
                <w:sz w:val="14"/>
              </w:rPr>
              <w:t>0.11519</w:t>
            </w:r>
          </w:p>
        </w:tc>
        <w:tc>
          <w:tcPr>
            <w:tcW w:type="dxa" w:w="323"/>
            <w:vAlign w:val="center"/>
          </w:tcPr>
          <w:p>
            <w:r>
              <w:rPr>
                <w:rFonts w:ascii="Arial" w:hAnsi="Arial"/>
                <w:color w:val="000000"/>
                <w:sz w:val="14"/>
              </w:rPr>
              <w:t>0.70717</w:t>
            </w:r>
          </w:p>
        </w:tc>
        <w:tc>
          <w:tcPr>
            <w:tcW w:type="dxa" w:w="323"/>
            <w:vAlign w:val="center"/>
          </w:tcPr>
          <w:p>
            <w:r>
              <w:rPr>
                <w:rFonts w:ascii="Arial" w:hAnsi="Arial"/>
                <w:color w:val="000000"/>
                <w:sz w:val="14"/>
              </w:rPr>
              <w:t>0.47612</w:t>
            </w:r>
          </w:p>
        </w:tc>
        <w:tc>
          <w:tcPr>
            <w:tcW w:type="dxa" w:w="323"/>
            <w:vAlign w:val="center"/>
          </w:tcPr>
          <w:p>
            <w:r>
              <w:rPr>
                <w:rFonts w:ascii="Arial" w:hAnsi="Arial"/>
                <w:color w:val="000000"/>
                <w:sz w:val="14"/>
              </w:rPr>
              <w:t>0.030878</w:t>
            </w:r>
          </w:p>
        </w:tc>
        <w:tc>
          <w:tcPr>
            <w:tcW w:type="dxa" w:w="323"/>
            <w:vAlign w:val="center"/>
          </w:tcPr>
          <w:p>
            <w:r>
              <w:rPr>
                <w:rFonts w:ascii="Arial" w:hAnsi="Arial"/>
                <w:color w:val="000000"/>
                <w:sz w:val="14"/>
              </w:rPr>
              <w:t>0.46667</w:t>
            </w:r>
          </w:p>
        </w:tc>
        <w:tc>
          <w:tcPr>
            <w:tcW w:type="dxa" w:w="323"/>
            <w:vAlign w:val="center"/>
          </w:tcPr>
          <w:p>
            <w:r>
              <w:rPr>
                <w:rFonts w:ascii="Arial" w:hAnsi="Arial"/>
                <w:color w:val="000000"/>
                <w:sz w:val="14"/>
              </w:rPr>
              <w:t>0.70093</w:t>
            </w:r>
          </w:p>
        </w:tc>
        <w:tc>
          <w:tcPr>
            <w:tcW w:type="dxa" w:w="323"/>
            <w:vAlign w:val="center"/>
          </w:tcPr>
          <w:p>
            <w:r>
              <w:rPr>
                <w:rFonts w:ascii="Arial" w:hAnsi="Arial"/>
                <w:color w:val="000000"/>
                <w:sz w:val="14"/>
              </w:rPr>
              <w:t>0.11645</w:t>
            </w:r>
          </w:p>
        </w:tc>
        <w:tc>
          <w:tcPr>
            <w:tcW w:type="dxa" w:w="323"/>
            <w:vAlign w:val="center"/>
          </w:tcPr>
          <w:p>
            <w:r>
              <w:rPr>
                <w:rFonts w:ascii="Arial" w:hAnsi="Arial"/>
                <w:color w:val="000000"/>
                <w:sz w:val="14"/>
              </w:rPr>
              <w:t>0.45933</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2014</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15</w:t>
            </w:r>
          </w:p>
        </w:tc>
        <w:tc>
          <w:tcPr>
            <w:tcW w:type="dxa" w:w="323"/>
            <w:vAlign w:val="center"/>
          </w:tcPr>
          <w:p>
            <w:r>
              <w:rPr>
                <w:rFonts w:ascii="Arial" w:hAnsi="Arial"/>
                <w:color w:val="000000"/>
                <w:sz w:val="14"/>
              </w:rPr>
              <w:t>0.10276</w:t>
            </w:r>
          </w:p>
        </w:tc>
        <w:tc>
          <w:tcPr>
            <w:tcW w:type="dxa" w:w="323"/>
            <w:vAlign w:val="center"/>
          </w:tcPr>
          <w:p>
            <w:r>
              <w:rPr>
                <w:rFonts w:ascii="Arial" w:hAnsi="Arial"/>
                <w:color w:val="000000"/>
                <w:sz w:val="14"/>
              </w:rPr>
              <w:t>0.919</w:t>
            </w:r>
          </w:p>
        </w:tc>
        <w:tc>
          <w:tcPr>
            <w:tcW w:type="dxa" w:w="323"/>
            <w:vAlign w:val="center"/>
          </w:tcPr>
          <w:p>
            <w:r>
              <w:rPr>
                <w:rFonts w:ascii="Arial" w:hAnsi="Arial"/>
                <w:color w:val="000000"/>
                <w:sz w:val="14"/>
              </w:rPr>
              <w:t>0.66801</w:t>
            </w:r>
          </w:p>
        </w:tc>
        <w:tc>
          <w:tcPr>
            <w:tcW w:type="dxa" w:w="323"/>
            <w:vAlign w:val="center"/>
          </w:tcPr>
          <w:p>
            <w:r>
              <w:rPr>
                <w:rFonts w:ascii="Arial" w:hAnsi="Arial"/>
                <w:color w:val="000000"/>
                <w:sz w:val="14"/>
              </w:rPr>
              <w:t>0.046496</w:t>
            </w:r>
          </w:p>
        </w:tc>
        <w:tc>
          <w:tcPr>
            <w:tcW w:type="dxa" w:w="323"/>
            <w:vAlign w:val="center"/>
          </w:tcPr>
          <w:p>
            <w:r>
              <w:rPr>
                <w:rFonts w:ascii="Arial" w:hAnsi="Arial"/>
                <w:color w:val="000000"/>
                <w:sz w:val="14"/>
              </w:rPr>
              <w:t>0.6</w:t>
            </w:r>
          </w:p>
        </w:tc>
        <w:tc>
          <w:tcPr>
            <w:tcW w:type="dxa" w:w="323"/>
            <w:vAlign w:val="center"/>
          </w:tcPr>
          <w:p>
            <w:r>
              <w:rPr>
                <w:rFonts w:ascii="Arial" w:hAnsi="Arial"/>
                <w:color w:val="000000"/>
                <w:sz w:val="14"/>
              </w:rPr>
              <w:t>0.8972</w:t>
            </w:r>
          </w:p>
        </w:tc>
        <w:tc>
          <w:tcPr>
            <w:tcW w:type="dxa" w:w="323"/>
            <w:vAlign w:val="center"/>
          </w:tcPr>
          <w:p>
            <w:r>
              <w:rPr>
                <w:rFonts w:ascii="Arial" w:hAnsi="Arial"/>
                <w:color w:val="000000"/>
                <w:sz w:val="14"/>
              </w:rPr>
              <w:t>3.7779</w:t>
            </w:r>
          </w:p>
        </w:tc>
        <w:tc>
          <w:tcPr>
            <w:tcW w:type="dxa" w:w="323"/>
            <w:vAlign w:val="center"/>
          </w:tcPr>
          <w:p>
            <w:r>
              <w:rPr>
                <w:rFonts w:ascii="Arial" w:hAnsi="Arial"/>
                <w:color w:val="000000"/>
                <w:sz w:val="14"/>
              </w:rPr>
              <w:t>1.5201</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2015</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2014</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0.0014344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0.056943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0.82787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2015</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2014</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0.00036583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0.035515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0.93443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2016</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2015</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7</w:t>
            </w:r>
          </w:p>
        </w:tc>
        <w:tc>
          <w:tcPr>
            <w:tcW w:type="dxa" w:w="323"/>
            <w:vAlign w:val="center"/>
          </w:tcPr>
          <w:p>
            <w:r>
              <w:rPr>
                <w:rFonts w:ascii="Arial" w:hAnsi="Arial"/>
                <w:color w:val="000000"/>
                <w:sz w:val="14"/>
              </w:rPr>
              <w:t>0.051725</w:t>
            </w:r>
          </w:p>
        </w:tc>
        <w:tc>
          <w:tcPr>
            <w:tcW w:type="dxa" w:w="323"/>
            <w:vAlign w:val="center"/>
          </w:tcPr>
          <w:p>
            <w:r>
              <w:rPr>
                <w:rFonts w:ascii="Arial" w:hAnsi="Arial"/>
                <w:color w:val="000000"/>
                <w:sz w:val="14"/>
              </w:rPr>
              <w:t>0.89068</w:t>
            </w:r>
          </w:p>
        </w:tc>
        <w:tc>
          <w:tcPr>
            <w:tcW w:type="dxa" w:w="323"/>
            <w:vAlign w:val="center"/>
          </w:tcPr>
          <w:p>
            <w:r>
              <w:rPr>
                <w:rFonts w:ascii="Arial" w:hAnsi="Arial"/>
                <w:color w:val="000000"/>
                <w:sz w:val="14"/>
              </w:rPr>
              <w:t>0.22634</w:t>
            </w:r>
          </w:p>
        </w:tc>
        <w:tc>
          <w:tcPr>
            <w:tcW w:type="dxa" w:w="323"/>
            <w:vAlign w:val="center"/>
          </w:tcPr>
          <w:p>
            <w:r>
              <w:rPr>
                <w:rFonts w:ascii="Arial" w:hAnsi="Arial"/>
                <w:color w:val="000000"/>
                <w:sz w:val="14"/>
              </w:rPr>
              <w:t>0.052459</w:t>
            </w:r>
          </w:p>
        </w:tc>
        <w:tc>
          <w:tcPr>
            <w:tcW w:type="dxa" w:w="323"/>
            <w:vAlign w:val="center"/>
          </w:tcPr>
          <w:p>
            <w:r>
              <w:rPr>
                <w:rFonts w:ascii="Arial" w:hAnsi="Arial"/>
                <w:color w:val="000000"/>
                <w:sz w:val="14"/>
              </w:rPr>
              <w:t>0.71429</w:t>
            </w:r>
          </w:p>
        </w:tc>
        <w:tc>
          <w:tcPr>
            <w:tcW w:type="dxa" w:w="323"/>
            <w:vAlign w:val="center"/>
          </w:tcPr>
          <w:p>
            <w:r>
              <w:rPr>
                <w:rFonts w:ascii="Arial" w:hAnsi="Arial"/>
                <w:color w:val="000000"/>
                <w:sz w:val="14"/>
              </w:rPr>
              <w:t>0.86087</w:t>
            </w:r>
          </w:p>
        </w:tc>
        <w:tc>
          <w:tcPr>
            <w:tcW w:type="dxa" w:w="323"/>
            <w:vAlign w:val="center"/>
          </w:tcPr>
          <w:p>
            <w:r>
              <w:rPr>
                <w:rFonts w:ascii="Arial" w:hAnsi="Arial"/>
                <w:color w:val="000000"/>
                <w:sz w:val="14"/>
              </w:rPr>
              <w:t>7.2082</w:t>
            </w:r>
          </w:p>
        </w:tc>
        <w:tc>
          <w:tcPr>
            <w:tcW w:type="dxa" w:w="323"/>
            <w:vAlign w:val="center"/>
          </w:tcPr>
          <w:p>
            <w:r>
              <w:rPr>
                <w:rFonts w:ascii="Arial" w:hAnsi="Arial"/>
                <w:color w:val="000000"/>
                <w:sz w:val="14"/>
              </w:rPr>
              <w:t>3.1408</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2016</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2015</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7</w:t>
            </w:r>
          </w:p>
        </w:tc>
        <w:tc>
          <w:tcPr>
            <w:tcW w:type="dxa" w:w="323"/>
            <w:vAlign w:val="center"/>
          </w:tcPr>
          <w:p>
            <w:r>
              <w:rPr>
                <w:rFonts w:ascii="Arial" w:hAnsi="Arial"/>
                <w:color w:val="000000"/>
                <w:sz w:val="14"/>
              </w:rPr>
              <w:t>0.044473</w:t>
            </w:r>
          </w:p>
        </w:tc>
        <w:tc>
          <w:tcPr>
            <w:tcW w:type="dxa" w:w="323"/>
            <w:vAlign w:val="center"/>
          </w:tcPr>
          <w:p>
            <w:r>
              <w:rPr>
                <w:rFonts w:ascii="Arial" w:hAnsi="Arial"/>
                <w:color w:val="000000"/>
                <w:sz w:val="14"/>
              </w:rPr>
              <w:t>0.97019</w:t>
            </w:r>
          </w:p>
        </w:tc>
        <w:tc>
          <w:tcPr>
            <w:tcW w:type="dxa" w:w="323"/>
            <w:vAlign w:val="center"/>
          </w:tcPr>
          <w:p>
            <w:r>
              <w:rPr>
                <w:rFonts w:ascii="Arial" w:hAnsi="Arial"/>
                <w:color w:val="000000"/>
                <w:sz w:val="14"/>
              </w:rPr>
              <w:t>0.65958</w:t>
            </w:r>
          </w:p>
        </w:tc>
        <w:tc>
          <w:tcPr>
            <w:tcW w:type="dxa" w:w="323"/>
            <w:vAlign w:val="center"/>
          </w:tcPr>
          <w:p>
            <w:r>
              <w:rPr>
                <w:rFonts w:ascii="Arial" w:hAnsi="Arial"/>
                <w:color w:val="000000"/>
                <w:sz w:val="14"/>
              </w:rPr>
              <w:t>0.035478</w:t>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t>0.91304</w:t>
            </w:r>
          </w:p>
        </w:tc>
        <w:tc>
          <w:tcPr>
            <w:tcW w:type="dxa" w:w="323"/>
            <w:vAlign w:val="center"/>
          </w:tcPr>
          <w:p>
            <w:r>
              <w:rPr>
                <w:rFonts w:ascii="Arial" w:hAnsi="Arial"/>
                <w:color w:val="000000"/>
                <w:sz w:val="14"/>
              </w:rPr>
              <w:t>5.158</w:t>
            </w:r>
          </w:p>
        </w:tc>
        <w:tc>
          <w:tcPr>
            <w:tcW w:type="dxa" w:w="323"/>
            <w:vAlign w:val="center"/>
          </w:tcPr>
          <w:p>
            <w:r>
              <w:rPr>
                <w:rFonts w:ascii="Arial" w:hAnsi="Arial"/>
                <w:color w:val="000000"/>
                <w:sz w:val="14"/>
              </w:rPr>
              <w:t>2.7129</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2017</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2016</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0.0014384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0.052483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0.81148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2017</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2016</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0.00038188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0.037706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0.94262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2018</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2017</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0.0012007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0.051796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0.82787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2018</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2017</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2.827e-05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0.037356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2019</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2018</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0.0010055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0.050483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0.84426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2019</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2018</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0.0016094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0.036819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0.87705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2020</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0.0008445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0.045268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0.83607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2020</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0.00044144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0.037039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0.89344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2021</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12</w:t>
            </w:r>
          </w:p>
        </w:tc>
        <w:tc>
          <w:tcPr>
            <w:tcW w:type="dxa" w:w="323"/>
            <w:vAlign w:val="center"/>
          </w:tcPr>
          <w:p>
            <w:r>
              <w:rPr>
                <w:rFonts w:ascii="Arial" w:hAnsi="Arial"/>
                <w:color w:val="000000"/>
                <w:sz w:val="14"/>
              </w:rPr>
              <w:t>0.088662</w:t>
            </w:r>
          </w:p>
        </w:tc>
        <w:tc>
          <w:tcPr>
            <w:tcW w:type="dxa" w:w="323"/>
            <w:vAlign w:val="center"/>
          </w:tcPr>
          <w:p>
            <w:r>
              <w:rPr>
                <w:rFonts w:ascii="Arial" w:hAnsi="Arial"/>
                <w:color w:val="000000"/>
                <w:sz w:val="14"/>
              </w:rPr>
              <w:t>0.96439</w:t>
            </w:r>
          </w:p>
        </w:tc>
        <w:tc>
          <w:tcPr>
            <w:tcW w:type="dxa" w:w="323"/>
            <w:vAlign w:val="center"/>
          </w:tcPr>
          <w:p>
            <w:r>
              <w:rPr>
                <w:rFonts w:ascii="Arial" w:hAnsi="Arial"/>
                <w:color w:val="000000"/>
                <w:sz w:val="14"/>
              </w:rPr>
              <w:t>0.60698</w:t>
            </w:r>
          </w:p>
        </w:tc>
        <w:tc>
          <w:tcPr>
            <w:tcW w:type="dxa" w:w="323"/>
            <w:vAlign w:val="center"/>
          </w:tcPr>
          <w:p>
            <w:r>
              <w:rPr>
                <w:rFonts w:ascii="Arial" w:hAnsi="Arial"/>
                <w:color w:val="000000"/>
                <w:sz w:val="14"/>
              </w:rPr>
              <w:t>0.036971</w:t>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t>0.9</w:t>
            </w:r>
          </w:p>
        </w:tc>
        <w:tc>
          <w:tcPr>
            <w:tcW w:type="dxa" w:w="323"/>
            <w:vAlign w:val="center"/>
          </w:tcPr>
          <w:p>
            <w:r>
              <w:rPr>
                <w:rFonts w:ascii="Arial" w:hAnsi="Arial"/>
                <w:color w:val="000000"/>
                <w:sz w:val="14"/>
              </w:rPr>
              <w:t>20.65</w:t>
            </w:r>
          </w:p>
        </w:tc>
        <w:tc>
          <w:tcPr>
            <w:tcW w:type="dxa" w:w="323"/>
            <w:vAlign w:val="center"/>
          </w:tcPr>
          <w:p>
            <w:r>
              <w:rPr>
                <w:rFonts w:ascii="Arial" w:hAnsi="Arial"/>
                <w:color w:val="000000"/>
                <w:sz w:val="14"/>
              </w:rPr>
              <w:t>7.0472</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2021</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12</w:t>
            </w:r>
          </w:p>
        </w:tc>
        <w:tc>
          <w:tcPr>
            <w:tcW w:type="dxa" w:w="323"/>
            <w:vAlign w:val="center"/>
          </w:tcPr>
          <w:p>
            <w:r>
              <w:rPr>
                <w:rFonts w:ascii="Arial" w:hAnsi="Arial"/>
                <w:color w:val="000000"/>
                <w:sz w:val="14"/>
              </w:rPr>
              <w:t>0.076528</w:t>
            </w:r>
          </w:p>
        </w:tc>
        <w:tc>
          <w:tcPr>
            <w:tcW w:type="dxa" w:w="323"/>
            <w:vAlign w:val="center"/>
          </w:tcPr>
          <w:p>
            <w:r>
              <w:rPr>
                <w:rFonts w:ascii="Arial" w:hAnsi="Arial"/>
                <w:color w:val="000000"/>
                <w:sz w:val="14"/>
              </w:rPr>
              <w:t>0.95379</w:t>
            </w:r>
          </w:p>
        </w:tc>
        <w:tc>
          <w:tcPr>
            <w:tcW w:type="dxa" w:w="323"/>
            <w:vAlign w:val="center"/>
          </w:tcPr>
          <w:p>
            <w:r>
              <w:rPr>
                <w:rFonts w:ascii="Arial" w:hAnsi="Arial"/>
                <w:color w:val="000000"/>
                <w:sz w:val="14"/>
              </w:rPr>
              <w:t>0.69237</w:t>
            </w:r>
          </w:p>
        </w:tc>
        <w:tc>
          <w:tcPr>
            <w:tcW w:type="dxa" w:w="323"/>
            <w:vAlign w:val="center"/>
          </w:tcPr>
          <w:p>
            <w:r>
              <w:rPr>
                <w:rFonts w:ascii="Arial" w:hAnsi="Arial"/>
                <w:color w:val="000000"/>
                <w:sz w:val="14"/>
              </w:rPr>
              <w:t>0.038216</w:t>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t>0.82727</w:t>
            </w:r>
          </w:p>
        </w:tc>
        <w:tc>
          <w:tcPr>
            <w:tcW w:type="dxa" w:w="323"/>
            <w:vAlign w:val="center"/>
          </w:tcPr>
          <w:p>
            <w:r>
              <w:rPr>
                <w:rFonts w:ascii="Arial" w:hAnsi="Arial"/>
                <w:color w:val="000000"/>
                <w:sz w:val="14"/>
              </w:rPr>
              <w:t>4.5213</w:t>
            </w:r>
          </w:p>
        </w:tc>
        <w:tc>
          <w:tcPr>
            <w:tcW w:type="dxa" w:w="323"/>
            <w:vAlign w:val="center"/>
          </w:tcPr>
          <w:p>
            <w:r>
              <w:rPr>
                <w:rFonts w:ascii="Arial" w:hAnsi="Arial"/>
                <w:color w:val="000000"/>
                <w:sz w:val="14"/>
              </w:rPr>
              <w:t>2.2585</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2022</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0.0011612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0.050517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0.82787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2022</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0.0012948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0.040204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0.84426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28</w:t>
            </w:r>
          </w:p>
        </w:tc>
        <w:tc>
          <w:tcPr>
            <w:tcW w:type="dxa" w:w="323"/>
            <w:vAlign w:val="center"/>
          </w:tcPr>
          <w:p>
            <w:r>
              <w:rPr>
                <w:rFonts w:ascii="Arial" w:hAnsi="Arial"/>
                <w:color w:val="000000"/>
                <w:sz w:val="14"/>
              </w:rPr>
              <w:t>0.21464</w:t>
            </w:r>
          </w:p>
        </w:tc>
        <w:tc>
          <w:tcPr>
            <w:tcW w:type="dxa" w:w="323"/>
            <w:vAlign w:val="center"/>
          </w:tcPr>
          <w:p>
            <w:r>
              <w:rPr>
                <w:rFonts w:ascii="Arial" w:hAnsi="Arial"/>
                <w:color w:val="000000"/>
                <w:sz w:val="14"/>
              </w:rPr>
              <w:t>0.73366</w:t>
            </w:r>
          </w:p>
        </w:tc>
        <w:tc>
          <w:tcPr>
            <w:tcW w:type="dxa" w:w="323"/>
            <w:vAlign w:val="center"/>
          </w:tcPr>
          <w:p>
            <w:r>
              <w:rPr>
                <w:rFonts w:ascii="Arial" w:hAnsi="Arial"/>
                <w:color w:val="000000"/>
                <w:sz w:val="14"/>
              </w:rPr>
              <w:t>0.37878</w:t>
            </w:r>
          </w:p>
        </w:tc>
        <w:tc>
          <w:tcPr>
            <w:tcW w:type="dxa" w:w="323"/>
            <w:vAlign w:val="center"/>
          </w:tcPr>
          <w:p>
            <w:r>
              <w:rPr>
                <w:rFonts w:ascii="Arial" w:hAnsi="Arial"/>
                <w:color w:val="000000"/>
                <w:sz w:val="14"/>
              </w:rPr>
              <w:t>0.048303</w:t>
            </w:r>
          </w:p>
        </w:tc>
        <w:tc>
          <w:tcPr>
            <w:tcW w:type="dxa" w:w="323"/>
            <w:vAlign w:val="center"/>
          </w:tcPr>
          <w:p>
            <w:r>
              <w:rPr>
                <w:rFonts w:ascii="Arial" w:hAnsi="Arial"/>
                <w:color w:val="000000"/>
                <w:sz w:val="14"/>
              </w:rPr>
              <w:t>0.32143</w:t>
            </w:r>
          </w:p>
        </w:tc>
        <w:tc>
          <w:tcPr>
            <w:tcW w:type="dxa" w:w="323"/>
            <w:vAlign w:val="center"/>
          </w:tcPr>
          <w:p>
            <w:r>
              <w:rPr>
                <w:rFonts w:ascii="Arial" w:hAnsi="Arial"/>
                <w:color w:val="000000"/>
                <w:sz w:val="14"/>
              </w:rPr>
              <w:t>0.88298</w:t>
            </w:r>
          </w:p>
        </w:tc>
        <w:tc>
          <w:tcPr>
            <w:tcW w:type="dxa" w:w="323"/>
            <w:vAlign w:val="center"/>
          </w:tcPr>
          <w:p>
            <w:r>
              <w:rPr>
                <w:rFonts w:ascii="Arial" w:hAnsi="Arial"/>
                <w:color w:val="000000"/>
                <w:sz w:val="14"/>
              </w:rPr>
              <w:t>1.0366</w:t>
            </w:r>
          </w:p>
        </w:tc>
        <w:tc>
          <w:tcPr>
            <w:tcW w:type="dxa" w:w="323"/>
            <w:vAlign w:val="center"/>
          </w:tcPr>
          <w:p>
            <w:r>
              <w:rPr>
                <w:rFonts w:ascii="Arial" w:hAnsi="Arial"/>
                <w:color w:val="000000"/>
                <w:sz w:val="14"/>
              </w:rPr>
              <w:t>0.48572</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28</w:t>
            </w:r>
          </w:p>
        </w:tc>
        <w:tc>
          <w:tcPr>
            <w:tcW w:type="dxa" w:w="323"/>
            <w:vAlign w:val="center"/>
          </w:tcPr>
          <w:p>
            <w:r>
              <w:rPr>
                <w:rFonts w:ascii="Arial" w:hAnsi="Arial"/>
                <w:color w:val="000000"/>
                <w:sz w:val="14"/>
              </w:rPr>
              <w:t>0.18737</w:t>
            </w:r>
          </w:p>
        </w:tc>
        <w:tc>
          <w:tcPr>
            <w:tcW w:type="dxa" w:w="323"/>
            <w:vAlign w:val="center"/>
          </w:tcPr>
          <w:p>
            <w:r>
              <w:rPr>
                <w:rFonts w:ascii="Arial" w:hAnsi="Arial"/>
                <w:color w:val="000000"/>
                <w:sz w:val="14"/>
              </w:rPr>
              <w:t>0.82713</w:t>
            </w:r>
          </w:p>
        </w:tc>
        <w:tc>
          <w:tcPr>
            <w:tcW w:type="dxa" w:w="323"/>
            <w:vAlign w:val="center"/>
          </w:tcPr>
          <w:p>
            <w:r>
              <w:rPr>
                <w:rFonts w:ascii="Arial" w:hAnsi="Arial"/>
                <w:color w:val="000000"/>
                <w:sz w:val="14"/>
              </w:rPr>
              <w:t>0.58081</w:t>
            </w:r>
          </w:p>
        </w:tc>
        <w:tc>
          <w:tcPr>
            <w:tcW w:type="dxa" w:w="323"/>
            <w:vAlign w:val="center"/>
          </w:tcPr>
          <w:p>
            <w:r>
              <w:rPr>
                <w:rFonts w:ascii="Arial" w:hAnsi="Arial"/>
                <w:color w:val="000000"/>
                <w:sz w:val="14"/>
              </w:rPr>
              <w:t>0.040914</w:t>
            </w:r>
          </w:p>
        </w:tc>
        <w:tc>
          <w:tcPr>
            <w:tcW w:type="dxa" w:w="323"/>
            <w:vAlign w:val="center"/>
          </w:tcPr>
          <w:p>
            <w:r>
              <w:rPr>
                <w:rFonts w:ascii="Arial" w:hAnsi="Arial"/>
                <w:color w:val="000000"/>
                <w:sz w:val="14"/>
              </w:rPr>
              <w:t>0.60714</w:t>
            </w:r>
          </w:p>
        </w:tc>
        <w:tc>
          <w:tcPr>
            <w:tcW w:type="dxa" w:w="323"/>
            <w:vAlign w:val="center"/>
          </w:tcPr>
          <w:p>
            <w:r>
              <w:rPr>
                <w:rFonts w:ascii="Arial" w:hAnsi="Arial"/>
                <w:color w:val="000000"/>
                <w:sz w:val="14"/>
              </w:rPr>
              <w:t>0.79787</w:t>
            </w:r>
          </w:p>
        </w:tc>
        <w:tc>
          <w:tcPr>
            <w:tcW w:type="dxa" w:w="323"/>
            <w:vAlign w:val="center"/>
          </w:tcPr>
          <w:p>
            <w:r>
              <w:rPr>
                <w:rFonts w:ascii="Arial" w:hAnsi="Arial"/>
                <w:color w:val="000000"/>
                <w:sz w:val="14"/>
              </w:rPr>
              <w:t>0.76466</w:t>
            </w:r>
          </w:p>
        </w:tc>
        <w:tc>
          <w:tcPr>
            <w:tcW w:type="dxa" w:w="323"/>
            <w:vAlign w:val="center"/>
          </w:tcPr>
          <w:p>
            <w:r>
              <w:rPr>
                <w:rFonts w:ascii="Arial" w:hAnsi="Arial"/>
                <w:color w:val="000000"/>
                <w:sz w:val="14"/>
              </w:rPr>
              <w:t>0.39545</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2024</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24</w:t>
            </w:r>
          </w:p>
        </w:tc>
        <w:tc>
          <w:tcPr>
            <w:tcW w:type="dxa" w:w="323"/>
            <w:vAlign w:val="center"/>
          </w:tcPr>
          <w:p>
            <w:r>
              <w:rPr>
                <w:rFonts w:ascii="Arial" w:hAnsi="Arial"/>
                <w:color w:val="000000"/>
                <w:sz w:val="14"/>
              </w:rPr>
              <w:t>0.16787</w:t>
            </w:r>
          </w:p>
        </w:tc>
        <w:tc>
          <w:tcPr>
            <w:tcW w:type="dxa" w:w="323"/>
            <w:vAlign w:val="center"/>
          </w:tcPr>
          <w:p>
            <w:r>
              <w:rPr>
                <w:rFonts w:ascii="Arial" w:hAnsi="Arial"/>
                <w:color w:val="000000"/>
                <w:sz w:val="14"/>
              </w:rPr>
              <w:t>0.86224</w:t>
            </w:r>
          </w:p>
        </w:tc>
        <w:tc>
          <w:tcPr>
            <w:tcW w:type="dxa" w:w="323"/>
            <w:vAlign w:val="center"/>
          </w:tcPr>
          <w:p>
            <w:r>
              <w:rPr>
                <w:rFonts w:ascii="Arial" w:hAnsi="Arial"/>
                <w:color w:val="000000"/>
                <w:sz w:val="14"/>
              </w:rPr>
              <w:t>0.72477</w:t>
            </w:r>
          </w:p>
        </w:tc>
        <w:tc>
          <w:tcPr>
            <w:tcW w:type="dxa" w:w="323"/>
            <w:vAlign w:val="center"/>
          </w:tcPr>
          <w:p>
            <w:r>
              <w:rPr>
                <w:rFonts w:ascii="Arial" w:hAnsi="Arial"/>
                <w:color w:val="000000"/>
                <w:sz w:val="14"/>
              </w:rPr>
              <w:t>0.053543</w:t>
            </w:r>
          </w:p>
        </w:tc>
        <w:tc>
          <w:tcPr>
            <w:tcW w:type="dxa" w:w="323"/>
            <w:vAlign w:val="center"/>
          </w:tcPr>
          <w:p>
            <w:r>
              <w:rPr>
                <w:rFonts w:ascii="Arial" w:hAnsi="Arial"/>
                <w:color w:val="000000"/>
                <w:sz w:val="14"/>
              </w:rPr>
              <w:t>0.75</w:t>
            </w:r>
          </w:p>
        </w:tc>
        <w:tc>
          <w:tcPr>
            <w:tcW w:type="dxa" w:w="323"/>
            <w:vAlign w:val="center"/>
          </w:tcPr>
          <w:p>
            <w:r>
              <w:rPr>
                <w:rFonts w:ascii="Arial" w:hAnsi="Arial"/>
                <w:color w:val="000000"/>
                <w:sz w:val="14"/>
              </w:rPr>
              <w:t>0.86735</w:t>
            </w:r>
          </w:p>
        </w:tc>
        <w:tc>
          <w:tcPr>
            <w:tcW w:type="dxa" w:w="323"/>
            <w:vAlign w:val="center"/>
          </w:tcPr>
          <w:p>
            <w:r>
              <w:rPr>
                <w:rFonts w:ascii="Arial" w:hAnsi="Arial"/>
                <w:color w:val="000000"/>
                <w:sz w:val="14"/>
              </w:rPr>
              <w:t>4.482</w:t>
            </w:r>
          </w:p>
        </w:tc>
        <w:tc>
          <w:tcPr>
            <w:tcW w:type="dxa" w:w="323"/>
            <w:vAlign w:val="center"/>
          </w:tcPr>
          <w:p>
            <w:r>
              <w:rPr>
                <w:rFonts w:ascii="Arial" w:hAnsi="Arial"/>
                <w:color w:val="000000"/>
                <w:sz w:val="14"/>
              </w:rPr>
              <w:t>1.8469</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2024</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24</w:t>
            </w:r>
          </w:p>
        </w:tc>
        <w:tc>
          <w:tcPr>
            <w:tcW w:type="dxa" w:w="323"/>
            <w:vAlign w:val="center"/>
          </w:tcPr>
          <w:p>
            <w:r>
              <w:rPr>
                <w:rFonts w:ascii="Arial" w:hAnsi="Arial"/>
                <w:color w:val="000000"/>
                <w:sz w:val="14"/>
              </w:rPr>
              <w:t>0.1333</w:t>
            </w:r>
          </w:p>
        </w:tc>
        <w:tc>
          <w:tcPr>
            <w:tcW w:type="dxa" w:w="323"/>
            <w:vAlign w:val="center"/>
          </w:tcPr>
          <w:p>
            <w:r>
              <w:rPr>
                <w:rFonts w:ascii="Arial" w:hAnsi="Arial"/>
                <w:color w:val="000000"/>
                <w:sz w:val="14"/>
              </w:rPr>
              <w:t>0.94643</w:t>
            </w:r>
          </w:p>
        </w:tc>
        <w:tc>
          <w:tcPr>
            <w:tcW w:type="dxa" w:w="323"/>
            <w:vAlign w:val="center"/>
          </w:tcPr>
          <w:p>
            <w:r>
              <w:rPr>
                <w:rFonts w:ascii="Arial" w:hAnsi="Arial"/>
                <w:color w:val="000000"/>
                <w:sz w:val="14"/>
              </w:rPr>
              <w:t>0.84764</w:t>
            </w:r>
          </w:p>
        </w:tc>
        <w:tc>
          <w:tcPr>
            <w:tcW w:type="dxa" w:w="323"/>
            <w:vAlign w:val="center"/>
          </w:tcPr>
          <w:p>
            <w:r>
              <w:rPr>
                <w:rFonts w:ascii="Arial" w:hAnsi="Arial"/>
                <w:color w:val="000000"/>
                <w:sz w:val="14"/>
              </w:rPr>
              <w:t>0.036518</w:t>
            </w:r>
          </w:p>
        </w:tc>
        <w:tc>
          <w:tcPr>
            <w:tcW w:type="dxa" w:w="323"/>
            <w:vAlign w:val="center"/>
          </w:tcPr>
          <w:p>
            <w:r>
              <w:rPr>
                <w:rFonts w:ascii="Arial" w:hAnsi="Arial"/>
                <w:color w:val="000000"/>
                <w:sz w:val="14"/>
              </w:rPr>
              <w:t>0.79167</w:t>
            </w:r>
          </w:p>
        </w:tc>
        <w:tc>
          <w:tcPr>
            <w:tcW w:type="dxa" w:w="323"/>
            <w:vAlign w:val="center"/>
          </w:tcPr>
          <w:p>
            <w:r>
              <w:rPr>
                <w:rFonts w:ascii="Arial" w:hAnsi="Arial"/>
                <w:color w:val="000000"/>
                <w:sz w:val="14"/>
              </w:rPr>
              <w:t>0.83673</w:t>
            </w:r>
          </w:p>
        </w:tc>
        <w:tc>
          <w:tcPr>
            <w:tcW w:type="dxa" w:w="323"/>
            <w:vAlign w:val="center"/>
          </w:tcPr>
          <w:p>
            <w:r>
              <w:rPr>
                <w:rFonts w:ascii="Arial" w:hAnsi="Arial"/>
                <w:color w:val="000000"/>
                <w:sz w:val="14"/>
              </w:rPr>
              <w:t>2.8794</w:t>
            </w:r>
          </w:p>
        </w:tc>
        <w:tc>
          <w:tcPr>
            <w:tcW w:type="dxa" w:w="323"/>
            <w:vAlign w:val="center"/>
          </w:tcPr>
          <w:p>
            <w:r>
              <w:rPr>
                <w:rFonts w:ascii="Arial" w:hAnsi="Arial"/>
                <w:color w:val="000000"/>
                <w:sz w:val="14"/>
              </w:rPr>
              <w:t>1.1618</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pooled_strictly_out_of_sample</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3050</w:t>
            </w:r>
          </w:p>
        </w:tc>
        <w:tc>
          <w:tcPr>
            <w:tcW w:type="dxa" w:w="323"/>
            <w:vAlign w:val="center"/>
          </w:tcPr>
          <w:p>
            <w:r>
              <w:rPr>
                <w:rFonts w:ascii="Arial" w:hAnsi="Arial"/>
                <w:color w:val="000000"/>
                <w:sz w:val="14"/>
              </w:rPr>
              <w:t>125</w:t>
            </w:r>
          </w:p>
        </w:tc>
        <w:tc>
          <w:tcPr>
            <w:tcW w:type="dxa" w:w="323"/>
            <w:vAlign w:val="center"/>
          </w:tcPr>
          <w:p>
            <w:r>
              <w:rPr>
                <w:rFonts w:ascii="Arial" w:hAnsi="Arial"/>
                <w:color w:val="000000"/>
                <w:sz w:val="14"/>
              </w:rPr>
              <w:t>0.038221</w:t>
            </w:r>
          </w:p>
        </w:tc>
        <w:tc>
          <w:tcPr>
            <w:tcW w:type="dxa" w:w="323"/>
            <w:vAlign w:val="center"/>
          </w:tcPr>
          <w:p>
            <w:r>
              <w:rPr>
                <w:rFonts w:ascii="Arial" w:hAnsi="Arial"/>
                <w:color w:val="000000"/>
                <w:sz w:val="14"/>
              </w:rPr>
              <w:t>0.77237</w:t>
            </w:r>
          </w:p>
        </w:tc>
        <w:tc>
          <w:tcPr>
            <w:tcW w:type="dxa" w:w="323"/>
            <w:vAlign w:val="center"/>
          </w:tcPr>
          <w:p>
            <w:r>
              <w:rPr>
                <w:rFonts w:ascii="Arial" w:hAnsi="Arial"/>
                <w:color w:val="000000"/>
                <w:sz w:val="14"/>
              </w:rPr>
              <w:t>0.19812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0.544</w:t>
            </w:r>
          </w:p>
        </w:tc>
        <w:tc>
          <w:tcPr>
            <w:tcW w:type="dxa" w:w="323"/>
            <w:vAlign w:val="center"/>
          </w:tcPr>
          <w:p>
            <w:r>
              <w:rPr>
                <w:rFonts w:ascii="Arial" w:hAnsi="Arial"/>
                <w:color w:val="000000"/>
                <w:sz w:val="14"/>
              </w:rPr>
              <w:t>0.83043</w:t>
            </w:r>
          </w:p>
        </w:tc>
        <w:tc>
          <w:tcPr>
            <w:tcW w:type="dxa" w:w="323"/>
            <w:vAlign w:val="center"/>
          </w:tcPr>
          <w:p>
            <w:r>
              <w:rPr>
                <w:rFonts w:ascii="Arial" w:hAnsi="Arial"/>
                <w:color w:val="000000"/>
                <w:sz w:val="14"/>
              </w:rPr>
              <w:t>0.39637</w:t>
            </w:r>
          </w:p>
        </w:tc>
        <w:tc>
          <w:tcPr>
            <w:tcW w:type="dxa" w:w="323"/>
            <w:vAlign w:val="center"/>
          </w:tcPr>
          <w:p>
            <w:r>
              <w:rPr>
                <w:rFonts w:ascii="Arial" w:hAnsi="Arial"/>
                <w:color w:val="000000"/>
                <w:sz w:val="14"/>
              </w:rPr>
              <w:t>0.89461</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pooled_strictly_out_of_sample</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3050</w:t>
            </w:r>
          </w:p>
        </w:tc>
        <w:tc>
          <w:tcPr>
            <w:tcW w:type="dxa" w:w="323"/>
            <w:vAlign w:val="center"/>
          </w:tcPr>
          <w:p>
            <w:r>
              <w:rPr>
                <w:rFonts w:ascii="Arial" w:hAnsi="Arial"/>
                <w:color w:val="000000"/>
                <w:sz w:val="14"/>
              </w:rPr>
              <w:t>125</w:t>
            </w:r>
          </w:p>
        </w:tc>
        <w:tc>
          <w:tcPr>
            <w:tcW w:type="dxa" w:w="323"/>
            <w:vAlign w:val="center"/>
          </w:tcPr>
          <w:p>
            <w:r>
              <w:rPr>
                <w:rFonts w:ascii="Arial" w:hAnsi="Arial"/>
                <w:color w:val="000000"/>
                <w:sz w:val="14"/>
              </w:rPr>
              <w:t>0.033286</w:t>
            </w:r>
          </w:p>
        </w:tc>
        <w:tc>
          <w:tcPr>
            <w:tcW w:type="dxa" w:w="323"/>
            <w:vAlign w:val="center"/>
          </w:tcPr>
          <w:p>
            <w:r>
              <w:rPr>
                <w:rFonts w:ascii="Arial" w:hAnsi="Arial"/>
                <w:color w:val="000000"/>
                <w:sz w:val="14"/>
              </w:rPr>
              <w:t>0.92436</w:t>
            </w:r>
          </w:p>
        </w:tc>
        <w:tc>
          <w:tcPr>
            <w:tcW w:type="dxa" w:w="323"/>
            <w:vAlign w:val="center"/>
          </w:tcPr>
          <w:p>
            <w:r>
              <w:rPr>
                <w:rFonts w:ascii="Arial" w:hAnsi="Arial"/>
                <w:color w:val="000000"/>
                <w:sz w:val="14"/>
              </w:rPr>
              <w:t>0.47318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0.664</w:t>
            </w:r>
          </w:p>
        </w:tc>
        <w:tc>
          <w:tcPr>
            <w:tcW w:type="dxa" w:w="323"/>
            <w:vAlign w:val="center"/>
          </w:tcPr>
          <w:p>
            <w:r>
              <w:rPr>
                <w:rFonts w:ascii="Arial" w:hAnsi="Arial"/>
                <w:color w:val="000000"/>
                <w:sz w:val="14"/>
              </w:rPr>
              <w:t>0.91863</w:t>
            </w:r>
          </w:p>
        </w:tc>
        <w:tc>
          <w:tcPr>
            <w:tcW w:type="dxa" w:w="323"/>
            <w:vAlign w:val="center"/>
          </w:tcPr>
          <w:p>
            <w:r>
              <w:rPr>
                <w:rFonts w:ascii="Arial" w:hAnsi="Arial"/>
                <w:color w:val="000000"/>
                <w:sz w:val="14"/>
              </w:rPr>
              <w:t>1.5119</w:t>
            </w:r>
          </w:p>
        </w:tc>
        <w:tc>
          <w:tcPr>
            <w:tcW w:type="dxa" w:w="323"/>
            <w:vAlign w:val="center"/>
          </w:tcPr>
          <w:p>
            <w:r>
              <w:rPr>
                <w:rFonts w:ascii="Arial" w:hAnsi="Arial"/>
                <w:color w:val="000000"/>
                <w:sz w:val="14"/>
              </w:rPr>
              <w:t>1.1361</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0.2411</w:t>
            </w:r>
          </w:p>
        </w:tc>
        <w:tc>
          <w:tcPr>
            <w:tcW w:type="dxa" w:w="323"/>
            <w:vAlign w:val="center"/>
          </w:tcPr>
          <w:p>
            <w:r>
              <w:rPr>
                <w:rFonts w:ascii="Arial" w:hAnsi="Arial"/>
                <w:color w:val="000000"/>
                <w:sz w:val="14"/>
              </w:rPr>
              <w:t>0.18296</w:t>
            </w:r>
          </w:p>
        </w:tc>
        <w:tc>
          <w:tcPr>
            <w:tcW w:type="dxa" w:w="323"/>
            <w:vAlign w:val="center"/>
          </w:tcPr>
          <w:p>
            <w:r>
              <w:rPr>
                <w:rFonts w:ascii="Arial" w:hAnsi="Arial"/>
                <w:color w:val="000000"/>
                <w:sz w:val="14"/>
              </w:rPr>
              <w:t>1.2726</w:t>
            </w:r>
          </w:p>
        </w:tc>
        <w:tc>
          <w:tcPr>
            <w:tcW w:type="dxa" w:w="323"/>
            <w:vAlign w:val="center"/>
          </w:tcPr>
          <w:p>
            <w:r>
              <w:rPr>
                <w:rFonts w:ascii="Arial" w:hAnsi="Arial"/>
                <w:color w:val="000000"/>
                <w:sz w:val="14"/>
              </w:rPr>
              <w:t>0.88913</w:t>
            </w:r>
          </w:p>
        </w:tc>
        <w:tc>
          <w:tcPr>
            <w:tcW w:type="dxa" w:w="323"/>
            <w:vAlign w:val="center"/>
          </w:tcPr>
          <w:p>
            <w:r>
              <w:rPr>
                <w:rFonts w:ascii="Arial" w:hAnsi="Arial"/>
                <w:color w:val="000000"/>
                <w:sz w:val="14"/>
              </w:rPr>
              <w:t>1.8216</w:t>
            </w:r>
          </w:p>
        </w:tc>
        <w:tc>
          <w:tcPr>
            <w:tcW w:type="dxa" w:w="323"/>
            <w:vAlign w:val="center"/>
          </w:tcPr>
          <w:p>
            <w:r>
              <w:rPr>
                <w:rFonts w:ascii="Arial" w:hAnsi="Arial"/>
                <w:color w:val="000000"/>
                <w:sz w:val="14"/>
              </w:rPr>
              <w:t>0.1876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-1.1818</w:t>
            </w:r>
          </w:p>
        </w:tc>
        <w:tc>
          <w:tcPr>
            <w:tcW w:type="dxa" w:w="323"/>
            <w:vAlign w:val="center"/>
          </w:tcPr>
          <w:p>
            <w:r>
              <w:rPr>
                <w:rFonts w:ascii="Arial" w:hAnsi="Arial"/>
                <w:color w:val="000000"/>
                <w:sz w:val="14"/>
              </w:rPr>
              <w:t>0.13462</w:t>
            </w:r>
          </w:p>
        </w:tc>
        <w:tc>
          <w:tcPr>
            <w:tcW w:type="dxa" w:w="323"/>
            <w:vAlign w:val="center"/>
          </w:tcPr>
          <w:p>
            <w:r>
              <w:rPr>
                <w:rFonts w:ascii="Arial" w:hAnsi="Arial"/>
                <w:color w:val="000000"/>
                <w:sz w:val="14"/>
              </w:rPr>
              <w:t>0.30672</w:t>
            </w:r>
          </w:p>
        </w:tc>
        <w:tc>
          <w:tcPr>
            <w:tcW w:type="dxa" w:w="323"/>
            <w:vAlign w:val="center"/>
          </w:tcPr>
          <w:p>
            <w:r>
              <w:rPr>
                <w:rFonts w:ascii="Arial" w:hAnsi="Arial"/>
                <w:color w:val="000000"/>
                <w:sz w:val="14"/>
              </w:rPr>
              <w:t>0.23559</w:t>
            </w:r>
          </w:p>
        </w:tc>
        <w:tc>
          <w:tcPr>
            <w:tcW w:type="dxa" w:w="323"/>
            <w:vAlign w:val="center"/>
          </w:tcPr>
          <w:p>
            <w:r>
              <w:rPr>
                <w:rFonts w:ascii="Arial" w:hAnsi="Arial"/>
                <w:color w:val="000000"/>
                <w:sz w:val="14"/>
              </w:rPr>
              <w:t>0.39932</w:t>
            </w:r>
          </w:p>
        </w:tc>
        <w:tc>
          <w:tcPr>
            <w:tcW w:type="dxa" w:w="323"/>
            <w:vAlign w:val="center"/>
          </w:tcPr>
          <w:p>
            <w:r>
              <w:rPr>
                <w:rFonts w:ascii="Arial" w:hAnsi="Arial"/>
                <w:color w:val="000000"/>
                <w:sz w:val="14"/>
              </w:rPr>
              <w:t>1.6484e-18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-1.966</w:t>
            </w:r>
          </w:p>
        </w:tc>
        <w:tc>
          <w:tcPr>
            <w:tcW w:type="dxa" w:w="323"/>
            <w:vAlign w:val="center"/>
          </w:tcPr>
          <w:p>
            <w:r>
              <w:rPr>
                <w:rFonts w:ascii="Arial" w:hAnsi="Arial"/>
                <w:color w:val="000000"/>
                <w:sz w:val="14"/>
              </w:rPr>
              <w:t>0.40067</w:t>
            </w:r>
          </w:p>
        </w:tc>
        <w:tc>
          <w:tcPr>
            <w:tcW w:type="dxa" w:w="323"/>
            <w:vAlign w:val="center"/>
          </w:tcPr>
          <w:p>
            <w:r>
              <w:rPr>
                <w:rFonts w:ascii="Arial" w:hAnsi="Arial"/>
                <w:color w:val="000000"/>
                <w:sz w:val="14"/>
              </w:rPr>
              <w:t>0.14002</w:t>
            </w:r>
          </w:p>
        </w:tc>
        <w:tc>
          <w:tcPr>
            <w:tcW w:type="dxa" w:w="323"/>
            <w:vAlign w:val="center"/>
          </w:tcPr>
          <w:p>
            <w:r>
              <w:rPr>
                <w:rFonts w:ascii="Arial" w:hAnsi="Arial"/>
                <w:color w:val="000000"/>
                <w:sz w:val="14"/>
              </w:rPr>
              <w:t>0.063848</w:t>
            </w:r>
          </w:p>
        </w:tc>
        <w:tc>
          <w:tcPr>
            <w:tcW w:type="dxa" w:w="323"/>
            <w:vAlign w:val="center"/>
          </w:tcPr>
          <w:p>
            <w:r>
              <w:rPr>
                <w:rFonts w:ascii="Arial" w:hAnsi="Arial"/>
                <w:color w:val="000000"/>
                <w:sz w:val="14"/>
              </w:rPr>
              <w:t>0.30707</w:t>
            </w:r>
          </w:p>
        </w:tc>
        <w:tc>
          <w:tcPr>
            <w:tcW w:type="dxa" w:w="323"/>
            <w:vAlign w:val="center"/>
          </w:tcPr>
          <w:p>
            <w:r>
              <w:rPr>
                <w:rFonts w:ascii="Arial" w:hAnsi="Arial"/>
                <w:color w:val="000000"/>
                <w:sz w:val="14"/>
              </w:rPr>
              <w:t>9.2601e-07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0.29044</w:t>
            </w:r>
          </w:p>
        </w:tc>
        <w:tc>
          <w:tcPr>
            <w:tcW w:type="dxa" w:w="323"/>
            <w:vAlign w:val="center"/>
          </w:tcPr>
          <w:p>
            <w:r>
              <w:rPr>
                <w:rFonts w:ascii="Arial" w:hAnsi="Arial"/>
                <w:color w:val="000000"/>
                <w:sz w:val="14"/>
              </w:rPr>
              <w:t>0.09611</w:t>
            </w:r>
          </w:p>
        </w:tc>
        <w:tc>
          <w:tcPr>
            <w:tcW w:type="dxa" w:w="323"/>
            <w:vAlign w:val="center"/>
          </w:tcPr>
          <w:p>
            <w:r>
              <w:rPr>
                <w:rFonts w:ascii="Arial" w:hAnsi="Arial"/>
                <w:color w:val="000000"/>
                <w:sz w:val="14"/>
              </w:rPr>
              <w:t>1.337</w:t>
            </w:r>
          </w:p>
        </w:tc>
        <w:tc>
          <w:tcPr>
            <w:tcW w:type="dxa" w:w="323"/>
            <w:vAlign w:val="center"/>
          </w:tcPr>
          <w:p>
            <w:r>
              <w:rPr>
                <w:rFonts w:ascii="Arial" w:hAnsi="Arial"/>
                <w:color w:val="000000"/>
                <w:sz w:val="14"/>
              </w:rPr>
              <w:t>1.1075</w:t>
            </w:r>
          </w:p>
        </w:tc>
        <w:tc>
          <w:tcPr>
            <w:tcW w:type="dxa" w:w="323"/>
            <w:vAlign w:val="center"/>
          </w:tcPr>
          <w:p>
            <w:r>
              <w:rPr>
                <w:rFonts w:ascii="Arial" w:hAnsi="Arial"/>
                <w:color w:val="000000"/>
                <w:sz w:val="14"/>
              </w:rPr>
              <w:t>1.6142</w:t>
            </w:r>
          </w:p>
        </w:tc>
        <w:tc>
          <w:tcPr>
            <w:tcW w:type="dxa" w:w="323"/>
            <w:vAlign w:val="center"/>
          </w:tcPr>
          <w:p>
            <w:r>
              <w:rPr>
                <w:rFonts w:ascii="Arial" w:hAnsi="Arial"/>
                <w:color w:val="000000"/>
                <w:sz w:val="14"/>
              </w:rPr>
              <w:t>0.0025118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-0.42214</w:t>
            </w:r>
          </w:p>
        </w:tc>
        <w:tc>
          <w:tcPr>
            <w:tcW w:type="dxa" w:w="323"/>
            <w:vAlign w:val="center"/>
          </w:tcPr>
          <w:p>
            <w:r>
              <w:rPr>
                <w:rFonts w:ascii="Arial" w:hAnsi="Arial"/>
                <w:color w:val="000000"/>
                <w:sz w:val="14"/>
              </w:rPr>
              <w:t>0.24759</w:t>
            </w:r>
          </w:p>
        </w:tc>
        <w:tc>
          <w:tcPr>
            <w:tcW w:type="dxa" w:w="323"/>
            <w:vAlign w:val="center"/>
          </w:tcPr>
          <w:p>
            <w:r>
              <w:rPr>
                <w:rFonts w:ascii="Arial" w:hAnsi="Arial"/>
                <w:color w:val="000000"/>
                <w:sz w:val="14"/>
              </w:rPr>
              <w:t>0.65564</w:t>
            </w:r>
          </w:p>
        </w:tc>
        <w:tc>
          <w:tcPr>
            <w:tcW w:type="dxa" w:w="323"/>
            <w:vAlign w:val="center"/>
          </w:tcPr>
          <w:p>
            <w:r>
              <w:rPr>
                <w:rFonts w:ascii="Arial" w:hAnsi="Arial"/>
                <w:color w:val="000000"/>
                <w:sz w:val="14"/>
              </w:rPr>
              <w:t>0.40357</w:t>
            </w:r>
          </w:p>
        </w:tc>
        <w:tc>
          <w:tcPr>
            <w:tcW w:type="dxa" w:w="323"/>
            <w:vAlign w:val="center"/>
          </w:tcPr>
          <w:p>
            <w:r>
              <w:rPr>
                <w:rFonts w:ascii="Arial" w:hAnsi="Arial"/>
                <w:color w:val="000000"/>
                <w:sz w:val="14"/>
              </w:rPr>
              <w:t>1.0652</w:t>
            </w:r>
          </w:p>
        </w:tc>
        <w:tc>
          <w:tcPr>
            <w:tcW w:type="dxa" w:w="323"/>
            <w:vAlign w:val="center"/>
          </w:tcPr>
          <w:p>
            <w:r>
              <w:rPr>
                <w:rFonts w:ascii="Arial" w:hAnsi="Arial"/>
                <w:color w:val="000000"/>
                <w:sz w:val="14"/>
              </w:rPr>
              <w:t>0.088198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0.13756</w:t>
            </w:r>
          </w:p>
        </w:tc>
        <w:tc>
          <w:tcPr>
            <w:tcW w:type="dxa" w:w="323"/>
            <w:vAlign w:val="center"/>
          </w:tcPr>
          <w:p>
            <w:r>
              <w:rPr>
                <w:rFonts w:ascii="Arial" w:hAnsi="Arial"/>
                <w:color w:val="000000"/>
                <w:sz w:val="14"/>
              </w:rPr>
              <w:t>0.15067</w:t>
            </w:r>
          </w:p>
        </w:tc>
        <w:tc>
          <w:tcPr>
            <w:tcW w:type="dxa" w:w="323"/>
            <w:vAlign w:val="center"/>
          </w:tcPr>
          <w:p>
            <w:r>
              <w:rPr>
                <w:rFonts w:ascii="Arial" w:hAnsi="Arial"/>
                <w:color w:val="000000"/>
                <w:sz w:val="14"/>
              </w:rPr>
              <w:t>1.1475</w:t>
            </w:r>
          </w:p>
        </w:tc>
        <w:tc>
          <w:tcPr>
            <w:tcW w:type="dxa" w:w="323"/>
            <w:vAlign w:val="center"/>
          </w:tcPr>
          <w:p>
            <w:r>
              <w:rPr>
                <w:rFonts w:ascii="Arial" w:hAnsi="Arial"/>
                <w:color w:val="000000"/>
                <w:sz w:val="14"/>
              </w:rPr>
              <w:t>0.85407</w:t>
            </w:r>
          </w:p>
        </w:tc>
        <w:tc>
          <w:tcPr>
            <w:tcW w:type="dxa" w:w="323"/>
            <w:vAlign w:val="center"/>
          </w:tcPr>
          <w:p>
            <w:r>
              <w:rPr>
                <w:rFonts w:ascii="Arial" w:hAnsi="Arial"/>
                <w:color w:val="000000"/>
                <w:sz w:val="14"/>
              </w:rPr>
              <w:t>1.5417</w:t>
            </w:r>
          </w:p>
        </w:tc>
        <w:tc>
          <w:tcPr>
            <w:tcW w:type="dxa" w:w="323"/>
            <w:vAlign w:val="center"/>
          </w:tcPr>
          <w:p>
            <w:r>
              <w:rPr>
                <w:rFonts w:ascii="Arial" w:hAnsi="Arial"/>
                <w:color w:val="000000"/>
                <w:sz w:val="14"/>
              </w:rPr>
              <w:t>0.36123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-0.76708</w:t>
            </w:r>
          </w:p>
        </w:tc>
        <w:tc>
          <w:tcPr>
            <w:tcW w:type="dxa" w:w="323"/>
            <w:vAlign w:val="center"/>
          </w:tcPr>
          <w:p>
            <w:r>
              <w:rPr>
                <w:rFonts w:ascii="Arial" w:hAnsi="Arial"/>
                <w:color w:val="000000"/>
                <w:sz w:val="14"/>
              </w:rPr>
              <w:t>0.16209</w:t>
            </w:r>
          </w:p>
        </w:tc>
        <w:tc>
          <w:tcPr>
            <w:tcW w:type="dxa" w:w="323"/>
            <w:vAlign w:val="center"/>
          </w:tcPr>
          <w:p>
            <w:r>
              <w:rPr>
                <w:rFonts w:ascii="Arial" w:hAnsi="Arial"/>
                <w:color w:val="000000"/>
                <w:sz w:val="14"/>
              </w:rPr>
              <w:t>0.46436</w:t>
            </w:r>
          </w:p>
        </w:tc>
        <w:tc>
          <w:tcPr>
            <w:tcW w:type="dxa" w:w="323"/>
            <w:vAlign w:val="center"/>
          </w:tcPr>
          <w:p>
            <w:r>
              <w:rPr>
                <w:rFonts w:ascii="Arial" w:hAnsi="Arial"/>
                <w:color w:val="000000"/>
                <w:sz w:val="14"/>
              </w:rPr>
              <w:t>0.33798</w:t>
            </w:r>
          </w:p>
        </w:tc>
        <w:tc>
          <w:tcPr>
            <w:tcW w:type="dxa" w:w="323"/>
            <w:vAlign w:val="center"/>
          </w:tcPr>
          <w:p>
            <w:r>
              <w:rPr>
                <w:rFonts w:ascii="Arial" w:hAnsi="Arial"/>
                <w:color w:val="000000"/>
                <w:sz w:val="14"/>
              </w:rPr>
              <w:t>0.63802</w:t>
            </w:r>
          </w:p>
        </w:tc>
        <w:tc>
          <w:tcPr>
            <w:tcW w:type="dxa" w:w="323"/>
            <w:vAlign w:val="center"/>
          </w:tcPr>
          <w:p>
            <w:r>
              <w:rPr>
                <w:rFonts w:ascii="Arial" w:hAnsi="Arial"/>
                <w:color w:val="000000"/>
                <w:sz w:val="14"/>
              </w:rPr>
              <w:t>2.219e-06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-1.2104</w:t>
            </w:r>
          </w:p>
        </w:tc>
        <w:tc>
          <w:tcPr>
            <w:tcW w:type="dxa" w:w="323"/>
            <w:vAlign w:val="center"/>
          </w:tcPr>
          <w:p>
            <w:r>
              <w:rPr>
                <w:rFonts w:ascii="Arial" w:hAnsi="Arial"/>
                <w:color w:val="000000"/>
                <w:sz w:val="14"/>
              </w:rPr>
              <w:t>0.57496</w:t>
            </w:r>
          </w:p>
        </w:tc>
        <w:tc>
          <w:tcPr>
            <w:tcW w:type="dxa" w:w="323"/>
            <w:vAlign w:val="center"/>
          </w:tcPr>
          <w:p>
            <w:r>
              <w:rPr>
                <w:rFonts w:ascii="Arial" w:hAnsi="Arial"/>
                <w:color w:val="000000"/>
                <w:sz w:val="14"/>
              </w:rPr>
              <w:t>0.29808</w:t>
            </w:r>
          </w:p>
        </w:tc>
        <w:tc>
          <w:tcPr>
            <w:tcW w:type="dxa" w:w="323"/>
            <w:vAlign w:val="center"/>
          </w:tcPr>
          <w:p>
            <w:r>
              <w:rPr>
                <w:rFonts w:ascii="Arial" w:hAnsi="Arial"/>
                <w:color w:val="000000"/>
                <w:sz w:val="14"/>
              </w:rPr>
              <w:t>0.096589</w:t>
            </w:r>
          </w:p>
        </w:tc>
        <w:tc>
          <w:tcPr>
            <w:tcW w:type="dxa" w:w="323"/>
            <w:vAlign w:val="center"/>
          </w:tcPr>
          <w:p>
            <w:r>
              <w:rPr>
                <w:rFonts w:ascii="Arial" w:hAnsi="Arial"/>
                <w:color w:val="000000"/>
                <w:sz w:val="14"/>
              </w:rPr>
              <w:t>0.91992</w:t>
            </w:r>
          </w:p>
        </w:tc>
        <w:tc>
          <w:tcPr>
            <w:tcW w:type="dxa" w:w="323"/>
            <w:vAlign w:val="center"/>
          </w:tcPr>
          <w:p>
            <w:r>
              <w:rPr>
                <w:rFonts w:ascii="Arial" w:hAnsi="Arial"/>
                <w:color w:val="000000"/>
                <w:sz w:val="14"/>
              </w:rPr>
              <w:t>0.035279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0.4224</w:t>
            </w:r>
          </w:p>
        </w:tc>
        <w:tc>
          <w:tcPr>
            <w:tcW w:type="dxa" w:w="323"/>
            <w:vAlign w:val="center"/>
          </w:tcPr>
          <w:p>
            <w:r>
              <w:rPr>
                <w:rFonts w:ascii="Arial" w:hAnsi="Arial"/>
                <w:color w:val="000000"/>
                <w:sz w:val="14"/>
              </w:rPr>
              <w:t>0.15727</w:t>
            </w:r>
          </w:p>
        </w:tc>
        <w:tc>
          <w:tcPr>
            <w:tcW w:type="dxa" w:w="323"/>
            <w:vAlign w:val="center"/>
          </w:tcPr>
          <w:p>
            <w:r>
              <w:rPr>
                <w:rFonts w:ascii="Arial" w:hAnsi="Arial"/>
                <w:color w:val="000000"/>
                <w:sz w:val="14"/>
              </w:rPr>
              <w:t>1.5256</w:t>
            </w:r>
          </w:p>
        </w:tc>
        <w:tc>
          <w:tcPr>
            <w:tcW w:type="dxa" w:w="323"/>
            <w:vAlign w:val="center"/>
          </w:tcPr>
          <w:p>
            <w:r>
              <w:rPr>
                <w:rFonts w:ascii="Arial" w:hAnsi="Arial"/>
                <w:color w:val="000000"/>
                <w:sz w:val="14"/>
              </w:rPr>
              <w:t>1.1209</w:t>
            </w:r>
          </w:p>
        </w:tc>
        <w:tc>
          <w:tcPr>
            <w:tcW w:type="dxa" w:w="323"/>
            <w:vAlign w:val="center"/>
          </w:tcPr>
          <w:p>
            <w:r>
              <w:rPr>
                <w:rFonts w:ascii="Arial" w:hAnsi="Arial"/>
                <w:color w:val="000000"/>
                <w:sz w:val="14"/>
              </w:rPr>
              <w:t>2.0764</w:t>
            </w:r>
          </w:p>
        </w:tc>
        <w:tc>
          <w:tcPr>
            <w:tcW w:type="dxa" w:w="323"/>
            <w:vAlign w:val="center"/>
          </w:tcPr>
          <w:p>
            <w:r>
              <w:rPr>
                <w:rFonts w:ascii="Arial" w:hAnsi="Arial"/>
                <w:color w:val="000000"/>
                <w:sz w:val="14"/>
              </w:rPr>
              <w:t>0.0072356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0.52332</w:t>
            </w:r>
          </w:p>
        </w:tc>
        <w:tc>
          <w:tcPr>
            <w:tcW w:type="dxa" w:w="323"/>
            <w:vAlign w:val="center"/>
          </w:tcPr>
          <w:p>
            <w:r>
              <w:rPr>
                <w:rFonts w:ascii="Arial" w:hAnsi="Arial"/>
                <w:color w:val="000000"/>
                <w:sz w:val="14"/>
              </w:rPr>
              <w:t>0.21533</w:t>
            </w:r>
          </w:p>
        </w:tc>
        <w:tc>
          <w:tcPr>
            <w:tcW w:type="dxa" w:w="323"/>
            <w:vAlign w:val="center"/>
          </w:tcPr>
          <w:p>
            <w:r>
              <w:rPr>
                <w:rFonts w:ascii="Arial" w:hAnsi="Arial"/>
                <w:color w:val="000000"/>
                <w:sz w:val="14"/>
              </w:rPr>
              <w:t>1.6876</w:t>
            </w:r>
          </w:p>
        </w:tc>
        <w:tc>
          <w:tcPr>
            <w:tcW w:type="dxa" w:w="323"/>
            <w:vAlign w:val="center"/>
          </w:tcPr>
          <w:p>
            <w:r>
              <w:rPr>
                <w:rFonts w:ascii="Arial" w:hAnsi="Arial"/>
                <w:color w:val="000000"/>
                <w:sz w:val="14"/>
              </w:rPr>
              <w:t>1.1066</w:t>
            </w:r>
          </w:p>
        </w:tc>
        <w:tc>
          <w:tcPr>
            <w:tcW w:type="dxa" w:w="323"/>
            <w:vAlign w:val="center"/>
          </w:tcPr>
          <w:p>
            <w:r>
              <w:rPr>
                <w:rFonts w:ascii="Arial" w:hAnsi="Arial"/>
                <w:color w:val="000000"/>
                <w:sz w:val="14"/>
              </w:rPr>
              <w:t>2.5737</w:t>
            </w:r>
          </w:p>
        </w:tc>
        <w:tc>
          <w:tcPr>
            <w:tcW w:type="dxa" w:w="323"/>
            <w:vAlign w:val="center"/>
          </w:tcPr>
          <w:p>
            <w:r>
              <w:rPr>
                <w:rFonts w:ascii="Arial" w:hAnsi="Arial"/>
                <w:color w:val="000000"/>
                <w:sz w:val="14"/>
              </w:rPr>
              <w:t>0.015087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0.072153</w:t>
            </w:r>
          </w:p>
        </w:tc>
        <w:tc>
          <w:tcPr>
            <w:tcW w:type="dxa" w:w="323"/>
            <w:vAlign w:val="center"/>
          </w:tcPr>
          <w:p>
            <w:r>
              <w:rPr>
                <w:rFonts w:ascii="Arial" w:hAnsi="Arial"/>
                <w:color w:val="000000"/>
                <w:sz w:val="14"/>
              </w:rPr>
              <w:t>0.22227</w:t>
            </w:r>
          </w:p>
        </w:tc>
        <w:tc>
          <w:tcPr>
            <w:tcW w:type="dxa" w:w="323"/>
            <w:vAlign w:val="center"/>
          </w:tcPr>
          <w:p>
            <w:r>
              <w:rPr>
                <w:rFonts w:ascii="Arial" w:hAnsi="Arial"/>
                <w:color w:val="000000"/>
                <w:sz w:val="14"/>
              </w:rPr>
              <w:t>1.0748</w:t>
            </w:r>
          </w:p>
        </w:tc>
        <w:tc>
          <w:tcPr>
            <w:tcW w:type="dxa" w:w="323"/>
            <w:vAlign w:val="center"/>
          </w:tcPr>
          <w:p>
            <w:r>
              <w:rPr>
                <w:rFonts w:ascii="Arial" w:hAnsi="Arial"/>
                <w:color w:val="000000"/>
                <w:sz w:val="14"/>
              </w:rPr>
              <w:t>0.69525</w:t>
            </w:r>
          </w:p>
        </w:tc>
        <w:tc>
          <w:tcPr>
            <w:tcW w:type="dxa" w:w="323"/>
            <w:vAlign w:val="center"/>
          </w:tcPr>
          <w:p>
            <w:r>
              <w:rPr>
                <w:rFonts w:ascii="Arial" w:hAnsi="Arial"/>
                <w:color w:val="000000"/>
                <w:sz w:val="14"/>
              </w:rPr>
              <w:t>1.6616</w:t>
            </w:r>
          </w:p>
        </w:tc>
        <w:tc>
          <w:tcPr>
            <w:tcW w:type="dxa" w:w="323"/>
            <w:vAlign w:val="center"/>
          </w:tcPr>
          <w:p>
            <w:r>
              <w:rPr>
                <w:rFonts w:ascii="Arial" w:hAnsi="Arial"/>
                <w:color w:val="000000"/>
                <w:sz w:val="14"/>
              </w:rPr>
              <w:t>0.74547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rh_mean_lag1</w:t>
            </w:r>
          </w:p>
        </w:tc>
        <w:tc>
          <w:tcPr>
            <w:tcW w:type="dxa" w:w="323"/>
            <w:vAlign w:val="center"/>
          </w:tcPr>
          <w:p>
            <w:r>
              <w:rPr>
                <w:rFonts w:ascii="Arial" w:hAnsi="Arial"/>
                <w:color w:val="000000"/>
                <w:sz w:val="14"/>
              </w:rPr>
              <w:t>-0.4812</w:t>
            </w:r>
          </w:p>
        </w:tc>
        <w:tc>
          <w:tcPr>
            <w:tcW w:type="dxa" w:w="323"/>
            <w:vAlign w:val="center"/>
          </w:tcPr>
          <w:p>
            <w:r>
              <w:rPr>
                <w:rFonts w:ascii="Arial" w:hAnsi="Arial"/>
                <w:color w:val="000000"/>
                <w:sz w:val="14"/>
              </w:rPr>
              <w:t>0.15064</w:t>
            </w:r>
          </w:p>
        </w:tc>
        <w:tc>
          <w:tcPr>
            <w:tcW w:type="dxa" w:w="323"/>
            <w:vAlign w:val="center"/>
          </w:tcPr>
          <w:p>
            <w:r>
              <w:rPr>
                <w:rFonts w:ascii="Arial" w:hAnsi="Arial"/>
                <w:color w:val="000000"/>
                <w:sz w:val="14"/>
              </w:rPr>
              <w:t>0.61804</w:t>
            </w:r>
          </w:p>
        </w:tc>
        <w:tc>
          <w:tcPr>
            <w:tcW w:type="dxa" w:w="323"/>
            <w:vAlign w:val="center"/>
          </w:tcPr>
          <w:p>
            <w:r>
              <w:rPr>
                <w:rFonts w:ascii="Arial" w:hAnsi="Arial"/>
                <w:color w:val="000000"/>
                <w:sz w:val="14"/>
              </w:rPr>
              <w:t>0.46003</w:t>
            </w:r>
          </w:p>
        </w:tc>
        <w:tc>
          <w:tcPr>
            <w:tcW w:type="dxa" w:w="323"/>
            <w:vAlign w:val="center"/>
          </w:tcPr>
          <w:p>
            <w:r>
              <w:rPr>
                <w:rFonts w:ascii="Arial" w:hAnsi="Arial"/>
                <w:color w:val="000000"/>
                <w:sz w:val="14"/>
              </w:rPr>
              <w:t>0.83032</w:t>
            </w:r>
          </w:p>
        </w:tc>
        <w:tc>
          <w:tcPr>
            <w:tcW w:type="dxa" w:w="323"/>
            <w:vAlign w:val="center"/>
          </w:tcPr>
          <w:p>
            <w:r>
              <w:rPr>
                <w:rFonts w:ascii="Arial" w:hAnsi="Arial"/>
                <w:color w:val="000000"/>
                <w:sz w:val="14"/>
              </w:rPr>
              <w:t>0.0014018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precipitation_lag1</w:t>
            </w:r>
          </w:p>
        </w:tc>
        <w:tc>
          <w:tcPr>
            <w:tcW w:type="dxa" w:w="323"/>
            <w:vAlign w:val="center"/>
          </w:tcPr>
          <w:p>
            <w:r>
              <w:rPr>
                <w:rFonts w:ascii="Arial" w:hAnsi="Arial"/>
                <w:color w:val="000000"/>
                <w:sz w:val="14"/>
              </w:rPr>
              <w:t>-0.42237</w:t>
            </w:r>
          </w:p>
        </w:tc>
        <w:tc>
          <w:tcPr>
            <w:tcW w:type="dxa" w:w="323"/>
            <w:vAlign w:val="center"/>
          </w:tcPr>
          <w:p>
            <w:r>
              <w:rPr>
                <w:rFonts w:ascii="Arial" w:hAnsi="Arial"/>
                <w:color w:val="000000"/>
                <w:sz w:val="14"/>
              </w:rPr>
              <w:t>0.083664</w:t>
            </w:r>
          </w:p>
        </w:tc>
        <w:tc>
          <w:tcPr>
            <w:tcW w:type="dxa" w:w="323"/>
            <w:vAlign w:val="center"/>
          </w:tcPr>
          <w:p>
            <w:r>
              <w:rPr>
                <w:rFonts w:ascii="Arial" w:hAnsi="Arial"/>
                <w:color w:val="000000"/>
                <w:sz w:val="14"/>
              </w:rPr>
              <w:t>0.65549</w:t>
            </w:r>
          </w:p>
        </w:tc>
        <w:tc>
          <w:tcPr>
            <w:tcW w:type="dxa" w:w="323"/>
            <w:vAlign w:val="center"/>
          </w:tcPr>
          <w:p>
            <w:r>
              <w:rPr>
                <w:rFonts w:ascii="Arial" w:hAnsi="Arial"/>
                <w:color w:val="000000"/>
                <w:sz w:val="14"/>
              </w:rPr>
              <w:t>0.55636</w:t>
            </w:r>
          </w:p>
        </w:tc>
        <w:tc>
          <w:tcPr>
            <w:tcW w:type="dxa" w:w="323"/>
            <w:vAlign w:val="center"/>
          </w:tcPr>
          <w:p>
            <w:r>
              <w:rPr>
                <w:rFonts w:ascii="Arial" w:hAnsi="Arial"/>
                <w:color w:val="000000"/>
                <w:sz w:val="14"/>
              </w:rPr>
              <w:t>0.77229</w:t>
            </w:r>
          </w:p>
        </w:tc>
        <w:tc>
          <w:tcPr>
            <w:tcW w:type="dxa" w:w="323"/>
            <w:vAlign w:val="center"/>
          </w:tcPr>
          <w:p>
            <w:r>
              <w:rPr>
                <w:rFonts w:ascii="Arial" w:hAnsi="Arial"/>
                <w:color w:val="000000"/>
                <w:sz w:val="14"/>
              </w:rPr>
              <w:t>4.4562e-07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wind_speed_mean_lag1</w:t>
            </w:r>
          </w:p>
        </w:tc>
        <w:tc>
          <w:tcPr>
            <w:tcW w:type="dxa" w:w="323"/>
            <w:vAlign w:val="center"/>
          </w:tcPr>
          <w:p>
            <w:r>
              <w:rPr>
                <w:rFonts w:ascii="Arial" w:hAnsi="Arial"/>
                <w:color w:val="000000"/>
                <w:sz w:val="14"/>
              </w:rPr>
              <w:t>0.056827</w:t>
            </w:r>
          </w:p>
        </w:tc>
        <w:tc>
          <w:tcPr>
            <w:tcW w:type="dxa" w:w="323"/>
            <w:vAlign w:val="center"/>
          </w:tcPr>
          <w:p>
            <w:r>
              <w:rPr>
                <w:rFonts w:ascii="Arial" w:hAnsi="Arial"/>
                <w:color w:val="000000"/>
                <w:sz w:val="14"/>
              </w:rPr>
              <w:t>0.065354</w:t>
            </w:r>
          </w:p>
        </w:tc>
        <w:tc>
          <w:tcPr>
            <w:tcW w:type="dxa" w:w="323"/>
            <w:vAlign w:val="center"/>
          </w:tcPr>
          <w:p>
            <w:r>
              <w:rPr>
                <w:rFonts w:ascii="Arial" w:hAnsi="Arial"/>
                <w:color w:val="000000"/>
                <w:sz w:val="14"/>
              </w:rPr>
              <w:t>1.0585</w:t>
            </w:r>
          </w:p>
        </w:tc>
        <w:tc>
          <w:tcPr>
            <w:tcW w:type="dxa" w:w="323"/>
            <w:vAlign w:val="center"/>
          </w:tcPr>
          <w:p>
            <w:r>
              <w:rPr>
                <w:rFonts w:ascii="Arial" w:hAnsi="Arial"/>
                <w:color w:val="000000"/>
                <w:sz w:val="14"/>
              </w:rPr>
              <w:t>0.93122</w:t>
            </w:r>
          </w:p>
        </w:tc>
        <w:tc>
          <w:tcPr>
            <w:tcW w:type="dxa" w:w="323"/>
            <w:vAlign w:val="center"/>
          </w:tcPr>
          <w:p>
            <w:r>
              <w:rPr>
                <w:rFonts w:ascii="Arial" w:hAnsi="Arial"/>
                <w:color w:val="000000"/>
                <w:sz w:val="14"/>
              </w:rPr>
              <w:t>1.2031</w:t>
            </w:r>
          </w:p>
        </w:tc>
        <w:tc>
          <w:tcPr>
            <w:tcW w:type="dxa" w:w="323"/>
            <w:vAlign w:val="center"/>
          </w:tcPr>
          <w:p>
            <w:r>
              <w:rPr>
                <w:rFonts w:ascii="Arial" w:hAnsi="Arial"/>
                <w:color w:val="000000"/>
                <w:sz w:val="14"/>
              </w:rPr>
              <w:t>0.38456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pressure_mean_lag1</w:t>
            </w:r>
          </w:p>
        </w:tc>
        <w:tc>
          <w:tcPr>
            <w:tcW w:type="dxa" w:w="323"/>
            <w:vAlign w:val="center"/>
          </w:tcPr>
          <w:p>
            <w:r>
              <w:rPr>
                <w:rFonts w:ascii="Arial" w:hAnsi="Arial"/>
                <w:color w:val="000000"/>
                <w:sz w:val="14"/>
              </w:rPr>
              <w:t>-0.57608</w:t>
            </w:r>
          </w:p>
        </w:tc>
        <w:tc>
          <w:tcPr>
            <w:tcW w:type="dxa" w:w="323"/>
            <w:vAlign w:val="center"/>
          </w:tcPr>
          <w:p>
            <w:r>
              <w:rPr>
                <w:rFonts w:ascii="Arial" w:hAnsi="Arial"/>
                <w:color w:val="000000"/>
                <w:sz w:val="14"/>
              </w:rPr>
              <w:t>0.15497</w:t>
            </w:r>
          </w:p>
        </w:tc>
        <w:tc>
          <w:tcPr>
            <w:tcW w:type="dxa" w:w="323"/>
            <w:vAlign w:val="center"/>
          </w:tcPr>
          <w:p>
            <w:r>
              <w:rPr>
                <w:rFonts w:ascii="Arial" w:hAnsi="Arial"/>
                <w:color w:val="000000"/>
                <w:sz w:val="14"/>
              </w:rPr>
              <w:t>0.5621</w:t>
            </w:r>
          </w:p>
        </w:tc>
        <w:tc>
          <w:tcPr>
            <w:tcW w:type="dxa" w:w="323"/>
            <w:vAlign w:val="center"/>
          </w:tcPr>
          <w:p>
            <w:r>
              <w:rPr>
                <w:rFonts w:ascii="Arial" w:hAnsi="Arial"/>
                <w:color w:val="000000"/>
                <w:sz w:val="14"/>
              </w:rPr>
              <w:t>0.41486</w:t>
            </w:r>
          </w:p>
        </w:tc>
        <w:tc>
          <w:tcPr>
            <w:tcW w:type="dxa" w:w="323"/>
            <w:vAlign w:val="center"/>
          </w:tcPr>
          <w:p>
            <w:r>
              <w:rPr>
                <w:rFonts w:ascii="Arial" w:hAnsi="Arial"/>
                <w:color w:val="000000"/>
                <w:sz w:val="14"/>
              </w:rPr>
              <w:t>0.76159</w:t>
            </w:r>
          </w:p>
        </w:tc>
        <w:tc>
          <w:tcPr>
            <w:tcW w:type="dxa" w:w="323"/>
            <w:vAlign w:val="center"/>
          </w:tcPr>
          <w:p>
            <w:r>
              <w:rPr>
                <w:rFonts w:ascii="Arial" w:hAnsi="Arial"/>
                <w:color w:val="000000"/>
                <w:sz w:val="14"/>
              </w:rPr>
              <w:t>0.00020133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0.24506</w:t>
            </w:r>
          </w:p>
        </w:tc>
        <w:tc>
          <w:tcPr>
            <w:tcW w:type="dxa" w:w="323"/>
            <w:vAlign w:val="center"/>
          </w:tcPr>
          <w:p>
            <w:r>
              <w:rPr>
                <w:rFonts w:ascii="Arial" w:hAnsi="Arial"/>
                <w:color w:val="000000"/>
                <w:sz w:val="14"/>
              </w:rPr>
              <w:t>0.18643</w:t>
            </w:r>
          </w:p>
        </w:tc>
        <w:tc>
          <w:tcPr>
            <w:tcW w:type="dxa" w:w="323"/>
            <w:vAlign w:val="center"/>
          </w:tcPr>
          <w:p>
            <w:r>
              <w:rPr>
                <w:rFonts w:ascii="Arial" w:hAnsi="Arial"/>
                <w:color w:val="000000"/>
                <w:sz w:val="14"/>
              </w:rPr>
              <w:t>1.2777</w:t>
            </w:r>
          </w:p>
        </w:tc>
        <w:tc>
          <w:tcPr>
            <w:tcW w:type="dxa" w:w="323"/>
            <w:vAlign w:val="center"/>
          </w:tcPr>
          <w:p>
            <w:r>
              <w:rPr>
                <w:rFonts w:ascii="Arial" w:hAnsi="Arial"/>
                <w:color w:val="000000"/>
                <w:sz w:val="14"/>
              </w:rPr>
              <w:t>0.88662</w:t>
            </w:r>
          </w:p>
        </w:tc>
        <w:tc>
          <w:tcPr>
            <w:tcW w:type="dxa" w:w="323"/>
            <w:vAlign w:val="center"/>
          </w:tcPr>
          <w:p>
            <w:r>
              <w:rPr>
                <w:rFonts w:ascii="Arial" w:hAnsi="Arial"/>
                <w:color w:val="000000"/>
                <w:sz w:val="14"/>
              </w:rPr>
              <w:t>1.8413</w:t>
            </w:r>
          </w:p>
        </w:tc>
        <w:tc>
          <w:tcPr>
            <w:tcW w:type="dxa" w:w="323"/>
            <w:vAlign w:val="center"/>
          </w:tcPr>
          <w:p>
            <w:r>
              <w:rPr>
                <w:rFonts w:ascii="Arial" w:hAnsi="Arial"/>
                <w:color w:val="000000"/>
                <w:sz w:val="14"/>
              </w:rPr>
              <w:t>0.18869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rh_mean_lag7_mean</w:t>
            </w:r>
          </w:p>
        </w:tc>
        <w:tc>
          <w:tcPr>
            <w:tcW w:type="dxa" w:w="323"/>
            <w:vAlign w:val="center"/>
          </w:tcPr>
          <w:p>
            <w:r>
              <w:rPr>
                <w:rFonts w:ascii="Arial" w:hAnsi="Arial"/>
                <w:color w:val="000000"/>
                <w:sz w:val="14"/>
              </w:rPr>
              <w:t>-1.2639</w:t>
            </w:r>
          </w:p>
        </w:tc>
        <w:tc>
          <w:tcPr>
            <w:tcW w:type="dxa" w:w="323"/>
            <w:vAlign w:val="center"/>
          </w:tcPr>
          <w:p>
            <w:r>
              <w:rPr>
                <w:rFonts w:ascii="Arial" w:hAnsi="Arial"/>
                <w:color w:val="000000"/>
                <w:sz w:val="14"/>
              </w:rPr>
              <w:t>0.20419</w:t>
            </w:r>
          </w:p>
        </w:tc>
        <w:tc>
          <w:tcPr>
            <w:tcW w:type="dxa" w:w="323"/>
            <w:vAlign w:val="center"/>
          </w:tcPr>
          <w:p>
            <w:r>
              <w:rPr>
                <w:rFonts w:ascii="Arial" w:hAnsi="Arial"/>
                <w:color w:val="000000"/>
                <w:sz w:val="14"/>
              </w:rPr>
              <w:t>0.28256</w:t>
            </w:r>
          </w:p>
        </w:tc>
        <w:tc>
          <w:tcPr>
            <w:tcW w:type="dxa" w:w="323"/>
            <w:vAlign w:val="center"/>
          </w:tcPr>
          <w:p>
            <w:r>
              <w:rPr>
                <w:rFonts w:ascii="Arial" w:hAnsi="Arial"/>
                <w:color w:val="000000"/>
                <w:sz w:val="14"/>
              </w:rPr>
              <w:t>0.18936</w:t>
            </w:r>
          </w:p>
        </w:tc>
        <w:tc>
          <w:tcPr>
            <w:tcW w:type="dxa" w:w="323"/>
            <w:vAlign w:val="center"/>
          </w:tcPr>
          <w:p>
            <w:r>
              <w:rPr>
                <w:rFonts w:ascii="Arial" w:hAnsi="Arial"/>
                <w:color w:val="000000"/>
                <w:sz w:val="14"/>
              </w:rPr>
              <w:t>0.42162</w:t>
            </w:r>
          </w:p>
        </w:tc>
        <w:tc>
          <w:tcPr>
            <w:tcW w:type="dxa" w:w="323"/>
            <w:vAlign w:val="center"/>
          </w:tcPr>
          <w:p>
            <w:r>
              <w:rPr>
                <w:rFonts w:ascii="Arial" w:hAnsi="Arial"/>
                <w:color w:val="000000"/>
                <w:sz w:val="14"/>
              </w:rPr>
              <w:t>6.0342e-10</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-1.387</w:t>
            </w:r>
          </w:p>
        </w:tc>
        <w:tc>
          <w:tcPr>
            <w:tcW w:type="dxa" w:w="323"/>
            <w:vAlign w:val="center"/>
          </w:tcPr>
          <w:p>
            <w:r>
              <w:rPr>
                <w:rFonts w:ascii="Arial" w:hAnsi="Arial"/>
                <w:color w:val="000000"/>
                <w:sz w:val="14"/>
              </w:rPr>
              <w:t>0.34144</w:t>
            </w:r>
          </w:p>
        </w:tc>
        <w:tc>
          <w:tcPr>
            <w:tcW w:type="dxa" w:w="323"/>
            <w:vAlign w:val="center"/>
          </w:tcPr>
          <w:p>
            <w:r>
              <w:rPr>
                <w:rFonts w:ascii="Arial" w:hAnsi="Arial"/>
                <w:color w:val="000000"/>
                <w:sz w:val="14"/>
              </w:rPr>
              <w:t>0.24982</w:t>
            </w:r>
          </w:p>
        </w:tc>
        <w:tc>
          <w:tcPr>
            <w:tcW w:type="dxa" w:w="323"/>
            <w:vAlign w:val="center"/>
          </w:tcPr>
          <w:p>
            <w:r>
              <w:rPr>
                <w:rFonts w:ascii="Arial" w:hAnsi="Arial"/>
                <w:color w:val="000000"/>
                <w:sz w:val="14"/>
              </w:rPr>
              <w:t>0.12793</w:t>
            </w:r>
          </w:p>
        </w:tc>
        <w:tc>
          <w:tcPr>
            <w:tcW w:type="dxa" w:w="323"/>
            <w:vAlign w:val="center"/>
          </w:tcPr>
          <w:p>
            <w:r>
              <w:rPr>
                <w:rFonts w:ascii="Arial" w:hAnsi="Arial"/>
                <w:color w:val="000000"/>
                <w:sz w:val="14"/>
              </w:rPr>
              <w:t>0.48783</w:t>
            </w:r>
          </w:p>
        </w:tc>
        <w:tc>
          <w:tcPr>
            <w:tcW w:type="dxa" w:w="323"/>
            <w:vAlign w:val="center"/>
          </w:tcPr>
          <w:p>
            <w:r>
              <w:rPr>
                <w:rFonts w:ascii="Arial" w:hAnsi="Arial"/>
                <w:color w:val="000000"/>
                <w:sz w:val="14"/>
              </w:rPr>
              <w:t>4.8613e-05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wind_speed_mean_lag7_mean</w:t>
            </w:r>
          </w:p>
        </w:tc>
        <w:tc>
          <w:tcPr>
            <w:tcW w:type="dxa" w:w="323"/>
            <w:vAlign w:val="center"/>
          </w:tcPr>
          <w:p>
            <w:r>
              <w:rPr>
                <w:rFonts w:ascii="Arial" w:hAnsi="Arial"/>
                <w:color w:val="000000"/>
                <w:sz w:val="14"/>
              </w:rPr>
              <w:t>0.4295</w:t>
            </w:r>
          </w:p>
        </w:tc>
        <w:tc>
          <w:tcPr>
            <w:tcW w:type="dxa" w:w="323"/>
            <w:vAlign w:val="center"/>
          </w:tcPr>
          <w:p>
            <w:r>
              <w:rPr>
                <w:rFonts w:ascii="Arial" w:hAnsi="Arial"/>
                <w:color w:val="000000"/>
                <w:sz w:val="14"/>
              </w:rPr>
              <w:t>0.10579</w:t>
            </w:r>
          </w:p>
        </w:tc>
        <w:tc>
          <w:tcPr>
            <w:tcW w:type="dxa" w:w="323"/>
            <w:vAlign w:val="center"/>
          </w:tcPr>
          <w:p>
            <w:r>
              <w:rPr>
                <w:rFonts w:ascii="Arial" w:hAnsi="Arial"/>
                <w:color w:val="000000"/>
                <w:sz w:val="14"/>
              </w:rPr>
              <w:t>1.5365</w:t>
            </w:r>
          </w:p>
        </w:tc>
        <w:tc>
          <w:tcPr>
            <w:tcW w:type="dxa" w:w="323"/>
            <w:vAlign w:val="center"/>
          </w:tcPr>
          <w:p>
            <w:r>
              <w:rPr>
                <w:rFonts w:ascii="Arial" w:hAnsi="Arial"/>
                <w:color w:val="000000"/>
                <w:sz w:val="14"/>
              </w:rPr>
              <w:t>1.2488</w:t>
            </w:r>
          </w:p>
        </w:tc>
        <w:tc>
          <w:tcPr>
            <w:tcW w:type="dxa" w:w="323"/>
            <w:vAlign w:val="center"/>
          </w:tcPr>
          <w:p>
            <w:r>
              <w:rPr>
                <w:rFonts w:ascii="Arial" w:hAnsi="Arial"/>
                <w:color w:val="000000"/>
                <w:sz w:val="14"/>
              </w:rPr>
              <w:t>1.8905</w:t>
            </w:r>
          </w:p>
        </w:tc>
        <w:tc>
          <w:tcPr>
            <w:tcW w:type="dxa" w:w="323"/>
            <w:vAlign w:val="center"/>
          </w:tcPr>
          <w:p>
            <w:r>
              <w:rPr>
                <w:rFonts w:ascii="Arial" w:hAnsi="Arial"/>
                <w:color w:val="000000"/>
                <w:sz w:val="14"/>
              </w:rPr>
              <w:t>4.9091e-05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pressure_mean_lag7_mean</w:t>
            </w:r>
          </w:p>
        </w:tc>
        <w:tc>
          <w:tcPr>
            <w:tcW w:type="dxa" w:w="323"/>
            <w:vAlign w:val="center"/>
          </w:tcPr>
          <w:p>
            <w:r>
              <w:rPr>
                <w:rFonts w:ascii="Arial" w:hAnsi="Arial"/>
                <w:color w:val="000000"/>
                <w:sz w:val="14"/>
              </w:rPr>
              <w:t>0.12586</w:t>
            </w:r>
          </w:p>
        </w:tc>
        <w:tc>
          <w:tcPr>
            <w:tcW w:type="dxa" w:w="323"/>
            <w:vAlign w:val="center"/>
          </w:tcPr>
          <w:p>
            <w:r>
              <w:rPr>
                <w:rFonts w:ascii="Arial" w:hAnsi="Arial"/>
                <w:color w:val="000000"/>
                <w:sz w:val="14"/>
              </w:rPr>
              <w:t>0.26123</w:t>
            </w:r>
          </w:p>
        </w:tc>
        <w:tc>
          <w:tcPr>
            <w:tcW w:type="dxa" w:w="323"/>
            <w:vAlign w:val="center"/>
          </w:tcPr>
          <w:p>
            <w:r>
              <w:rPr>
                <w:rFonts w:ascii="Arial" w:hAnsi="Arial"/>
                <w:color w:val="000000"/>
                <w:sz w:val="14"/>
              </w:rPr>
              <w:t>1.1341</w:t>
            </w:r>
          </w:p>
        </w:tc>
        <w:tc>
          <w:tcPr>
            <w:tcW w:type="dxa" w:w="323"/>
            <w:vAlign w:val="center"/>
          </w:tcPr>
          <w:p>
            <w:r>
              <w:rPr>
                <w:rFonts w:ascii="Arial" w:hAnsi="Arial"/>
                <w:color w:val="000000"/>
                <w:sz w:val="14"/>
              </w:rPr>
              <w:t>0.67967</w:t>
            </w:r>
          </w:p>
        </w:tc>
        <w:tc>
          <w:tcPr>
            <w:tcW w:type="dxa" w:w="323"/>
            <w:vAlign w:val="center"/>
          </w:tcPr>
          <w:p>
            <w:r>
              <w:rPr>
                <w:rFonts w:ascii="Arial" w:hAnsi="Arial"/>
                <w:color w:val="000000"/>
                <w:sz w:val="14"/>
              </w:rPr>
              <w:t>1.8924</w:t>
            </w:r>
          </w:p>
        </w:tc>
        <w:tc>
          <w:tcPr>
            <w:tcW w:type="dxa" w:w="323"/>
            <w:vAlign w:val="center"/>
          </w:tcPr>
          <w:p>
            <w:r>
              <w:rPr>
                <w:rFonts w:ascii="Arial" w:hAnsi="Arial"/>
                <w:color w:val="000000"/>
                <w:sz w:val="14"/>
              </w:rPr>
              <w:t>0.62995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0.32743</w:t>
            </w:r>
          </w:p>
        </w:tc>
        <w:tc>
          <w:tcPr>
            <w:tcW w:type="dxa" w:w="323"/>
            <w:vAlign w:val="center"/>
          </w:tcPr>
          <w:p>
            <w:r>
              <w:rPr>
                <w:rFonts w:ascii="Arial" w:hAnsi="Arial"/>
                <w:color w:val="000000"/>
                <w:sz w:val="14"/>
              </w:rPr>
              <w:t>0.19054</w:t>
            </w:r>
          </w:p>
        </w:tc>
        <w:tc>
          <w:tcPr>
            <w:tcW w:type="dxa" w:w="323"/>
            <w:vAlign w:val="center"/>
          </w:tcPr>
          <w:p>
            <w:r>
              <w:rPr>
                <w:rFonts w:ascii="Arial" w:hAnsi="Arial"/>
                <w:color w:val="000000"/>
                <w:sz w:val="14"/>
              </w:rPr>
              <w:t>1.3874</w:t>
            </w:r>
          </w:p>
        </w:tc>
        <w:tc>
          <w:tcPr>
            <w:tcW w:type="dxa" w:w="323"/>
            <w:vAlign w:val="center"/>
          </w:tcPr>
          <w:p>
            <w:r>
              <w:rPr>
                <w:rFonts w:ascii="Arial" w:hAnsi="Arial"/>
                <w:color w:val="000000"/>
                <w:sz w:val="14"/>
              </w:rPr>
              <w:t>0.95502</w:t>
            </w:r>
          </w:p>
        </w:tc>
        <w:tc>
          <w:tcPr>
            <w:tcW w:type="dxa" w:w="323"/>
            <w:vAlign w:val="center"/>
          </w:tcPr>
          <w:p>
            <w:r>
              <w:rPr>
                <w:rFonts w:ascii="Arial" w:hAnsi="Arial"/>
                <w:color w:val="000000"/>
                <w:sz w:val="14"/>
              </w:rPr>
              <w:t>2.0155</w:t>
            </w:r>
          </w:p>
        </w:tc>
        <w:tc>
          <w:tcPr>
            <w:tcW w:type="dxa" w:w="323"/>
            <w:vAlign w:val="center"/>
          </w:tcPr>
          <w:p>
            <w:r>
              <w:rPr>
                <w:rFonts w:ascii="Arial" w:hAnsi="Arial"/>
                <w:color w:val="000000"/>
                <w:sz w:val="14"/>
              </w:rPr>
              <w:t>0.085722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-1.2208</w:t>
            </w:r>
          </w:p>
        </w:tc>
        <w:tc>
          <w:tcPr>
            <w:tcW w:type="dxa" w:w="323"/>
            <w:vAlign w:val="center"/>
          </w:tcPr>
          <w:p>
            <w:r>
              <w:rPr>
                <w:rFonts w:ascii="Arial" w:hAnsi="Arial"/>
                <w:color w:val="000000"/>
                <w:sz w:val="14"/>
              </w:rPr>
              <w:t>0.14284</w:t>
            </w:r>
          </w:p>
        </w:tc>
        <w:tc>
          <w:tcPr>
            <w:tcW w:type="dxa" w:w="323"/>
            <w:vAlign w:val="center"/>
          </w:tcPr>
          <w:p>
            <w:r>
              <w:rPr>
                <w:rFonts w:ascii="Arial" w:hAnsi="Arial"/>
                <w:color w:val="000000"/>
                <w:sz w:val="14"/>
              </w:rPr>
              <w:t>0.295</w:t>
            </w:r>
          </w:p>
        </w:tc>
        <w:tc>
          <w:tcPr>
            <w:tcW w:type="dxa" w:w="323"/>
            <w:vAlign w:val="center"/>
          </w:tcPr>
          <w:p>
            <w:r>
              <w:rPr>
                <w:rFonts w:ascii="Arial" w:hAnsi="Arial"/>
                <w:color w:val="000000"/>
                <w:sz w:val="14"/>
              </w:rPr>
              <w:t>0.22296</w:t>
            </w:r>
          </w:p>
        </w:tc>
        <w:tc>
          <w:tcPr>
            <w:tcW w:type="dxa" w:w="323"/>
            <w:vAlign w:val="center"/>
          </w:tcPr>
          <w:p>
            <w:r>
              <w:rPr>
                <w:rFonts w:ascii="Arial" w:hAnsi="Arial"/>
                <w:color w:val="000000"/>
                <w:sz w:val="14"/>
              </w:rPr>
              <w:t>0.39031</w:t>
            </w:r>
          </w:p>
        </w:tc>
        <w:tc>
          <w:tcPr>
            <w:tcW w:type="dxa" w:w="323"/>
            <w:vAlign w:val="center"/>
          </w:tcPr>
          <w:p>
            <w:r>
              <w:rPr>
                <w:rFonts w:ascii="Arial" w:hAnsi="Arial"/>
                <w:color w:val="000000"/>
                <w:sz w:val="14"/>
              </w:rPr>
              <w:t>1.2718e-17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-1.785</w:t>
            </w:r>
          </w:p>
        </w:tc>
        <w:tc>
          <w:tcPr>
            <w:tcW w:type="dxa" w:w="323"/>
            <w:vAlign w:val="center"/>
          </w:tcPr>
          <w:p>
            <w:r>
              <w:rPr>
                <w:rFonts w:ascii="Arial" w:hAnsi="Arial"/>
                <w:color w:val="000000"/>
                <w:sz w:val="14"/>
              </w:rPr>
              <w:t>0.4347</w:t>
            </w:r>
          </w:p>
        </w:tc>
        <w:tc>
          <w:tcPr>
            <w:tcW w:type="dxa" w:w="323"/>
            <w:vAlign w:val="center"/>
          </w:tcPr>
          <w:p>
            <w:r>
              <w:rPr>
                <w:rFonts w:ascii="Arial" w:hAnsi="Arial"/>
                <w:color w:val="000000"/>
                <w:sz w:val="14"/>
              </w:rPr>
              <w:t>0.1678</w:t>
            </w:r>
          </w:p>
        </w:tc>
        <w:tc>
          <w:tcPr>
            <w:tcW w:type="dxa" w:w="323"/>
            <w:vAlign w:val="center"/>
          </w:tcPr>
          <w:p>
            <w:r>
              <w:rPr>
                <w:rFonts w:ascii="Arial" w:hAnsi="Arial"/>
                <w:color w:val="000000"/>
                <w:sz w:val="14"/>
              </w:rPr>
              <w:t>0.071576</w:t>
            </w:r>
          </w:p>
        </w:tc>
        <w:tc>
          <w:tcPr>
            <w:tcW w:type="dxa" w:w="323"/>
            <w:vAlign w:val="center"/>
          </w:tcPr>
          <w:p>
            <w:r>
              <w:rPr>
                <w:rFonts w:ascii="Arial" w:hAnsi="Arial"/>
                <w:color w:val="000000"/>
                <w:sz w:val="14"/>
              </w:rPr>
              <w:t>0.39337</w:t>
            </w:r>
          </w:p>
        </w:tc>
        <w:tc>
          <w:tcPr>
            <w:tcW w:type="dxa" w:w="323"/>
            <w:vAlign w:val="center"/>
          </w:tcPr>
          <w:p>
            <w:r>
              <w:rPr>
                <w:rFonts w:ascii="Arial" w:hAnsi="Arial"/>
                <w:color w:val="000000"/>
                <w:sz w:val="14"/>
              </w:rPr>
              <w:t>4.021e-05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0.28312</w:t>
            </w:r>
          </w:p>
        </w:tc>
        <w:tc>
          <w:tcPr>
            <w:tcW w:type="dxa" w:w="323"/>
            <w:vAlign w:val="center"/>
          </w:tcPr>
          <w:p>
            <w:r>
              <w:rPr>
                <w:rFonts w:ascii="Arial" w:hAnsi="Arial"/>
                <w:color w:val="000000"/>
                <w:sz w:val="14"/>
              </w:rPr>
              <w:t>0.10616</w:t>
            </w:r>
          </w:p>
        </w:tc>
        <w:tc>
          <w:tcPr>
            <w:tcW w:type="dxa" w:w="323"/>
            <w:vAlign w:val="center"/>
          </w:tcPr>
          <w:p>
            <w:r>
              <w:rPr>
                <w:rFonts w:ascii="Arial" w:hAnsi="Arial"/>
                <w:color w:val="000000"/>
                <w:sz w:val="14"/>
              </w:rPr>
              <w:t>1.3273</w:t>
            </w:r>
          </w:p>
        </w:tc>
        <w:tc>
          <w:tcPr>
            <w:tcW w:type="dxa" w:w="323"/>
            <w:vAlign w:val="center"/>
          </w:tcPr>
          <w:p>
            <w:r>
              <w:rPr>
                <w:rFonts w:ascii="Arial" w:hAnsi="Arial"/>
                <w:color w:val="000000"/>
                <w:sz w:val="14"/>
              </w:rPr>
              <w:t>1.0779</w:t>
            </w:r>
          </w:p>
        </w:tc>
        <w:tc>
          <w:tcPr>
            <w:tcW w:type="dxa" w:w="323"/>
            <w:vAlign w:val="center"/>
          </w:tcPr>
          <w:p>
            <w:r>
              <w:rPr>
                <w:rFonts w:ascii="Arial" w:hAnsi="Arial"/>
                <w:color w:val="000000"/>
                <w:sz w:val="14"/>
              </w:rPr>
              <w:t>1.6343</w:t>
            </w:r>
          </w:p>
        </w:tc>
        <w:tc>
          <w:tcPr>
            <w:tcW w:type="dxa" w:w="323"/>
            <w:vAlign w:val="center"/>
          </w:tcPr>
          <w:p>
            <w:r>
              <w:rPr>
                <w:rFonts w:ascii="Arial" w:hAnsi="Arial"/>
                <w:color w:val="000000"/>
                <w:sz w:val="14"/>
              </w:rPr>
              <w:t>0.0076549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-0.46786</w:t>
            </w:r>
          </w:p>
        </w:tc>
        <w:tc>
          <w:tcPr>
            <w:tcW w:type="dxa" w:w="323"/>
            <w:vAlign w:val="center"/>
          </w:tcPr>
          <w:p>
            <w:r>
              <w:rPr>
                <w:rFonts w:ascii="Arial" w:hAnsi="Arial"/>
                <w:color w:val="000000"/>
                <w:sz w:val="14"/>
              </w:rPr>
              <w:t>0.27872</w:t>
            </w:r>
          </w:p>
        </w:tc>
        <w:tc>
          <w:tcPr>
            <w:tcW w:type="dxa" w:w="323"/>
            <w:vAlign w:val="center"/>
          </w:tcPr>
          <w:p>
            <w:r>
              <w:rPr>
                <w:rFonts w:ascii="Arial" w:hAnsi="Arial"/>
                <w:color w:val="000000"/>
                <w:sz w:val="14"/>
              </w:rPr>
              <w:t>0.62634</w:t>
            </w:r>
          </w:p>
        </w:tc>
        <w:tc>
          <w:tcPr>
            <w:tcW w:type="dxa" w:w="323"/>
            <w:vAlign w:val="center"/>
          </w:tcPr>
          <w:p>
            <w:r>
              <w:rPr>
                <w:rFonts w:ascii="Arial" w:hAnsi="Arial"/>
                <w:color w:val="000000"/>
                <w:sz w:val="14"/>
              </w:rPr>
              <w:t>0.36271</w:t>
            </w:r>
          </w:p>
        </w:tc>
        <w:tc>
          <w:tcPr>
            <w:tcW w:type="dxa" w:w="323"/>
            <w:vAlign w:val="center"/>
          </w:tcPr>
          <w:p>
            <w:r>
              <w:rPr>
                <w:rFonts w:ascii="Arial" w:hAnsi="Arial"/>
                <w:color w:val="000000"/>
                <w:sz w:val="14"/>
              </w:rPr>
              <w:t>1.0816</w:t>
            </w:r>
          </w:p>
        </w:tc>
        <w:tc>
          <w:tcPr>
            <w:tcW w:type="dxa" w:w="323"/>
            <w:vAlign w:val="center"/>
          </w:tcPr>
          <w:p>
            <w:r>
              <w:rPr>
                <w:rFonts w:ascii="Arial" w:hAnsi="Arial"/>
                <w:color w:val="000000"/>
                <w:sz w:val="14"/>
              </w:rPr>
              <w:t>0.093229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0.066839</w:t>
            </w:r>
          </w:p>
        </w:tc>
        <w:tc>
          <w:tcPr>
            <w:tcW w:type="dxa" w:w="323"/>
            <w:vAlign w:val="center"/>
          </w:tcPr>
          <w:p>
            <w:r>
              <w:rPr>
                <w:rFonts w:ascii="Arial" w:hAnsi="Arial"/>
                <w:color w:val="000000"/>
                <w:sz w:val="14"/>
              </w:rPr>
              <w:t>0.20276</w:t>
            </w:r>
          </w:p>
        </w:tc>
        <w:tc>
          <w:tcPr>
            <w:tcW w:type="dxa" w:w="323"/>
            <w:vAlign w:val="center"/>
          </w:tcPr>
          <w:p>
            <w:r>
              <w:rPr>
                <w:rFonts w:ascii="Arial" w:hAnsi="Arial"/>
                <w:color w:val="000000"/>
                <w:sz w:val="14"/>
              </w:rPr>
              <w:t>1.0691</w:t>
            </w:r>
          </w:p>
        </w:tc>
        <w:tc>
          <w:tcPr>
            <w:tcW w:type="dxa" w:w="323"/>
            <w:vAlign w:val="center"/>
          </w:tcPr>
          <w:p>
            <w:r>
              <w:rPr>
                <w:rFonts w:ascii="Arial" w:hAnsi="Arial"/>
                <w:color w:val="000000"/>
                <w:sz w:val="14"/>
              </w:rPr>
              <w:t>0.71851</w:t>
            </w:r>
          </w:p>
        </w:tc>
        <w:tc>
          <w:tcPr>
            <w:tcW w:type="dxa" w:w="323"/>
            <w:vAlign w:val="center"/>
          </w:tcPr>
          <w:p>
            <w:r>
              <w:rPr>
                <w:rFonts w:ascii="Arial" w:hAnsi="Arial"/>
                <w:color w:val="000000"/>
                <w:sz w:val="14"/>
              </w:rPr>
              <w:t>1.5908</w:t>
            </w:r>
          </w:p>
        </w:tc>
        <w:tc>
          <w:tcPr>
            <w:tcW w:type="dxa" w:w="323"/>
            <w:vAlign w:val="center"/>
          </w:tcPr>
          <w:p>
            <w:r>
              <w:rPr>
                <w:rFonts w:ascii="Arial" w:hAnsi="Arial"/>
                <w:color w:val="000000"/>
                <w:sz w:val="14"/>
              </w:rPr>
              <w:t>0.74167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-0.84458</w:t>
            </w:r>
          </w:p>
        </w:tc>
        <w:tc>
          <w:tcPr>
            <w:tcW w:type="dxa" w:w="323"/>
            <w:vAlign w:val="center"/>
          </w:tcPr>
          <w:p>
            <w:r>
              <w:rPr>
                <w:rFonts w:ascii="Arial" w:hAnsi="Arial"/>
                <w:color w:val="000000"/>
                <w:sz w:val="14"/>
              </w:rPr>
              <w:t>0.16541</w:t>
            </w:r>
          </w:p>
        </w:tc>
        <w:tc>
          <w:tcPr>
            <w:tcW w:type="dxa" w:w="323"/>
            <w:vAlign w:val="center"/>
          </w:tcPr>
          <w:p>
            <w:r>
              <w:rPr>
                <w:rFonts w:ascii="Arial" w:hAnsi="Arial"/>
                <w:color w:val="000000"/>
                <w:sz w:val="14"/>
              </w:rPr>
              <w:t>0.42974</w:t>
            </w:r>
          </w:p>
        </w:tc>
        <w:tc>
          <w:tcPr>
            <w:tcW w:type="dxa" w:w="323"/>
            <w:vAlign w:val="center"/>
          </w:tcPr>
          <w:p>
            <w:r>
              <w:rPr>
                <w:rFonts w:ascii="Arial" w:hAnsi="Arial"/>
                <w:color w:val="000000"/>
                <w:sz w:val="14"/>
              </w:rPr>
              <w:t>0.31074</w:t>
            </w:r>
          </w:p>
        </w:tc>
        <w:tc>
          <w:tcPr>
            <w:tcW w:type="dxa" w:w="323"/>
            <w:vAlign w:val="center"/>
          </w:tcPr>
          <w:p>
            <w:r>
              <w:rPr>
                <w:rFonts w:ascii="Arial" w:hAnsi="Arial"/>
                <w:color w:val="000000"/>
                <w:sz w:val="14"/>
              </w:rPr>
              <w:t>0.59429</w:t>
            </w:r>
          </w:p>
        </w:tc>
        <w:tc>
          <w:tcPr>
            <w:tcW w:type="dxa" w:w="323"/>
            <w:vAlign w:val="center"/>
          </w:tcPr>
          <w:p>
            <w:r>
              <w:rPr>
                <w:rFonts w:ascii="Arial" w:hAnsi="Arial"/>
                <w:color w:val="000000"/>
                <w:sz w:val="14"/>
              </w:rPr>
              <w:t>3.2914e-07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-2.3027</w:t>
            </w:r>
          </w:p>
        </w:tc>
        <w:tc>
          <w:tcPr>
            <w:tcW w:type="dxa" w:w="323"/>
            <w:vAlign w:val="center"/>
          </w:tcPr>
          <w:p>
            <w:r>
              <w:rPr>
                <w:rFonts w:ascii="Arial" w:hAnsi="Arial"/>
                <w:color w:val="000000"/>
                <w:sz w:val="14"/>
              </w:rPr>
              <w:t>0.35355</w:t>
            </w:r>
          </w:p>
        </w:tc>
        <w:tc>
          <w:tcPr>
            <w:tcW w:type="dxa" w:w="323"/>
            <w:vAlign w:val="center"/>
          </w:tcPr>
          <w:p>
            <w:r>
              <w:rPr>
                <w:rFonts w:ascii="Arial" w:hAnsi="Arial"/>
                <w:color w:val="000000"/>
                <w:sz w:val="14"/>
              </w:rPr>
              <w:t>0.099988</w:t>
            </w:r>
          </w:p>
        </w:tc>
        <w:tc>
          <w:tcPr>
            <w:tcW w:type="dxa" w:w="323"/>
            <w:vAlign w:val="center"/>
          </w:tcPr>
          <w:p>
            <w:r>
              <w:rPr>
                <w:rFonts w:ascii="Arial" w:hAnsi="Arial"/>
                <w:color w:val="000000"/>
                <w:sz w:val="14"/>
              </w:rPr>
              <w:t>0.050005</w:t>
            </w:r>
          </w:p>
        </w:tc>
        <w:tc>
          <w:tcPr>
            <w:tcW w:type="dxa" w:w="323"/>
            <w:vAlign w:val="center"/>
          </w:tcPr>
          <w:p>
            <w:r>
              <w:rPr>
                <w:rFonts w:ascii="Arial" w:hAnsi="Arial"/>
                <w:color w:val="000000"/>
                <w:sz w:val="14"/>
              </w:rPr>
              <w:t>0.19993</w:t>
            </w:r>
          </w:p>
        </w:tc>
        <w:tc>
          <w:tcPr>
            <w:tcW w:type="dxa" w:w="323"/>
            <w:vAlign w:val="center"/>
          </w:tcPr>
          <w:p>
            <w:r>
              <w:rPr>
                <w:rFonts w:ascii="Arial" w:hAnsi="Arial"/>
                <w:color w:val="000000"/>
                <w:sz w:val="14"/>
              </w:rPr>
              <w:t>7.3585e-11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0.22746</w:t>
            </w:r>
          </w:p>
        </w:tc>
        <w:tc>
          <w:tcPr>
            <w:tcW w:type="dxa" w:w="323"/>
            <w:vAlign w:val="center"/>
          </w:tcPr>
          <w:p>
            <w:r>
              <w:rPr>
                <w:rFonts w:ascii="Arial" w:hAnsi="Arial"/>
                <w:color w:val="000000"/>
                <w:sz w:val="14"/>
              </w:rPr>
              <w:t>0.10623</w:t>
            </w:r>
          </w:p>
        </w:tc>
        <w:tc>
          <w:tcPr>
            <w:tcW w:type="dxa" w:w="323"/>
            <w:vAlign w:val="center"/>
          </w:tcPr>
          <w:p>
            <w:r>
              <w:rPr>
                <w:rFonts w:ascii="Arial" w:hAnsi="Arial"/>
                <w:color w:val="000000"/>
                <w:sz w:val="14"/>
              </w:rPr>
              <w:t>1.2554</w:t>
            </w:r>
          </w:p>
        </w:tc>
        <w:tc>
          <w:tcPr>
            <w:tcW w:type="dxa" w:w="323"/>
            <w:vAlign w:val="center"/>
          </w:tcPr>
          <w:p>
            <w:r>
              <w:rPr>
                <w:rFonts w:ascii="Arial" w:hAnsi="Arial"/>
                <w:color w:val="000000"/>
                <w:sz w:val="14"/>
              </w:rPr>
              <w:t>1.0194</w:t>
            </w:r>
          </w:p>
        </w:tc>
        <w:tc>
          <w:tcPr>
            <w:tcW w:type="dxa" w:w="323"/>
            <w:vAlign w:val="center"/>
          </w:tcPr>
          <w:p>
            <w:r>
              <w:rPr>
                <w:rFonts w:ascii="Arial" w:hAnsi="Arial"/>
                <w:color w:val="000000"/>
                <w:sz w:val="14"/>
              </w:rPr>
              <w:t>1.546</w:t>
            </w:r>
          </w:p>
        </w:tc>
        <w:tc>
          <w:tcPr>
            <w:tcW w:type="dxa" w:w="323"/>
            <w:vAlign w:val="center"/>
          </w:tcPr>
          <w:p>
            <w:r>
              <w:rPr>
                <w:rFonts w:ascii="Arial" w:hAnsi="Arial"/>
                <w:color w:val="000000"/>
                <w:sz w:val="14"/>
              </w:rPr>
              <w:t>0.032258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-0.40827</w:t>
            </w:r>
          </w:p>
        </w:tc>
        <w:tc>
          <w:tcPr>
            <w:tcW w:type="dxa" w:w="323"/>
            <w:vAlign w:val="center"/>
          </w:tcPr>
          <w:p>
            <w:r>
              <w:rPr>
                <w:rFonts w:ascii="Arial" w:hAnsi="Arial"/>
                <w:color w:val="000000"/>
                <w:sz w:val="14"/>
              </w:rPr>
              <w:t>0.26933</w:t>
            </w:r>
          </w:p>
        </w:tc>
        <w:tc>
          <w:tcPr>
            <w:tcW w:type="dxa" w:w="323"/>
            <w:vAlign w:val="center"/>
          </w:tcPr>
          <w:p>
            <w:r>
              <w:rPr>
                <w:rFonts w:ascii="Arial" w:hAnsi="Arial"/>
                <w:color w:val="000000"/>
                <w:sz w:val="14"/>
              </w:rPr>
              <w:t>0.6648</w:t>
            </w:r>
          </w:p>
        </w:tc>
        <w:tc>
          <w:tcPr>
            <w:tcW w:type="dxa" w:w="323"/>
            <w:vAlign w:val="center"/>
          </w:tcPr>
          <w:p>
            <w:r>
              <w:rPr>
                <w:rFonts w:ascii="Arial" w:hAnsi="Arial"/>
                <w:color w:val="000000"/>
                <w:sz w:val="14"/>
              </w:rPr>
              <w:t>0.39214</w:t>
            </w:r>
          </w:p>
        </w:tc>
        <w:tc>
          <w:tcPr>
            <w:tcW w:type="dxa" w:w="323"/>
            <w:vAlign w:val="center"/>
          </w:tcPr>
          <w:p>
            <w:r>
              <w:rPr>
                <w:rFonts w:ascii="Arial" w:hAnsi="Arial"/>
                <w:color w:val="000000"/>
                <w:sz w:val="14"/>
              </w:rPr>
              <w:t>1.1271</w:t>
            </w:r>
          </w:p>
        </w:tc>
        <w:tc>
          <w:tcPr>
            <w:tcW w:type="dxa" w:w="323"/>
            <w:vAlign w:val="center"/>
          </w:tcPr>
          <w:p>
            <w:r>
              <w:rPr>
                <w:rFonts w:ascii="Arial" w:hAnsi="Arial"/>
                <w:color w:val="000000"/>
                <w:sz w:val="14"/>
              </w:rPr>
              <w:t>0.12955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0.14335</w:t>
            </w:r>
          </w:p>
        </w:tc>
        <w:tc>
          <w:tcPr>
            <w:tcW w:type="dxa" w:w="323"/>
            <w:vAlign w:val="center"/>
          </w:tcPr>
          <w:p>
            <w:r>
              <w:rPr>
                <w:rFonts w:ascii="Arial" w:hAnsi="Arial"/>
                <w:color w:val="000000"/>
                <w:sz w:val="14"/>
              </w:rPr>
              <w:t>0.18664</w:t>
            </w:r>
          </w:p>
        </w:tc>
        <w:tc>
          <w:tcPr>
            <w:tcW w:type="dxa" w:w="323"/>
            <w:vAlign w:val="center"/>
          </w:tcPr>
          <w:p>
            <w:r>
              <w:rPr>
                <w:rFonts w:ascii="Arial" w:hAnsi="Arial"/>
                <w:color w:val="000000"/>
                <w:sz w:val="14"/>
              </w:rPr>
              <w:t>1.1541</w:t>
            </w:r>
          </w:p>
        </w:tc>
        <w:tc>
          <w:tcPr>
            <w:tcW w:type="dxa" w:w="323"/>
            <w:vAlign w:val="center"/>
          </w:tcPr>
          <w:p>
            <w:r>
              <w:rPr>
                <w:rFonts w:ascii="Arial" w:hAnsi="Arial"/>
                <w:color w:val="000000"/>
                <w:sz w:val="14"/>
              </w:rPr>
              <w:t>0.80055</w:t>
            </w:r>
          </w:p>
        </w:tc>
        <w:tc>
          <w:tcPr>
            <w:tcW w:type="dxa" w:w="323"/>
            <w:vAlign w:val="center"/>
          </w:tcPr>
          <w:p>
            <w:r>
              <w:rPr>
                <w:rFonts w:ascii="Arial" w:hAnsi="Arial"/>
                <w:color w:val="000000"/>
                <w:sz w:val="14"/>
              </w:rPr>
              <w:t>1.6639</w:t>
            </w:r>
          </w:p>
        </w:tc>
        <w:tc>
          <w:tcPr>
            <w:tcW w:type="dxa" w:w="323"/>
            <w:vAlign w:val="center"/>
          </w:tcPr>
          <w:p>
            <w:r>
              <w:rPr>
                <w:rFonts w:ascii="Arial" w:hAnsi="Arial"/>
                <w:color w:val="000000"/>
                <w:sz w:val="14"/>
              </w:rPr>
              <w:t>0.44246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-1.281</w:t>
            </w:r>
          </w:p>
        </w:tc>
        <w:tc>
          <w:tcPr>
            <w:tcW w:type="dxa" w:w="323"/>
            <w:vAlign w:val="center"/>
          </w:tcPr>
          <w:p>
            <w:r>
              <w:rPr>
                <w:rFonts w:ascii="Arial" w:hAnsi="Arial"/>
                <w:color w:val="000000"/>
                <w:sz w:val="14"/>
              </w:rPr>
              <w:t>0.14409</w:t>
            </w:r>
          </w:p>
        </w:tc>
        <w:tc>
          <w:tcPr>
            <w:tcW w:type="dxa" w:w="323"/>
            <w:vAlign w:val="center"/>
          </w:tcPr>
          <w:p>
            <w:r>
              <w:rPr>
                <w:rFonts w:ascii="Arial" w:hAnsi="Arial"/>
                <w:color w:val="000000"/>
                <w:sz w:val="14"/>
              </w:rPr>
              <w:t>0.27775</w:t>
            </w:r>
          </w:p>
        </w:tc>
        <w:tc>
          <w:tcPr>
            <w:tcW w:type="dxa" w:w="323"/>
            <w:vAlign w:val="center"/>
          </w:tcPr>
          <w:p>
            <w:r>
              <w:rPr>
                <w:rFonts w:ascii="Arial" w:hAnsi="Arial"/>
                <w:color w:val="000000"/>
                <w:sz w:val="14"/>
              </w:rPr>
              <w:t>0.20941</w:t>
            </w:r>
          </w:p>
        </w:tc>
        <w:tc>
          <w:tcPr>
            <w:tcW w:type="dxa" w:w="323"/>
            <w:vAlign w:val="center"/>
          </w:tcPr>
          <w:p>
            <w:r>
              <w:rPr>
                <w:rFonts w:ascii="Arial" w:hAnsi="Arial"/>
                <w:color w:val="000000"/>
                <w:sz w:val="14"/>
              </w:rPr>
              <w:t>0.36838</w:t>
            </w:r>
          </w:p>
        </w:tc>
        <w:tc>
          <w:tcPr>
            <w:tcW w:type="dxa" w:w="323"/>
            <w:vAlign w:val="center"/>
          </w:tcPr>
          <w:p>
            <w:r>
              <w:rPr>
                <w:rFonts w:ascii="Arial" w:hAnsi="Arial"/>
                <w:color w:val="000000"/>
                <w:sz w:val="14"/>
              </w:rPr>
              <w:t>6.072e-19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-1.98</w:t>
            </w:r>
          </w:p>
        </w:tc>
        <w:tc>
          <w:tcPr>
            <w:tcW w:type="dxa" w:w="323"/>
            <w:vAlign w:val="center"/>
          </w:tcPr>
          <w:p>
            <w:r>
              <w:rPr>
                <w:rFonts w:ascii="Arial" w:hAnsi="Arial"/>
                <w:color w:val="000000"/>
                <w:sz w:val="14"/>
              </w:rPr>
              <w:t>0.45891</w:t>
            </w:r>
          </w:p>
        </w:tc>
        <w:tc>
          <w:tcPr>
            <w:tcW w:type="dxa" w:w="323"/>
            <w:vAlign w:val="center"/>
          </w:tcPr>
          <w:p>
            <w:r>
              <w:rPr>
                <w:rFonts w:ascii="Arial" w:hAnsi="Arial"/>
                <w:color w:val="000000"/>
                <w:sz w:val="14"/>
              </w:rPr>
              <w:t>0.13806</w:t>
            </w:r>
          </w:p>
        </w:tc>
        <w:tc>
          <w:tcPr>
            <w:tcW w:type="dxa" w:w="323"/>
            <w:vAlign w:val="center"/>
          </w:tcPr>
          <w:p>
            <w:r>
              <w:rPr>
                <w:rFonts w:ascii="Arial" w:hAnsi="Arial"/>
                <w:color w:val="000000"/>
                <w:sz w:val="14"/>
              </w:rPr>
              <w:t>0.056164</w:t>
            </w:r>
          </w:p>
        </w:tc>
        <w:tc>
          <w:tcPr>
            <w:tcW w:type="dxa" w:w="323"/>
            <w:vAlign w:val="center"/>
          </w:tcPr>
          <w:p>
            <w:r>
              <w:rPr>
                <w:rFonts w:ascii="Arial" w:hAnsi="Arial"/>
                <w:color w:val="000000"/>
                <w:sz w:val="14"/>
              </w:rPr>
              <w:t>0.33939</w:t>
            </w:r>
          </w:p>
        </w:tc>
        <w:tc>
          <w:tcPr>
            <w:tcW w:type="dxa" w:w="323"/>
            <w:vAlign w:val="center"/>
          </w:tcPr>
          <w:p>
            <w:r>
              <w:rPr>
                <w:rFonts w:ascii="Arial" w:hAnsi="Arial"/>
                <w:color w:val="000000"/>
                <w:sz w:val="14"/>
              </w:rPr>
              <w:t>1.5985e-05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0.33999</w:t>
            </w:r>
          </w:p>
        </w:tc>
        <w:tc>
          <w:tcPr>
            <w:tcW w:type="dxa" w:w="323"/>
            <w:vAlign w:val="center"/>
          </w:tcPr>
          <w:p>
            <w:r>
              <w:rPr>
                <w:rFonts w:ascii="Arial" w:hAnsi="Arial"/>
                <w:color w:val="000000"/>
                <w:sz w:val="14"/>
              </w:rPr>
              <w:t>0.09766</w:t>
            </w:r>
          </w:p>
        </w:tc>
        <w:tc>
          <w:tcPr>
            <w:tcW w:type="dxa" w:w="323"/>
            <w:vAlign w:val="center"/>
          </w:tcPr>
          <w:p>
            <w:r>
              <w:rPr>
                <w:rFonts w:ascii="Arial" w:hAnsi="Arial"/>
                <w:color w:val="000000"/>
                <w:sz w:val="14"/>
              </w:rPr>
              <w:t>1.4049</w:t>
            </w:r>
          </w:p>
        </w:tc>
        <w:tc>
          <w:tcPr>
            <w:tcW w:type="dxa" w:w="323"/>
            <w:vAlign w:val="center"/>
          </w:tcPr>
          <w:p>
            <w:r>
              <w:rPr>
                <w:rFonts w:ascii="Arial" w:hAnsi="Arial"/>
                <w:color w:val="000000"/>
                <w:sz w:val="14"/>
              </w:rPr>
              <w:t>1.1602</w:t>
            </w:r>
          </w:p>
        </w:tc>
        <w:tc>
          <w:tcPr>
            <w:tcW w:type="dxa" w:w="323"/>
            <w:vAlign w:val="center"/>
          </w:tcPr>
          <w:p>
            <w:r>
              <w:rPr>
                <w:rFonts w:ascii="Arial" w:hAnsi="Arial"/>
                <w:color w:val="000000"/>
                <w:sz w:val="14"/>
              </w:rPr>
              <w:t>1.7013</w:t>
            </w:r>
          </w:p>
        </w:tc>
        <w:tc>
          <w:tcPr>
            <w:tcW w:type="dxa" w:w="323"/>
            <w:vAlign w:val="center"/>
          </w:tcPr>
          <w:p>
            <w:r>
              <w:rPr>
                <w:rFonts w:ascii="Arial" w:hAnsi="Arial"/>
                <w:color w:val="000000"/>
                <w:sz w:val="14"/>
              </w:rPr>
              <w:t>0.00049879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-0.41009</w:t>
            </w:r>
          </w:p>
        </w:tc>
        <w:tc>
          <w:tcPr>
            <w:tcW w:type="dxa" w:w="323"/>
            <w:vAlign w:val="center"/>
          </w:tcPr>
          <w:p>
            <w:r>
              <w:rPr>
                <w:rFonts w:ascii="Arial" w:hAnsi="Arial"/>
                <w:color w:val="000000"/>
                <w:sz w:val="14"/>
              </w:rPr>
              <w:t>0.27915</w:t>
            </w:r>
          </w:p>
        </w:tc>
        <w:tc>
          <w:tcPr>
            <w:tcW w:type="dxa" w:w="323"/>
            <w:vAlign w:val="center"/>
          </w:tcPr>
          <w:p>
            <w:r>
              <w:rPr>
                <w:rFonts w:ascii="Arial" w:hAnsi="Arial"/>
                <w:color w:val="000000"/>
                <w:sz w:val="14"/>
              </w:rPr>
              <w:t>0.66359</w:t>
            </w:r>
          </w:p>
        </w:tc>
        <w:tc>
          <w:tcPr>
            <w:tcW w:type="dxa" w:w="323"/>
            <w:vAlign w:val="center"/>
          </w:tcPr>
          <w:p>
            <w:r>
              <w:rPr>
                <w:rFonts w:ascii="Arial" w:hAnsi="Arial"/>
                <w:color w:val="000000"/>
                <w:sz w:val="14"/>
              </w:rPr>
              <w:t>0.38397</w:t>
            </w:r>
          </w:p>
        </w:tc>
        <w:tc>
          <w:tcPr>
            <w:tcW w:type="dxa" w:w="323"/>
            <w:vAlign w:val="center"/>
          </w:tcPr>
          <w:p>
            <w:r>
              <w:rPr>
                <w:rFonts w:ascii="Arial" w:hAnsi="Arial"/>
                <w:color w:val="000000"/>
                <w:sz w:val="14"/>
              </w:rPr>
              <w:t>1.1469</w:t>
            </w:r>
          </w:p>
        </w:tc>
        <w:tc>
          <w:tcPr>
            <w:tcW w:type="dxa" w:w="323"/>
            <w:vAlign w:val="center"/>
          </w:tcPr>
          <w:p>
            <w:r>
              <w:rPr>
                <w:rFonts w:ascii="Arial" w:hAnsi="Arial"/>
                <w:color w:val="000000"/>
                <w:sz w:val="14"/>
              </w:rPr>
              <w:t>0.14181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bl>
    <w:p/>
    <w:p>
      <w:pPr>
        <w:pStyle w:val="Caption"/>
        <w:jc w:val="left"/>
      </w:pPr>
      <w:r>
        <w:rPr>
          <w:color w:val="000000"/>
        </w:rPr>
        <w:t>Table 9. Strictly held-out future persistent-hot-window performance and within-family information-set contrasts.</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D9EAF7"/>
          </w:tcPr>
          <w:p>
            <w:r>
              <w:rPr>
                <w:rFonts w:ascii="Arial" w:hAnsi="Arial"/>
                <w:b/>
                <w:color w:val="000000"/>
                <w:sz w:val="14"/>
              </w:rPr>
              <w:t>model</w:t>
            </w:r>
          </w:p>
        </w:tc>
        <w:tc>
          <w:tcPr>
            <w:tcW w:type="dxa" w:w="1040"/>
            <w:vAlign w:val="center"/>
            <w:shd w:fill="D9EAF7"/>
          </w:tcPr>
          <w:p>
            <w:r>
              <w:rPr>
                <w:rFonts w:ascii="Arial" w:hAnsi="Arial"/>
                <w:b/>
                <w:color w:val="000000"/>
                <w:sz w:val="14"/>
              </w:rPr>
              <w:t>information set</w:t>
            </w:r>
          </w:p>
        </w:tc>
        <w:tc>
          <w:tcPr>
            <w:tcW w:type="dxa" w:w="1040"/>
            <w:vAlign w:val="center"/>
            <w:shd w:fill="D9EAF7"/>
          </w:tcPr>
          <w:p>
            <w:r>
              <w:rPr>
                <w:rFonts w:ascii="Arial" w:hAnsi="Arial"/>
                <w:b/>
                <w:color w:val="000000"/>
                <w:sz w:val="14"/>
              </w:rPr>
              <w:t>lead days</w:t>
            </w:r>
          </w:p>
        </w:tc>
        <w:tc>
          <w:tcPr>
            <w:tcW w:type="dxa" w:w="1040"/>
            <w:vAlign w:val="center"/>
            <w:shd w:fill="D9EAF7"/>
          </w:tcPr>
          <w:p>
            <w:r>
              <w:rPr>
                <w:rFonts w:ascii="Arial" w:hAnsi="Arial"/>
                <w:b/>
                <w:color w:val="000000"/>
                <w:sz w:val="14"/>
              </w:rPr>
              <w:t>average precision</w:t>
            </w:r>
          </w:p>
        </w:tc>
        <w:tc>
          <w:tcPr>
            <w:tcW w:type="dxa" w:w="1040"/>
            <w:vAlign w:val="center"/>
            <w:shd w:fill="D9EAF7"/>
          </w:tcPr>
          <w:p>
            <w:r>
              <w:rPr>
                <w:rFonts w:ascii="Arial" w:hAnsi="Arial"/>
                <w:b/>
                <w:color w:val="000000"/>
                <w:sz w:val="14"/>
              </w:rPr>
              <w:t>brier score</w:t>
            </w:r>
          </w:p>
        </w:tc>
        <w:tc>
          <w:tcPr>
            <w:tcW w:type="dxa" w:w="1040"/>
            <w:vAlign w:val="center"/>
            <w:shd w:fill="D9EAF7"/>
          </w:tcPr>
          <w:p>
            <w:r>
              <w:rPr>
                <w:rFonts w:ascii="Arial" w:hAnsi="Arial"/>
                <w:b/>
                <w:color w:val="000000"/>
                <w:sz w:val="14"/>
              </w:rPr>
              <w:t>recall</w:t>
            </w:r>
          </w:p>
        </w:tc>
        <w:tc>
          <w:tcPr>
            <w:tcW w:type="dxa" w:w="1040"/>
            <w:vAlign w:val="center"/>
            <w:shd w:fill="D9EAF7"/>
          </w:tcPr>
          <w:p>
            <w:r>
              <w:rPr>
                <w:rFonts w:ascii="Arial" w:hAnsi="Arial"/>
                <w:b/>
                <w:color w:val="000000"/>
                <w:sz w:val="14"/>
              </w:rPr>
              <w:t>precision</w:t>
            </w:r>
          </w:p>
        </w:tc>
        <w:tc>
          <w:tcPr>
            <w:tcW w:type="dxa" w:w="1040"/>
            <w:vAlign w:val="center"/>
            <w:shd w:fill="D9EAF7"/>
          </w:tcPr>
          <w:p>
            <w:r>
              <w:rPr>
                <w:rFonts w:ascii="Arial" w:hAnsi="Arial"/>
                <w:b/>
                <w:color w:val="000000"/>
                <w:sz w:val="14"/>
              </w:rPr>
              <w:t>S2 minus S1 AP 95pct interval</w:t>
            </w:r>
          </w:p>
        </w:tc>
        <w:tc>
          <w:tcPr>
            <w:tcW w:type="dxa" w:w="1040"/>
            <w:vAlign w:val="center"/>
            <w:shd w:fill="D9EAF7"/>
          </w:tcPr>
          <w:p>
            <w:r>
              <w:rPr>
                <w:rFonts w:ascii="Arial" w:hAnsi="Arial"/>
                <w:b/>
                <w:color w:val="000000"/>
                <w:sz w:val="14"/>
              </w:rPr>
              <w:t>S2 minus S1 Brier 95pct interval</w:t>
            </w:r>
          </w:p>
        </w:tc>
      </w:tr>
      <w:tr>
        <w:tc>
          <w:tcPr>
            <w:tcW w:type="dxa" w:w="1040"/>
            <w:vAlign w:val="center"/>
          </w:tcPr>
          <w:p>
            <w:r>
              <w:rPr>
                <w:rFonts w:ascii="Arial" w:hAnsi="Arial"/>
                <w:color w:val="000000"/>
                <w:sz w:val="14"/>
              </w:rPr>
              <w:t>Always negative</w:t>
            </w:r>
          </w:p>
        </w:tc>
        <w:tc>
          <w:tcPr>
            <w:tcW w:type="dxa" w:w="1040"/>
            <w:vAlign w:val="center"/>
          </w:tcPr>
          <w:p>
            <w:r>
              <w:rPr>
                <w:rFonts w:ascii="Arial" w:hAnsi="Arial"/>
                <w:color w:val="000000"/>
                <w:sz w:val="14"/>
              </w:rPr>
              <w:t>S0</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0.0424</w:t>
            </w:r>
          </w:p>
        </w:tc>
        <w:tc>
          <w:tcPr>
            <w:tcW w:type="dxa" w:w="1040"/>
            <w:vAlign w:val="center"/>
          </w:tcPr>
          <w:p>
            <w:r>
              <w:rPr>
                <w:rFonts w:ascii="Arial" w:hAnsi="Arial"/>
                <w:color w:val="000000"/>
                <w:sz w:val="14"/>
              </w:rPr>
              <w:t>0.0424</w:t>
            </w:r>
          </w:p>
        </w:tc>
        <w:tc>
          <w:tcPr>
            <w:tcW w:type="dxa" w:w="1040"/>
            <w:vAlign w:val="center"/>
          </w:tcPr>
          <w:p>
            <w:r>
              <w:rPr>
                <w:rFonts w:ascii="Arial" w:hAnsi="Arial"/>
                <w:color w:val="000000"/>
                <w:sz w:val="14"/>
              </w:rPr>
              <w:t>0</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Seasonal probability</w:t>
            </w:r>
          </w:p>
        </w:tc>
        <w:tc>
          <w:tcPr>
            <w:tcW w:type="dxa" w:w="1040"/>
            <w:vAlign w:val="center"/>
          </w:tcPr>
          <w:p>
            <w:r>
              <w:rPr>
                <w:rFonts w:ascii="Arial" w:hAnsi="Arial"/>
                <w:color w:val="000000"/>
                <w:sz w:val="14"/>
              </w:rPr>
              <w:t>S0</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0.1781</w:t>
            </w:r>
          </w:p>
        </w:tc>
        <w:tc>
          <w:tcPr>
            <w:tcW w:type="dxa" w:w="1040"/>
            <w:vAlign w:val="center"/>
          </w:tcPr>
          <w:p>
            <w:r>
              <w:rPr>
                <w:rFonts w:ascii="Arial" w:hAnsi="Arial"/>
                <w:color w:val="000000"/>
                <w:sz w:val="14"/>
              </w:rPr>
              <w:t>0.0396</w:t>
            </w:r>
          </w:p>
        </w:tc>
        <w:tc>
          <w:tcPr>
            <w:tcW w:type="dxa" w:w="1040"/>
            <w:vAlign w:val="center"/>
          </w:tcPr>
          <w:p>
            <w:r>
              <w:rPr>
                <w:rFonts w:ascii="Arial" w:hAnsi="Arial"/>
                <w:color w:val="000000"/>
                <w:sz w:val="14"/>
              </w:rPr>
              <w:t>0.7321</w:t>
            </w:r>
          </w:p>
        </w:tc>
        <w:tc>
          <w:tcPr>
            <w:tcW w:type="dxa" w:w="1040"/>
            <w:vAlign w:val="center"/>
          </w:tcPr>
          <w:p>
            <w:r>
              <w:rPr>
                <w:rFonts w:ascii="Arial" w:hAnsi="Arial"/>
                <w:color w:val="000000"/>
                <w:sz w:val="14"/>
              </w:rPr>
              <w:t>0.1136</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Temperature transition</w:t>
            </w:r>
          </w:p>
        </w:tc>
        <w:tc>
          <w:tcPr>
            <w:tcW w:type="dxa" w:w="1040"/>
            <w:vAlign w:val="center"/>
          </w:tcPr>
          <w:p>
            <w:r>
              <w:rPr>
                <w:rFonts w:ascii="Arial" w:hAnsi="Arial"/>
                <w:color w:val="000000"/>
                <w:sz w:val="14"/>
              </w:rPr>
              <w:t>S0</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0.3569</w:t>
            </w:r>
          </w:p>
        </w:tc>
        <w:tc>
          <w:tcPr>
            <w:tcW w:type="dxa" w:w="1040"/>
            <w:vAlign w:val="center"/>
          </w:tcPr>
          <w:p>
            <w:r>
              <w:rPr>
                <w:rFonts w:ascii="Arial" w:hAnsi="Arial"/>
                <w:color w:val="000000"/>
                <w:sz w:val="14"/>
              </w:rPr>
              <w:t>0.0301</w:t>
            </w:r>
          </w:p>
        </w:tc>
        <w:tc>
          <w:tcPr>
            <w:tcW w:type="dxa" w:w="1040"/>
            <w:vAlign w:val="center"/>
          </w:tcPr>
          <w:p>
            <w:r>
              <w:rPr>
                <w:rFonts w:ascii="Arial" w:hAnsi="Arial"/>
                <w:color w:val="000000"/>
                <w:sz w:val="14"/>
              </w:rPr>
              <w:t>0.75</w:t>
            </w:r>
          </w:p>
        </w:tc>
        <w:tc>
          <w:tcPr>
            <w:tcW w:type="dxa" w:w="1040"/>
            <w:vAlign w:val="center"/>
          </w:tcPr>
          <w:p>
            <w:r>
              <w:rPr>
                <w:rFonts w:ascii="Arial" w:hAnsi="Arial"/>
                <w:color w:val="000000"/>
                <w:sz w:val="14"/>
              </w:rPr>
              <w:t>0.1474</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Logistic</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0.5223</w:t>
            </w:r>
          </w:p>
        </w:tc>
        <w:tc>
          <w:tcPr>
            <w:tcW w:type="dxa" w:w="1040"/>
            <w:vAlign w:val="center"/>
          </w:tcPr>
          <w:p>
            <w:r>
              <w:rPr>
                <w:rFonts w:ascii="Arial" w:hAnsi="Arial"/>
                <w:color w:val="000000"/>
                <w:sz w:val="14"/>
              </w:rPr>
              <w:t>0.0276</w:t>
            </w:r>
          </w:p>
        </w:tc>
        <w:tc>
          <w:tcPr>
            <w:tcW w:type="dxa" w:w="1040"/>
            <w:vAlign w:val="center"/>
          </w:tcPr>
          <w:p>
            <w:r>
              <w:rPr>
                <w:rFonts w:ascii="Arial" w:hAnsi="Arial"/>
                <w:color w:val="000000"/>
                <w:sz w:val="14"/>
              </w:rPr>
              <w:t>0.8393</w:t>
            </w:r>
          </w:p>
        </w:tc>
        <w:tc>
          <w:tcPr>
            <w:tcW w:type="dxa" w:w="1040"/>
            <w:vAlign w:val="center"/>
          </w:tcPr>
          <w:p>
            <w:r>
              <w:rPr>
                <w:rFonts w:ascii="Arial" w:hAnsi="Arial"/>
                <w:color w:val="000000"/>
                <w:sz w:val="14"/>
              </w:rPr>
              <w:t>0.2089</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Logistic</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0.4451</w:t>
            </w:r>
          </w:p>
        </w:tc>
        <w:tc>
          <w:tcPr>
            <w:tcW w:type="dxa" w:w="1040"/>
            <w:vAlign w:val="center"/>
          </w:tcPr>
          <w:p>
            <w:r>
              <w:rPr>
                <w:rFonts w:ascii="Arial" w:hAnsi="Arial"/>
                <w:color w:val="000000"/>
                <w:sz w:val="14"/>
              </w:rPr>
              <w:t>0.0305</w:t>
            </w:r>
          </w:p>
        </w:tc>
        <w:tc>
          <w:tcPr>
            <w:tcW w:type="dxa" w:w="1040"/>
            <w:vAlign w:val="center"/>
          </w:tcPr>
          <w:p>
            <w:r>
              <w:rPr>
                <w:rFonts w:ascii="Arial" w:hAnsi="Arial"/>
                <w:color w:val="000000"/>
                <w:sz w:val="14"/>
              </w:rPr>
              <w:t>0.9286</w:t>
            </w:r>
          </w:p>
        </w:tc>
        <w:tc>
          <w:tcPr>
            <w:tcW w:type="dxa" w:w="1040"/>
            <w:vAlign w:val="center"/>
          </w:tcPr>
          <w:p>
            <w:r>
              <w:rPr>
                <w:rFonts w:ascii="Arial" w:hAnsi="Arial"/>
                <w:color w:val="000000"/>
                <w:sz w:val="14"/>
              </w:rPr>
              <w:t>0.1793</w:t>
            </w:r>
          </w:p>
        </w:tc>
        <w:tc>
          <w:tcPr>
            <w:tcW w:type="dxa" w:w="1040"/>
            <w:vAlign w:val="center"/>
          </w:tcPr>
          <w:p>
            <w:r>
              <w:rPr>
                <w:rFonts w:ascii="Arial" w:hAnsi="Arial"/>
                <w:color w:val="000000"/>
                <w:sz w:val="14"/>
              </w:rPr>
              <w:t>-0.077 (-0.168, -0.016)</w:t>
            </w:r>
          </w:p>
        </w:tc>
        <w:tc>
          <w:tcPr>
            <w:tcW w:type="dxa" w:w="1040"/>
            <w:vAlign w:val="center"/>
          </w:tcPr>
          <w:p>
            <w:r>
              <w:rPr>
                <w:rFonts w:ascii="Arial" w:hAnsi="Arial"/>
                <w:color w:val="000000"/>
                <w:sz w:val="14"/>
              </w:rPr>
              <w:t>0.0029 (0.0004, 0.0062)</w:t>
            </w:r>
          </w:p>
        </w:tc>
      </w:tr>
      <w:tr>
        <w:tc>
          <w:tcPr>
            <w:tcW w:type="dxa" w:w="1040"/>
            <w:vAlign w:val="center"/>
          </w:tcPr>
          <w:p>
            <w:r>
              <w:rPr>
                <w:rFonts w:ascii="Arial" w:hAnsi="Arial"/>
                <w:color w:val="000000"/>
                <w:sz w:val="14"/>
              </w:rPr>
              <w:t>Weighted RF</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0.2695</w:t>
            </w:r>
          </w:p>
        </w:tc>
        <w:tc>
          <w:tcPr>
            <w:tcW w:type="dxa" w:w="1040"/>
            <w:vAlign w:val="center"/>
          </w:tcPr>
          <w:p>
            <w:r>
              <w:rPr>
                <w:rFonts w:ascii="Arial" w:hAnsi="Arial"/>
                <w:color w:val="000000"/>
                <w:sz w:val="14"/>
              </w:rPr>
              <w:t>0.0359</w:t>
            </w:r>
          </w:p>
        </w:tc>
        <w:tc>
          <w:tcPr>
            <w:tcW w:type="dxa" w:w="1040"/>
            <w:vAlign w:val="center"/>
          </w:tcPr>
          <w:p>
            <w:r>
              <w:rPr>
                <w:rFonts w:ascii="Arial" w:hAnsi="Arial"/>
                <w:color w:val="000000"/>
                <w:sz w:val="14"/>
              </w:rPr>
              <w:t>0.8929</w:t>
            </w:r>
          </w:p>
        </w:tc>
        <w:tc>
          <w:tcPr>
            <w:tcW w:type="dxa" w:w="1040"/>
            <w:vAlign w:val="center"/>
          </w:tcPr>
          <w:p>
            <w:r>
              <w:rPr>
                <w:rFonts w:ascii="Arial" w:hAnsi="Arial"/>
                <w:color w:val="000000"/>
                <w:sz w:val="14"/>
              </w:rPr>
              <w:t>0.2222</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Weighted RF</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0.3765</w:t>
            </w:r>
          </w:p>
        </w:tc>
        <w:tc>
          <w:tcPr>
            <w:tcW w:type="dxa" w:w="1040"/>
            <w:vAlign w:val="center"/>
          </w:tcPr>
          <w:p>
            <w:r>
              <w:rPr>
                <w:rFonts w:ascii="Arial" w:hAnsi="Arial"/>
                <w:color w:val="000000"/>
                <w:sz w:val="14"/>
              </w:rPr>
              <w:t>0.0326</w:t>
            </w:r>
          </w:p>
        </w:tc>
        <w:tc>
          <w:tcPr>
            <w:tcW w:type="dxa" w:w="1040"/>
            <w:vAlign w:val="center"/>
          </w:tcPr>
          <w:p>
            <w:r>
              <w:rPr>
                <w:rFonts w:ascii="Arial" w:hAnsi="Arial"/>
                <w:color w:val="000000"/>
                <w:sz w:val="14"/>
              </w:rPr>
              <w:t>0.8929</w:t>
            </w:r>
          </w:p>
        </w:tc>
        <w:tc>
          <w:tcPr>
            <w:tcW w:type="dxa" w:w="1040"/>
            <w:vAlign w:val="center"/>
          </w:tcPr>
          <w:p>
            <w:r>
              <w:rPr>
                <w:rFonts w:ascii="Arial" w:hAnsi="Arial"/>
                <w:color w:val="000000"/>
                <w:sz w:val="14"/>
              </w:rPr>
              <w:t>0.1976</w:t>
            </w:r>
          </w:p>
        </w:tc>
        <w:tc>
          <w:tcPr>
            <w:tcW w:type="dxa" w:w="1040"/>
            <w:vAlign w:val="center"/>
          </w:tcPr>
          <w:p>
            <w:r>
              <w:rPr>
                <w:rFonts w:ascii="Arial" w:hAnsi="Arial"/>
                <w:color w:val="000000"/>
                <w:sz w:val="14"/>
              </w:rPr>
              <w:t>0.107 (0.035, 0.172)</w:t>
            </w:r>
          </w:p>
        </w:tc>
        <w:tc>
          <w:tcPr>
            <w:tcW w:type="dxa" w:w="1040"/>
            <w:vAlign w:val="center"/>
          </w:tcPr>
          <w:p>
            <w:r>
              <w:rPr>
                <w:rFonts w:ascii="Arial" w:hAnsi="Arial"/>
                <w:color w:val="000000"/>
                <w:sz w:val="14"/>
              </w:rPr>
              <w:t>-0.0034 (-0.0066, -0.0005)</w:t>
            </w:r>
          </w:p>
        </w:tc>
      </w:tr>
      <w:tr>
        <w:tc>
          <w:tcPr>
            <w:tcW w:type="dxa" w:w="1040"/>
            <w:vAlign w:val="center"/>
          </w:tcPr>
          <w:p>
            <w:r>
              <w:rPr>
                <w:rFonts w:ascii="Arial" w:hAnsi="Arial"/>
                <w:color w:val="000000"/>
                <w:sz w:val="14"/>
              </w:rPr>
              <w:t>XGBoost</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0.2885</w:t>
            </w:r>
          </w:p>
        </w:tc>
        <w:tc>
          <w:tcPr>
            <w:tcW w:type="dxa" w:w="1040"/>
            <w:vAlign w:val="center"/>
          </w:tcPr>
          <w:p>
            <w:r>
              <w:rPr>
                <w:rFonts w:ascii="Arial" w:hAnsi="Arial"/>
                <w:color w:val="000000"/>
                <w:sz w:val="14"/>
              </w:rPr>
              <w:t>0.035</w:t>
            </w:r>
          </w:p>
        </w:tc>
        <w:tc>
          <w:tcPr>
            <w:tcW w:type="dxa" w:w="1040"/>
            <w:vAlign w:val="center"/>
          </w:tcPr>
          <w:p>
            <w:r>
              <w:rPr>
                <w:rFonts w:ascii="Arial" w:hAnsi="Arial"/>
                <w:color w:val="000000"/>
                <w:sz w:val="14"/>
              </w:rPr>
              <w:t>0.8929</w:t>
            </w:r>
          </w:p>
        </w:tc>
        <w:tc>
          <w:tcPr>
            <w:tcW w:type="dxa" w:w="1040"/>
            <w:vAlign w:val="center"/>
          </w:tcPr>
          <w:p>
            <w:r>
              <w:rPr>
                <w:rFonts w:ascii="Arial" w:hAnsi="Arial"/>
                <w:color w:val="000000"/>
                <w:sz w:val="14"/>
              </w:rPr>
              <w:t>0.1684</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XGBoost</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0.4268</w:t>
            </w:r>
          </w:p>
        </w:tc>
        <w:tc>
          <w:tcPr>
            <w:tcW w:type="dxa" w:w="1040"/>
            <w:vAlign w:val="center"/>
          </w:tcPr>
          <w:p>
            <w:r>
              <w:rPr>
                <w:rFonts w:ascii="Arial" w:hAnsi="Arial"/>
                <w:color w:val="000000"/>
                <w:sz w:val="14"/>
              </w:rPr>
              <w:t>0.031</w:t>
            </w:r>
          </w:p>
        </w:tc>
        <w:tc>
          <w:tcPr>
            <w:tcW w:type="dxa" w:w="1040"/>
            <w:vAlign w:val="center"/>
          </w:tcPr>
          <w:p>
            <w:r>
              <w:rPr>
                <w:rFonts w:ascii="Arial" w:hAnsi="Arial"/>
                <w:color w:val="000000"/>
                <w:sz w:val="14"/>
              </w:rPr>
              <w:t>0.9286</w:t>
            </w:r>
          </w:p>
        </w:tc>
        <w:tc>
          <w:tcPr>
            <w:tcW w:type="dxa" w:w="1040"/>
            <w:vAlign w:val="center"/>
          </w:tcPr>
          <w:p>
            <w:r>
              <w:rPr>
                <w:rFonts w:ascii="Arial" w:hAnsi="Arial"/>
                <w:color w:val="000000"/>
                <w:sz w:val="14"/>
              </w:rPr>
              <w:t>0.1763</w:t>
            </w:r>
          </w:p>
        </w:tc>
        <w:tc>
          <w:tcPr>
            <w:tcW w:type="dxa" w:w="1040"/>
            <w:vAlign w:val="center"/>
          </w:tcPr>
          <w:p>
            <w:r>
              <w:rPr>
                <w:rFonts w:ascii="Arial" w:hAnsi="Arial"/>
                <w:color w:val="000000"/>
                <w:sz w:val="14"/>
              </w:rPr>
              <w:t>0.138 (0.012, 0.188)</w:t>
            </w:r>
          </w:p>
        </w:tc>
        <w:tc>
          <w:tcPr>
            <w:tcW w:type="dxa" w:w="1040"/>
            <w:vAlign w:val="center"/>
          </w:tcPr>
          <w:p>
            <w:r>
              <w:rPr>
                <w:rFonts w:ascii="Arial" w:hAnsi="Arial"/>
                <w:color w:val="000000"/>
                <w:sz w:val="14"/>
              </w:rPr>
              <w:t>-0.0040 (-0.0086, -0.0002)</w:t>
            </w:r>
          </w:p>
        </w:tc>
      </w:tr>
      <w:tr>
        <w:tc>
          <w:tcPr>
            <w:tcW w:type="dxa" w:w="1040"/>
            <w:vAlign w:val="center"/>
          </w:tcPr>
          <w:p>
            <w:r>
              <w:rPr>
                <w:rFonts w:ascii="Arial" w:hAnsi="Arial"/>
                <w:color w:val="000000"/>
                <w:sz w:val="14"/>
              </w:rPr>
              <w:t>Logistic</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3</w:t>
            </w:r>
          </w:p>
        </w:tc>
        <w:tc>
          <w:tcPr>
            <w:tcW w:type="dxa" w:w="1040"/>
            <w:vAlign w:val="center"/>
          </w:tcPr>
          <w:p>
            <w:r>
              <w:rPr>
                <w:rFonts w:ascii="Arial" w:hAnsi="Arial"/>
                <w:color w:val="000000"/>
                <w:sz w:val="14"/>
              </w:rPr>
              <w:t>0.256</w:t>
            </w:r>
          </w:p>
        </w:tc>
        <w:tc>
          <w:tcPr>
            <w:tcW w:type="dxa" w:w="1040"/>
            <w:vAlign w:val="center"/>
          </w:tcPr>
          <w:p>
            <w:r>
              <w:rPr>
                <w:rFonts w:ascii="Arial" w:hAnsi="Arial"/>
                <w:color w:val="000000"/>
                <w:sz w:val="14"/>
              </w:rPr>
              <w:t>0.0359</w:t>
            </w:r>
          </w:p>
        </w:tc>
        <w:tc>
          <w:tcPr>
            <w:tcW w:type="dxa" w:w="1040"/>
            <w:vAlign w:val="center"/>
          </w:tcPr>
          <w:p>
            <w:r>
              <w:rPr>
                <w:rFonts w:ascii="Arial" w:hAnsi="Arial"/>
                <w:color w:val="000000"/>
                <w:sz w:val="14"/>
              </w:rPr>
              <w:t>0.7679</w:t>
            </w:r>
          </w:p>
        </w:tc>
        <w:tc>
          <w:tcPr>
            <w:tcW w:type="dxa" w:w="1040"/>
            <w:vAlign w:val="center"/>
          </w:tcPr>
          <w:p>
            <w:r>
              <w:rPr>
                <w:rFonts w:ascii="Arial" w:hAnsi="Arial"/>
                <w:color w:val="000000"/>
                <w:sz w:val="14"/>
              </w:rPr>
              <w:t>0.1378</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Logistic</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7</w:t>
            </w:r>
          </w:p>
        </w:tc>
        <w:tc>
          <w:tcPr>
            <w:tcW w:type="dxa" w:w="1040"/>
            <w:vAlign w:val="center"/>
          </w:tcPr>
          <w:p>
            <w:r>
              <w:rPr>
                <w:rFonts w:ascii="Arial" w:hAnsi="Arial"/>
                <w:color w:val="000000"/>
                <w:sz w:val="14"/>
              </w:rPr>
              <w:t>0.1312</w:t>
            </w:r>
          </w:p>
        </w:tc>
        <w:tc>
          <w:tcPr>
            <w:tcW w:type="dxa" w:w="1040"/>
            <w:vAlign w:val="center"/>
          </w:tcPr>
          <w:p>
            <w:r>
              <w:rPr>
                <w:rFonts w:ascii="Arial" w:hAnsi="Arial"/>
                <w:color w:val="000000"/>
                <w:sz w:val="14"/>
              </w:rPr>
              <w:t>0.0397</w:t>
            </w:r>
          </w:p>
        </w:tc>
        <w:tc>
          <w:tcPr>
            <w:tcW w:type="dxa" w:w="1040"/>
            <w:vAlign w:val="center"/>
          </w:tcPr>
          <w:p>
            <w:r>
              <w:rPr>
                <w:rFonts w:ascii="Arial" w:hAnsi="Arial"/>
                <w:color w:val="000000"/>
                <w:sz w:val="14"/>
              </w:rPr>
              <w:t>0.75</w:t>
            </w:r>
          </w:p>
        </w:tc>
        <w:tc>
          <w:tcPr>
            <w:tcW w:type="dxa" w:w="1040"/>
            <w:vAlign w:val="center"/>
          </w:tcPr>
          <w:p>
            <w:r>
              <w:rPr>
                <w:rFonts w:ascii="Arial" w:hAnsi="Arial"/>
                <w:color w:val="000000"/>
                <w:sz w:val="14"/>
              </w:rPr>
              <w:t>0.112</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XGBoost</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3</w:t>
            </w:r>
          </w:p>
        </w:tc>
        <w:tc>
          <w:tcPr>
            <w:tcW w:type="dxa" w:w="1040"/>
            <w:vAlign w:val="center"/>
          </w:tcPr>
          <w:p>
            <w:r>
              <w:rPr>
                <w:rFonts w:ascii="Arial" w:hAnsi="Arial"/>
                <w:color w:val="000000"/>
                <w:sz w:val="14"/>
              </w:rPr>
              <w:t>0.1649</w:t>
            </w:r>
          </w:p>
        </w:tc>
        <w:tc>
          <w:tcPr>
            <w:tcW w:type="dxa" w:w="1040"/>
            <w:vAlign w:val="center"/>
          </w:tcPr>
          <w:p>
            <w:r>
              <w:rPr>
                <w:rFonts w:ascii="Arial" w:hAnsi="Arial"/>
                <w:color w:val="000000"/>
                <w:sz w:val="14"/>
              </w:rPr>
              <w:t>0.0384</w:t>
            </w:r>
          </w:p>
        </w:tc>
        <w:tc>
          <w:tcPr>
            <w:tcW w:type="dxa" w:w="1040"/>
            <w:vAlign w:val="center"/>
          </w:tcPr>
          <w:p>
            <w:r>
              <w:rPr>
                <w:rFonts w:ascii="Arial" w:hAnsi="Arial"/>
                <w:color w:val="000000"/>
                <w:sz w:val="14"/>
              </w:rPr>
              <w:t>0.7679</w:t>
            </w:r>
          </w:p>
        </w:tc>
        <w:tc>
          <w:tcPr>
            <w:tcW w:type="dxa" w:w="1040"/>
            <w:vAlign w:val="center"/>
          </w:tcPr>
          <w:p>
            <w:r>
              <w:rPr>
                <w:rFonts w:ascii="Arial" w:hAnsi="Arial"/>
                <w:color w:val="000000"/>
                <w:sz w:val="14"/>
              </w:rPr>
              <w:t>0.0887</w:t>
            </w:r>
          </w:p>
        </w:tc>
        <w:tc>
          <w:tcPr>
            <w:tcW w:type="dxa" w:w="1040"/>
            <w:vAlign w:val="center"/>
          </w:tcPr>
          <w:p>
            <w:r>
              <w:rPr>
                <w:rFonts w:ascii="Arial" w:hAnsi="Arial"/>
                <w:color w:val="000000"/>
                <w:sz w:val="14"/>
              </w:rPr>
              <w:t>0.007 (-0.110, 0.052)</w:t>
            </w:r>
          </w:p>
        </w:tc>
        <w:tc>
          <w:tcPr>
            <w:tcW w:type="dxa" w:w="1040"/>
            <w:vAlign w:val="center"/>
          </w:tcPr>
          <w:p>
            <w:r>
              <w:rPr>
                <w:rFonts w:ascii="Arial" w:hAnsi="Arial"/>
                <w:color w:val="000000"/>
                <w:sz w:val="14"/>
              </w:rPr>
              <w:t>-0.0002 (-0.0023, 0.0012)</w:t>
            </w:r>
          </w:p>
        </w:tc>
      </w:tr>
      <w:tr>
        <w:tc>
          <w:tcPr>
            <w:tcW w:type="dxa" w:w="1040"/>
            <w:vAlign w:val="center"/>
          </w:tcPr>
          <w:p>
            <w:r>
              <w:rPr>
                <w:rFonts w:ascii="Arial" w:hAnsi="Arial"/>
                <w:color w:val="000000"/>
                <w:sz w:val="14"/>
              </w:rPr>
              <w:t>XGBoost</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7</w:t>
            </w:r>
          </w:p>
        </w:tc>
        <w:tc>
          <w:tcPr>
            <w:tcW w:type="dxa" w:w="1040"/>
            <w:vAlign w:val="center"/>
          </w:tcPr>
          <w:p>
            <w:r>
              <w:rPr>
                <w:rFonts w:ascii="Arial" w:hAnsi="Arial"/>
                <w:color w:val="000000"/>
                <w:sz w:val="14"/>
              </w:rPr>
              <w:t>0.2158</w:t>
            </w:r>
          </w:p>
        </w:tc>
        <w:tc>
          <w:tcPr>
            <w:tcW w:type="dxa" w:w="1040"/>
            <w:vAlign w:val="center"/>
          </w:tcPr>
          <w:p>
            <w:r>
              <w:rPr>
                <w:rFonts w:ascii="Arial" w:hAnsi="Arial"/>
                <w:color w:val="000000"/>
                <w:sz w:val="14"/>
              </w:rPr>
              <w:t>0.0393</w:t>
            </w:r>
          </w:p>
        </w:tc>
        <w:tc>
          <w:tcPr>
            <w:tcW w:type="dxa" w:w="1040"/>
            <w:vAlign w:val="center"/>
          </w:tcPr>
          <w:p>
            <w:r>
              <w:rPr>
                <w:rFonts w:ascii="Arial" w:hAnsi="Arial"/>
                <w:color w:val="000000"/>
                <w:sz w:val="14"/>
              </w:rPr>
              <w:t>0.6786</w:t>
            </w:r>
          </w:p>
        </w:tc>
        <w:tc>
          <w:tcPr>
            <w:tcW w:type="dxa" w:w="1040"/>
            <w:vAlign w:val="center"/>
          </w:tcPr>
          <w:p>
            <w:r>
              <w:rPr>
                <w:rFonts w:ascii="Arial" w:hAnsi="Arial"/>
                <w:color w:val="000000"/>
                <w:sz w:val="14"/>
              </w:rPr>
              <w:t>0.0725</w:t>
            </w:r>
          </w:p>
        </w:tc>
        <w:tc>
          <w:tcPr>
            <w:tcW w:type="dxa" w:w="1040"/>
            <w:vAlign w:val="center"/>
          </w:tcPr>
          <w:p>
            <w:r>
              <w:rPr>
                <w:rFonts w:ascii="Arial" w:hAnsi="Arial"/>
                <w:color w:val="000000"/>
                <w:sz w:val="14"/>
              </w:rPr>
              <w:t>0.095 (-0.036, 0.241)</w:t>
            </w:r>
          </w:p>
        </w:tc>
        <w:tc>
          <w:tcPr>
            <w:tcW w:type="dxa" w:w="1040"/>
            <w:vAlign w:val="center"/>
          </w:tcPr>
          <w:p>
            <w:r>
              <w:rPr>
                <w:rFonts w:ascii="Arial" w:hAnsi="Arial"/>
                <w:color w:val="000000"/>
                <w:sz w:val="14"/>
              </w:rPr>
              <w:t>-0.0006 (-0.0014, 0.0003)</w:t>
            </w:r>
          </w:p>
        </w:tc>
      </w:tr>
    </w:tbl>
    <w:p/>
    <w:p>
      <w:pPr>
        <w:sectPr>
          <w:pgSz w:w="12240" w:h="15840"/>
          <w:pgMar w:top="1440" w:right="1440" w:bottom="1440" w:left="1440" w:header="720" w:footer="720" w:gutter="0"/>
          <w:cols w:space="720"/>
          <w:docGrid w:linePitch="360"/>
        </w:sectPr>
      </w:pPr>
    </w:p>
    <w:p>
      <w:pPr>
        <w:pStyle w:val="Heading1"/>
      </w:pPr>
      <w:r>
        <w:t>Figures</w:t>
      </w:r>
    </w:p>
    <w:p>
      <w:pPr>
        <w:jc w:val="center"/>
      </w:pPr>
      <w:r>
        <w:drawing>
          <wp:inline xmlns:a="http://schemas.openxmlformats.org/drawingml/2006/main" xmlns:pic="http://schemas.openxmlformats.org/drawingml/2006/picture">
            <wp:extent cx="5806440" cy="1820076"/>
            <wp:docPr id="1" name="Picture 1"/>
            <wp:cNvGraphicFramePr>
              <a:graphicFrameLocks noChangeAspect="1"/>
            </wp:cNvGraphicFramePr>
            <a:graphic>
              <a:graphicData uri="http://schemas.openxmlformats.org/drawingml/2006/picture">
                <pic:pic>
                  <pic:nvPicPr>
                    <pic:cNvPr id="0" name="figure01_study_area_data_coverage.png"/>
                    <pic:cNvPicPr/>
                  </pic:nvPicPr>
                  <pic:blipFill>
                    <a:blip r:embed="rId9"/>
                    <a:stretch>
                      <a:fillRect/>
                    </a:stretch>
                  </pic:blipFill>
                  <pic:spPr>
                    <a:xfrm>
                      <a:off x="0" y="0"/>
                      <a:ext cx="5806440" cy="1820076"/>
                    </a:xfrm>
                    <a:prstGeom prst="rect"/>
                  </pic:spPr>
                </pic:pic>
              </a:graphicData>
            </a:graphic>
          </wp:inline>
        </w:drawing>
      </w:r>
    </w:p>
    <w:p>
      <w:pPr>
        <w:pStyle w:val="Caption"/>
      </w:pPr>
      <w:r>
        <w:rPr>
          <w:color w:val="000000"/>
        </w:rPr>
        <w:t>Figure 1. Study area and data coverage.. Bangladesh and Dhaka District administrative boundaries and annual daily-record completeness. No station point is shown because exact coordinate provenance was unavailable. Calendar year 2024 is partial; March–June 2024 is complete. Administrative boundaries do not imply official endorsement.</w:t>
      </w:r>
    </w:p>
    <w:p/>
    <w:p>
      <w:pPr>
        <w:jc w:val="center"/>
      </w:pPr>
      <w:r>
        <w:drawing>
          <wp:inline xmlns:a="http://schemas.openxmlformats.org/drawingml/2006/main" xmlns:pic="http://schemas.openxmlformats.org/drawingml/2006/picture">
            <wp:extent cx="5806440" cy="4121740"/>
            <wp:docPr id="2" name="Picture 2"/>
            <wp:cNvGraphicFramePr>
              <a:graphicFrameLocks noChangeAspect="1"/>
            </wp:cNvGraphicFramePr>
            <a:graphic>
              <a:graphicData uri="http://schemas.openxmlformats.org/drawingml/2006/picture">
                <pic:pic>
                  <pic:nvPicPr>
                    <pic:cNvPr id="0" name="figure02_descriptive_climatology_and_count_distribution.png"/>
                    <pic:cNvPicPr/>
                  </pic:nvPicPr>
                  <pic:blipFill>
                    <a:blip r:embed="rId10"/>
                    <a:stretch>
                      <a:fillRect/>
                    </a:stretch>
                  </pic:blipFill>
                  <pic:spPr>
                    <a:xfrm>
                      <a:off x="0" y="0"/>
                      <a:ext cx="5806440" cy="4121740"/>
                    </a:xfrm>
                    <a:prstGeom prst="rect"/>
                  </pic:spPr>
                </pic:pic>
              </a:graphicData>
            </a:graphic>
          </wp:inline>
        </w:drawing>
      </w:r>
    </w:p>
    <w:p>
      <w:pPr>
        <w:pStyle w:val="Caption"/>
      </w:pPr>
      <w:r>
        <w:rPr>
          <w:color w:val="000000"/>
        </w:rPr>
        <w:t>Figure 2. Descriptive climatology and primary count distribution.. (A) Daily maximum-temperature distribution. (B) Monthly mean maximum and minimum temperatures. (C) Annual March–June count distribution for days in events with \(T_{\max}\geq36\,{}^\circ\mathrm{C}\) for at least three consecutive days, with overdispersion statistics. (D) March–June maximum-temperature distributions and the 36 °C threshold.</w:t>
      </w:r>
    </w:p>
    <w:p/>
    <w:p>
      <w:pPr>
        <w:jc w:val="center"/>
      </w:pPr>
      <w:r>
        <w:drawing>
          <wp:inline xmlns:a="http://schemas.openxmlformats.org/drawingml/2006/main" xmlns:pic="http://schemas.openxmlformats.org/drawingml/2006/picture">
            <wp:extent cx="5806440" cy="2651851"/>
            <wp:docPr id="3" name="Picture 3"/>
            <wp:cNvGraphicFramePr>
              <a:graphicFrameLocks noChangeAspect="1"/>
            </wp:cNvGraphicFramePr>
            <a:graphic>
              <a:graphicData uri="http://schemas.openxmlformats.org/drawingml/2006/picture">
                <pic:pic>
                  <pic:nvPicPr>
                    <pic:cNvPr id="0" name="figure03_correlation_analysis.png"/>
                    <pic:cNvPicPr/>
                  </pic:nvPicPr>
                  <pic:blipFill>
                    <a:blip r:embed="rId11"/>
                    <a:stretch>
                      <a:fillRect/>
                    </a:stretch>
                  </pic:blipFill>
                  <pic:spPr>
                    <a:xfrm>
                      <a:off x="0" y="0"/>
                      <a:ext cx="5806440" cy="2651851"/>
                    </a:xfrm>
                    <a:prstGeom prst="rect"/>
                  </pic:spPr>
                </pic:pic>
              </a:graphicData>
            </a:graphic>
          </wp:inline>
        </w:drawing>
      </w:r>
    </w:p>
    <w:p>
      <w:pPr>
        <w:pStyle w:val="Caption"/>
      </w:pPr>
      <w:r>
        <w:rPr>
          <w:color w:val="000000"/>
        </w:rPr>
        <w:t>Figure 3. March–June correlation analysis.. (A) Raw Spearman correlations. (B) Spearman correlations after subtracting smoothed 1981–2010 calendar-day means. Correlations describe pairwise covariance and possible collinearity. They do not estimate independent effects or establish causation.</w:t>
      </w:r>
    </w:p>
    <w:p/>
    <w:p>
      <w:pPr>
        <w:jc w:val="center"/>
      </w:pPr>
      <w:r>
        <w:drawing>
          <wp:inline xmlns:a="http://schemas.openxmlformats.org/drawingml/2006/main" xmlns:pic="http://schemas.openxmlformats.org/drawingml/2006/picture">
            <wp:extent cx="5806440" cy="4122946"/>
            <wp:docPr id="4" name="Picture 4"/>
            <wp:cNvGraphicFramePr>
              <a:graphicFrameLocks noChangeAspect="1"/>
            </wp:cNvGraphicFramePr>
            <a:graphic>
              <a:graphicData uri="http://schemas.openxmlformats.org/drawingml/2006/picture">
                <pic:pic>
                  <pic:nvPicPr>
                    <pic:cNvPr id="0" name="figure04_temperature_trends.png"/>
                    <pic:cNvPicPr/>
                  </pic:nvPicPr>
                  <pic:blipFill>
                    <a:blip r:embed="rId12"/>
                    <a:stretch>
                      <a:fillRect/>
                    </a:stretch>
                  </pic:blipFill>
                  <pic:spPr>
                    <a:xfrm>
                      <a:off x="0" y="0"/>
                      <a:ext cx="5806440" cy="4122946"/>
                    </a:xfrm>
                    <a:prstGeom prst="rect"/>
                  </pic:spPr>
                </pic:pic>
              </a:graphicData>
            </a:graphic>
          </wp:inline>
        </w:drawing>
      </w:r>
    </w:p>
    <w:p>
      <w:pPr>
        <w:pStyle w:val="Caption"/>
      </w:pPr>
      <w:r>
        <w:rPr>
          <w:color w:val="000000"/>
        </w:rPr>
        <w:t>Figure 4. Long-term temperature trends.. (A) Complete-year annual mean \(T_{\max}\) through 2023. (B) Complete-year annual mean \(T_{\min}\). (C) Complete March–June mean \(T_{\max}\) through 2024. Lines are OLS fits and bands are 95% CIs based on HAC covariance. (D) Per-decade slope estimates and 95% CIs, including the formal annual \(T_{\min}-T_{\max}\) contrast.</w:t>
      </w:r>
    </w:p>
    <w:p/>
    <w:p>
      <w:pPr>
        <w:jc w:val="center"/>
      </w:pPr>
      <w:r>
        <w:drawing>
          <wp:inline xmlns:a="http://schemas.openxmlformats.org/drawingml/2006/main" xmlns:pic="http://schemas.openxmlformats.org/drawingml/2006/picture">
            <wp:extent cx="5806440" cy="4096079"/>
            <wp:docPr id="5" name="Picture 5"/>
            <wp:cNvGraphicFramePr>
              <a:graphicFrameLocks noChangeAspect="1"/>
            </wp:cNvGraphicFramePr>
            <a:graphic>
              <a:graphicData uri="http://schemas.openxmlformats.org/drawingml/2006/picture">
                <pic:pic>
                  <pic:nvPicPr>
                    <pic:cNvPr id="0" name="figure05_definition_sensitivity.png"/>
                    <pic:cNvPicPr/>
                  </pic:nvPicPr>
                  <pic:blipFill>
                    <a:blip r:embed="rId13"/>
                    <a:stretch>
                      <a:fillRect/>
                    </a:stretch>
                  </pic:blipFill>
                  <pic:spPr>
                    <a:xfrm>
                      <a:off x="0" y="0"/>
                      <a:ext cx="5806440" cy="4096079"/>
                    </a:xfrm>
                    <a:prstGeom prst="rect"/>
                  </pic:spPr>
                </pic:pic>
              </a:graphicData>
            </a:graphic>
          </wp:inline>
        </w:drawing>
      </w:r>
    </w:p>
    <w:p>
      <w:pPr>
        <w:pStyle w:val="Caption"/>
      </w:pPr>
      <w:r>
        <w:rPr>
          <w:color w:val="000000"/>
        </w:rPr>
        <w:t>Figure 5. Heatwave definition sensitivity.. (A) March–June annual counts under selected definitions. (B) Event-duration distribution for the primary three-day absolute definition only. (C) Monthly distribution of primary persistent heatwave days. (D) Count-model IRRs per decade and 95% CIs for six definitions. The log-scale reference line is IRR 1.</w:t>
      </w:r>
    </w:p>
    <w:p/>
    <w:p>
      <w:pPr>
        <w:jc w:val="center"/>
      </w:pPr>
      <w:r>
        <w:drawing>
          <wp:inline xmlns:a="http://schemas.openxmlformats.org/drawingml/2006/main" xmlns:pic="http://schemas.openxmlformats.org/drawingml/2006/picture">
            <wp:extent cx="5806440" cy="4138687"/>
            <wp:docPr id="6" name="Picture 6"/>
            <wp:cNvGraphicFramePr>
              <a:graphicFrameLocks noChangeAspect="1"/>
            </wp:cNvGraphicFramePr>
            <a:graphic>
              <a:graphicData uri="http://schemas.openxmlformats.org/drawingml/2006/picture">
                <pic:pic>
                  <pic:nvPicPr>
                    <pic:cNvPr id="0" name="figure06_count_model_and_diagnostics.png"/>
                    <pic:cNvPicPr/>
                  </pic:nvPicPr>
                  <pic:blipFill>
                    <a:blip r:embed="rId14"/>
                    <a:stretch>
                      <a:fillRect/>
                    </a:stretch>
                  </pic:blipFill>
                  <pic:spPr>
                    <a:xfrm>
                      <a:off x="0" y="0"/>
                      <a:ext cx="5806440" cy="4138687"/>
                    </a:xfrm>
                    <a:prstGeom prst="rect"/>
                  </pic:spPr>
                </pic:pic>
              </a:graphicData>
            </a:graphic>
          </wp:inline>
        </w:drawing>
      </w:r>
    </w:p>
    <w:p>
      <w:pPr>
        <w:pStyle w:val="Caption"/>
      </w:pPr>
      <w:r>
        <w:rPr>
          <w:color w:val="000000"/>
        </w:rPr>
        <w:t>Figure 6. Primary NB2 count model and diagnostics.. (A) Observed March–June persistent heatwave-day counts, fitted mean, and parameter-based 95% mean CI. (B) Selected-distribution randomized quantile residuals versus fitted means. (C) randomized-residual Q–Q plot. (D) case-deletion parameter distance by year; labels identify years exceeding the \(4/n\) screening threshold. Influential years remain in the primary model.</w:t>
      </w:r>
    </w:p>
    <w:p/>
    <w:p>
      <w:pPr>
        <w:jc w:val="center"/>
      </w:pPr>
      <w:r>
        <w:drawing>
          <wp:inline xmlns:a="http://schemas.openxmlformats.org/drawingml/2006/main" xmlns:pic="http://schemas.openxmlformats.org/drawingml/2006/picture">
            <wp:extent cx="5806440" cy="4106437"/>
            <wp:docPr id="7" name="Picture 7"/>
            <wp:cNvGraphicFramePr>
              <a:graphicFrameLocks noChangeAspect="1"/>
            </wp:cNvGraphicFramePr>
            <a:graphic>
              <a:graphicData uri="http://schemas.openxmlformats.org/drawingml/2006/picture">
                <pic:pic>
                  <pic:nvPicPr>
                    <pic:cNvPr id="0" name="figure07_adjusted_associations.png"/>
                    <pic:cNvPicPr/>
                  </pic:nvPicPr>
                  <pic:blipFill>
                    <a:blip r:embed="rId15"/>
                    <a:stretch>
                      <a:fillRect/>
                    </a:stretch>
                  </pic:blipFill>
                  <pic:spPr>
                    <a:xfrm>
                      <a:off x="0" y="0"/>
                      <a:ext cx="5806440" cy="4106437"/>
                    </a:xfrm>
                    <a:prstGeom prst="rect"/>
                  </pic:spPr>
                </pic:pic>
              </a:graphicData>
            </a:graphic>
          </wp:inline>
        </w:drawing>
      </w:r>
    </w:p>
    <w:p>
      <w:pPr>
        <w:pStyle w:val="Caption"/>
      </w:pPr>
      <w:r>
        <w:rPr>
          <w:color w:val="000000"/>
        </w:rPr>
        <w:t>Figure 7. Adjusted antecedent associations and validation.. (A) Logistic GEE adjusted ORs and 95% CIs per one-standard-deviation antecedent predictor. (B) model-implied probabilities across humidity and precipitation values at a representative pre-monsoon calendar day, holding other standardized variables at their means. (C) Brier score by held-out hot season. (D) pooled strictly out-of-sample discrimination and probability error for the seasonal-trend base and full antecedent models. Brier score is lower-is-better, unlike AUC metrics.</w:t>
      </w:r>
    </w:p>
    <w:p/>
    <w:p>
      <w:pPr>
        <w:jc w:val="center"/>
      </w:pPr>
      <w:r>
        <w:drawing>
          <wp:inline xmlns:a="http://schemas.openxmlformats.org/drawingml/2006/main" xmlns:pic="http://schemas.openxmlformats.org/drawingml/2006/picture">
            <wp:extent cx="5806440" cy="1862688"/>
            <wp:docPr id="8" name="Picture 8"/>
            <wp:cNvGraphicFramePr>
              <a:graphicFrameLocks noChangeAspect="1"/>
            </wp:cNvGraphicFramePr>
            <a:graphic>
              <a:graphicData uri="http://schemas.openxmlformats.org/drawingml/2006/picture">
                <pic:pic>
                  <pic:nvPicPr>
                    <pic:cNvPr id="0" name="figure08_manuscript_primary_prediction.png"/>
                    <pic:cNvPicPr/>
                  </pic:nvPicPr>
                  <pic:blipFill>
                    <a:blip r:embed="rId16"/>
                    <a:stretch>
                      <a:fillRect/>
                    </a:stretch>
                  </pic:blipFill>
                  <pic:spPr>
                    <a:xfrm>
                      <a:off x="0" y="0"/>
                      <a:ext cx="5806440" cy="1862688"/>
                    </a:xfrm>
                    <a:prstGeom prst="rect"/>
                  </pic:spPr>
                </pic:pic>
              </a:graphicData>
            </a:graphic>
          </wp:inline>
        </w:drawing>
      </w:r>
    </w:p>
    <w:p>
      <w:pPr>
        <w:pStyle w:val="Caption"/>
      </w:pPr>
      <w:r>
        <w:rPr>
          <w:color w:val="000000"/>
        </w:rPr>
        <w:t>Figure 8. Primary future-window comparisons.. (A) One-day average precision for the prespecified baselines and focal S1/S2 models. (B) Within-family S2-minus-S1 average-precision differences and paired held-out-year 95% bootstrap intervals at one-day lead. (C) Average precision by lead for the strongest overall temperature-history model, the explained full-meteorology tree, and simple baselines. All values are strictly out of sample.</w:t>
      </w:r>
    </w:p>
    <w:p/>
    <w:p>
      <w:pPr>
        <w:jc w:val="center"/>
      </w:pPr>
      <w:r>
        <w:drawing>
          <wp:inline xmlns:a="http://schemas.openxmlformats.org/drawingml/2006/main" xmlns:pic="http://schemas.openxmlformats.org/drawingml/2006/picture">
            <wp:extent cx="5806440" cy="1772264"/>
            <wp:docPr id="9" name="Picture 9"/>
            <wp:cNvGraphicFramePr>
              <a:graphicFrameLocks noChangeAspect="1"/>
            </wp:cNvGraphicFramePr>
            <a:graphic>
              <a:graphicData uri="http://schemas.openxmlformats.org/drawingml/2006/picture">
                <pic:pic>
                  <pic:nvPicPr>
                    <pic:cNvPr id="0" name="figure09_manuscript_prediction_diagnostics.png"/>
                    <pic:cNvPicPr/>
                  </pic:nvPicPr>
                  <pic:blipFill>
                    <a:blip r:embed="rId17"/>
                    <a:stretch>
                      <a:fillRect/>
                    </a:stretch>
                  </pic:blipFill>
                  <pic:spPr>
                    <a:xfrm>
                      <a:off x="0" y="0"/>
                      <a:ext cx="5806440" cy="1772264"/>
                    </a:xfrm>
                    <a:prstGeom prst="rect"/>
                  </pic:spPr>
                </pic:pic>
              </a:graphicData>
            </a:graphic>
          </wp:inline>
        </w:drawing>
      </w:r>
    </w:p>
    <w:p>
      <w:pPr>
        <w:pStyle w:val="Caption"/>
      </w:pPr>
      <w:r>
        <w:rPr>
          <w:color w:val="000000"/>
        </w:rPr>
        <w:t>Figure 9. Discrimination, calibration, and onset alert burden.. (A) Pooled held-out precision–recall curves at one-day lead. (B) temporal-calibration reliability for logistic S1 and XGBoost S2. (C) detected and missed onset spells with false alerts at training-selected thresholds. The onset panel summarizes only 15 positive spells and is not an operational evaluation.</w:t>
      </w:r>
    </w:p>
    <w:p/>
    <w:p>
      <w:pPr>
        <w:jc w:val="center"/>
      </w:pPr>
      <w:r>
        <w:drawing>
          <wp:inline xmlns:a="http://schemas.openxmlformats.org/drawingml/2006/main" xmlns:pic="http://schemas.openxmlformats.org/drawingml/2006/picture">
            <wp:extent cx="5806440" cy="4367892"/>
            <wp:docPr id="10" name="Picture 10"/>
            <wp:cNvGraphicFramePr>
              <a:graphicFrameLocks noChangeAspect="1"/>
            </wp:cNvGraphicFramePr>
            <a:graphic>
              <a:graphicData uri="http://schemas.openxmlformats.org/drawingml/2006/picture">
                <pic:pic>
                  <pic:nvPicPr>
                    <pic:cNvPr id="0" name="figure06_shap_importance_stability.png"/>
                    <pic:cNvPicPr/>
                  </pic:nvPicPr>
                  <pic:blipFill>
                    <a:blip r:embed="rId18"/>
                    <a:stretch>
                      <a:fillRect/>
                    </a:stretch>
                  </pic:blipFill>
                  <pic:spPr>
                    <a:xfrm>
                      <a:off x="0" y="0"/>
                      <a:ext cx="5806440" cy="4367892"/>
                    </a:xfrm>
                    <a:prstGeom prst="rect"/>
                  </pic:spPr>
                </pic:pic>
              </a:graphicData>
            </a:graphic>
          </wp:inline>
        </w:drawing>
      </w:r>
    </w:p>
    <w:p>
      <w:pPr>
        <w:pStyle w:val="Caption"/>
      </w:pPr>
      <w:r>
        <w:rPr>
          <w:color w:val="000000"/>
        </w:rPr>
        <w:t>Figure 10. Out-of-sample XGBoost explanation.. (A) Global mean absolute SHAP values. (B) feature-rank stability across leads and held-out years. (C) held-out SHAP distribution for leading predictors. (D) dependence diagnostic for the prespecified leading feature. SHAP values explain fitted uncalibrated model outputs and are not causal meteorological effects.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Long-Term Warming and Short-Lead Persistent-Hot-Window Prediction in Dhaka</dc:title>
  <dc:subject>Editable original-article manuscript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