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33.png" ContentType="image/png"/>
  <Override PartName="/word/media/rId20.png" ContentType="image/png"/>
  <Override PartName="/word/media/rId16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Observed PM2.5 at an Identified U.S. Department of State Monitor in Dhaka, 2019-February 2025</w:t>
      </w:r>
    </w:p>
    <w:p>
      <w:pPr>
        <w:pStyle w:val="Subtitle"/>
      </w:pPr>
      <w:r>
        <w:t xml:space="preserve">A provenance audit, robust trend assessment, and short-horizon forecast</w:t>
      </w:r>
    </w:p>
    <w:p>
      <w:pPr>
        <w:pStyle w:val="Date"/>
      </w:pPr>
      <w:r>
        <w:t xml:space="preserve">2026-07-17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Air-quality studies can be invalidated when modeled concentrations, scraped</w:t>
      </w:r>
      <w:r>
        <w:t xml:space="preserve"> </w:t>
      </w:r>
      <w:r>
        <w:t xml:space="preserve">indexes, changing stations, and repeated monthly values are treated as one</w:t>
      </w:r>
      <w:r>
        <w:t xml:space="preserve"> </w:t>
      </w:r>
      <w:r>
        <w:t xml:space="preserve">observational series. We audited the data lineage of a Dhaka air-quality</w:t>
      </w:r>
      <w:r>
        <w:t xml:space="preserve"> </w:t>
      </w:r>
      <w:r>
        <w:t xml:space="preserve">repository and rebuilt the analysis from official U.S. EPA AirNow archive</w:t>
      </w:r>
      <w:r>
        <w:t xml:space="preserve"> </w:t>
      </w:r>
      <w:r>
        <w:t xml:space="preserve">records for the U.S. Department of State monitor</w:t>
      </w:r>
      <w:r>
        <w:t xml:space="preserve"> </w:t>
      </w:r>
      <w:r>
        <w:rPr>
          <w:rStyle w:val="VerbatimChar"/>
        </w:rPr>
        <w:t xml:space="preserve">DK1010001</w:t>
      </w:r>
      <w:r>
        <w:t xml:space="preserve"> </w:t>
      </w:r>
      <w:r>
        <w:t xml:space="preserve">(23.796374 N,</w:t>
      </w:r>
      <w:r>
        <w:t xml:space="preserve"> </w:t>
      </w:r>
      <w:r>
        <w:t xml:space="preserve">90.424614 E). The archive supplied 2,209 valid preliminary 24-hour</w:t>
      </w:r>
      <w:r>
        <w:t xml:space="preserve"> </w:t>
      </w:r>
      <w:r>
        <w:t xml:space="preserve">PM2.5 summaries from 2019-01-01 to 2025-03-24.</w:t>
      </w:r>
      <w:r>
        <w:t xml:space="preserve"> </w:t>
      </w:r>
      <w:r>
        <w:t xml:space="preserve">Using a &gt;=75% valid-day rule and excluding the truncated terminal month yielded</w:t>
      </w:r>
      <w:r>
        <w:t xml:space="preserve"> </w:t>
      </w:r>
      <w:r>
        <w:t xml:space="preserve">71 complete months from January 2019 through</w:t>
      </w:r>
      <w:r>
        <w:t xml:space="preserve"> </w:t>
      </w:r>
      <w:r>
        <w:t xml:space="preserve">February 2025. The mean of complete monthly means was</w:t>
      </w:r>
      <w:r>
        <w:t xml:space="preserve"> </w:t>
      </w:r>
      <w:r>
        <w:t xml:space="preserve">98.65 ug/m3 (median 79.66).</w:t>
      </w:r>
      <w:r>
        <w:t xml:space="preserve"> </w:t>
      </w:r>
      <w:r>
        <w:t xml:space="preserve">Seasonal Mann-Kendall indicated an increase (p=0.0046), and</w:t>
      </w:r>
      <w:r>
        <w:t xml:space="preserve"> </w:t>
      </w:r>
      <w:r>
        <w:t xml:space="preserve">month-adjusted HAC regression estimated 3.14</w:t>
      </w:r>
      <w:r>
        <w:t xml:space="preserve"> </w:t>
      </w:r>
      <w:r>
        <w:t xml:space="preserve">ug/m3/year (95% CI 1.42 to 4.86); however,</w:t>
      </w:r>
      <w:r>
        <w:t xml:space="preserve"> </w:t>
      </w:r>
      <w:r>
        <w:t xml:space="preserve">trend-free prewhitening was not significant (p=0.18), so trend</w:t>
      </w:r>
      <w:r>
        <w:t xml:space="preserve"> </w:t>
      </w:r>
      <w:r>
        <w:t xml:space="preserve">inference is sensitive to serial dependence. A season-matched March-August 2020</w:t>
      </w:r>
      <w:r>
        <w:t xml:space="preserve"> </w:t>
      </w:r>
      <w:r>
        <w:t xml:space="preserve">contrast was -7.32 ug/m3 (95% bootstrap CI</w:t>
      </w:r>
      <w:r>
        <w:t xml:space="preserve"> </w:t>
      </w:r>
      <w:r>
        <w:t xml:space="preserve">-42.90 to 28.65); the design does not support a</w:t>
      </w:r>
      <w:r>
        <w:t xml:space="preserve"> </w:t>
      </w:r>
      <w:r>
        <w:t xml:space="preserve">causal lockdown claim. SARIMA achieved the lowest rolling-origin MASE</w:t>
      </w:r>
      <w:r>
        <w:t xml:space="preserve"> </w:t>
      </w:r>
      <w:r>
        <w:t xml:space="preserve">(0.85) and was used for a 24-month forecast; 2030 values are shown</w:t>
      </w:r>
      <w:r>
        <w:t xml:space="preserve"> </w:t>
      </w:r>
      <w:r>
        <w:t xml:space="preserve">only as conditional targets/benchmarks. The audit reverses the legacy declining</w:t>
      </w:r>
      <w:r>
        <w:t xml:space="preserve"> </w:t>
      </w:r>
      <w:r>
        <w:t xml:space="preserve">trend claim and removes unsupported multi-pollutant, source-apportionment,</w:t>
      </w:r>
      <w:r>
        <w:t xml:space="preserve"> </w:t>
      </w:r>
      <w:r>
        <w:t xml:space="preserve">health-burden, and citywide-exposure conclusions.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PM2.5; Dhaka; AirNow; data provenance; seasonal Mann-Kendall;</w:t>
      </w:r>
      <w:r>
        <w:t xml:space="preserve"> </w:t>
      </w:r>
      <w:r>
        <w:t xml:space="preserve">rolling-origin forecasting; reproducibility</w:t>
      </w:r>
    </w:p>
    <w:bookmarkEnd w:id="9"/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Dhaka’s air pollution is an important public-health and policy concern, but a</w:t>
      </w:r>
      <w:r>
        <w:t xml:space="preserve"> </w:t>
      </w:r>
      <w:r>
        <w:t xml:space="preserve">credible time-series study requires consistent measurement lineage. The legacy</w:t>
      </w:r>
      <w:r>
        <w:t xml:space="preserve"> </w:t>
      </w:r>
      <w:r>
        <w:t xml:space="preserve">repository described a 2017-2025 multi-pollutant monitoring record. Audit of its</w:t>
      </w:r>
      <w:r>
        <w:t xml:space="preserve"> </w:t>
      </w:r>
      <w:r>
        <w:t xml:space="preserve">code and deleted workbooks instead found CAMS reanalysis values, scraped AQI,</w:t>
      </w:r>
      <w:r>
        <w:t xml:space="preserve"> </w:t>
      </w:r>
      <w:r>
        <w:t xml:space="preserve">monthly values repeated across days, unresolved station identities, and annual</w:t>
      </w:r>
      <w:r>
        <w:t xml:space="preserve"> </w:t>
      </w:r>
      <w:r>
        <w:t xml:space="preserve">contextual variables repeated monthly. This revision asks: (1) what seasonal</w:t>
      </w:r>
      <w:r>
        <w:t xml:space="preserve"> </w:t>
      </w:r>
      <w:r>
        <w:t xml:space="preserve">and temporal patterns are supported by one identified ground monitor; (2) how</w:t>
      </w:r>
      <w:r>
        <w:t xml:space="preserve"> </w:t>
      </w:r>
      <w:r>
        <w:t xml:space="preserve">sensitive is trend inference to seasonality and serial dependence; (3) what</w:t>
      </w:r>
      <w:r>
        <w:t xml:space="preserve"> </w:t>
      </w:r>
      <w:r>
        <w:t xml:space="preserve">non-causal association is visible during the 2020 restriction period; and (4)</w:t>
      </w:r>
      <w:r>
        <w:t xml:space="preserve"> </w:t>
      </w:r>
      <w:r>
        <w:t xml:space="preserve">which short-horizon forecast model outperforms seasonal naive in rolling tests?</w:t>
      </w:r>
    </w:p>
    <w:bookmarkEnd w:id="10"/>
    <w:bookmarkStart w:id="15" w:name="data-and-methods"/>
    <w:p>
      <w:pPr>
        <w:pStyle w:val="Heading1"/>
      </w:pPr>
      <w:r>
        <w:t xml:space="preserve">2. Data and methods</w:t>
      </w:r>
    </w:p>
    <w:bookmarkStart w:id="11" w:name="monitor-and-provenance"/>
    <w:p>
      <w:pPr>
        <w:pStyle w:val="Heading2"/>
      </w:pPr>
      <w:r>
        <w:t xml:space="preserve">2.1 Monitor and provenance</w:t>
      </w:r>
    </w:p>
    <w:p>
      <w:pPr>
        <w:pStyle w:val="FirstParagraph"/>
      </w:pPr>
      <w:r>
        <w:t xml:space="preserve">The primary source is the official dated AirNow</w:t>
      </w:r>
      <w:r>
        <w:t xml:space="preserve"> </w:t>
      </w:r>
      <w:r>
        <w:rPr>
          <w:rStyle w:val="VerbatimChar"/>
        </w:rPr>
        <w:t xml:space="preserve">daily_data_v2.dat</w:t>
      </w:r>
      <w:r>
        <w:t xml:space="preserve"> </w:t>
      </w:r>
      <w:r>
        <w:t xml:space="preserve">archive.</w:t>
      </w:r>
      <w:r>
        <w:t xml:space="preserve"> </w:t>
      </w:r>
      <w:r>
        <w:t xml:space="preserve">The original provider is U.S. Department of State Bangladesh - Dhaka; AirNow is</w:t>
      </w:r>
      <w:r>
        <w:t xml:space="preserve"> </w:t>
      </w:r>
      <w:r>
        <w:t xml:space="preserve">the distribution system. Each source row reports station</w:t>
      </w:r>
      <w:r>
        <w:t xml:space="preserve"> </w:t>
      </w:r>
      <w:r>
        <w:rPr>
          <w:rStyle w:val="VerbatimChar"/>
        </w:rPr>
        <w:t xml:space="preserve">DK1010001</w:t>
      </w:r>
      <w:r>
        <w:t xml:space="preserve"> </w:t>
      </w:r>
      <w:r>
        <w:t xml:space="preserve">(full code</w:t>
      </w:r>
      <w:r>
        <w:t xml:space="preserve"> </w:t>
      </w:r>
      <w:r>
        <w:rPr>
          <w:rStyle w:val="VerbatimChar"/>
        </w:rPr>
        <w:t xml:space="preserve">050DK1010001</w:t>
      </w:r>
      <w:r>
        <w:t xml:space="preserve">), site name Dhaka, latitude 23.796374, longitude 90.424614,</w:t>
      </w:r>
      <w:r>
        <w:t xml:space="preserve"> </w:t>
      </w:r>
      <w:r>
        <w:t xml:space="preserve">parameter PM2.5-24hr, unit UG/M3, duration 24 hours, concentration, AQI, and</w:t>
      </w:r>
      <w:r>
        <w:t xml:space="preserve"> </w:t>
      </w:r>
      <w:r>
        <w:t xml:space="preserve">category. The archive row does not encode instrument metadata, so the</w:t>
      </w:r>
      <w:r>
        <w:t xml:space="preserve"> </w:t>
      </w:r>
      <w:r>
        <w:t xml:space="preserve">instrument remains unresolved. AirNow values are preliminary and subject to</w:t>
      </w:r>
      <w:r>
        <w:t xml:space="preserve"> </w:t>
      </w:r>
      <w:r>
        <w:t xml:space="preserve">revision.</w:t>
      </w:r>
    </w:p>
    <w:p>
      <w:pPr>
        <w:pStyle w:val="BodyText"/>
      </w:pPr>
      <w:r>
        <w:t xml:space="preserve">The downloader used verified HTTPS and preserved every URL, exact source line,</w:t>
      </w:r>
      <w:r>
        <w:t xml:space="preserve"> </w:t>
      </w:r>
      <w:r>
        <w:t xml:space="preserve">response SHA-256, and retrieval timestamp. Bangladesh Department of Environment</w:t>
      </w:r>
      <w:r>
        <w:t xml:space="preserve"> </w:t>
      </w:r>
      <w:r>
        <w:t xml:space="preserve">reports were selected as a separate validation source, but no reproducible raw</w:t>
      </w:r>
      <w:r>
        <w:t xml:space="preserve"> </w:t>
      </w:r>
      <w:r>
        <w:t xml:space="preserve">machine-readable DoE series was found; no numeric series was extracted from</w:t>
      </w:r>
      <w:r>
        <w:t xml:space="preserve"> </w:t>
      </w:r>
      <w:r>
        <w:t xml:space="preserve">charts or spliced into AirNow.</w:t>
      </w:r>
    </w:p>
    <w:bookmarkEnd w:id="11"/>
    <w:bookmarkStart w:id="12" w:name="qa-aggregation-and-cutoff"/>
    <w:p>
      <w:pPr>
        <w:pStyle w:val="Heading2"/>
      </w:pPr>
      <w:r>
        <w:t xml:space="preserve">2.2 QA, aggregation, and cutoff</w:t>
      </w:r>
    </w:p>
    <w:p>
      <w:pPr>
        <w:pStyle w:val="FirstParagraph"/>
      </w:pPr>
      <w:r>
        <w:t xml:space="preserve">The pipeline rejected wrong station, agency, pollutant, unit, duration,</w:t>
      </w:r>
      <w:r>
        <w:t xml:space="preserve"> </w:t>
      </w:r>
      <w:r>
        <w:t xml:space="preserve">duplicates, negative values, and dates beyond retrieval. Asia/Dhaka defines</w:t>
      </w:r>
      <w:r>
        <w:t xml:space="preserve"> </w:t>
      </w:r>
      <w:r>
        <w:t xml:space="preserve">local days. Monthly summaries require &gt;=75% valid daily AirNow summaries.</w:t>
      </w:r>
      <w:r>
        <w:t xml:space="preserve"> </w:t>
      </w:r>
      <w:r>
        <w:t xml:space="preserve">Hourly completeness is unknown and remains null. A terminal month must reach</w:t>
      </w:r>
      <w:r>
        <w:t xml:space="preserve"> </w:t>
      </w:r>
      <w:r>
        <w:t xml:space="preserve">month-end, so March 2025 (24/31 days) is</w:t>
      </w:r>
      <w:r>
        <w:t xml:space="preserve"> </w:t>
      </w:r>
      <w:r>
        <w:t xml:space="preserve">partial and the cutoff is February 2025. No missing observation was imputed.</w:t>
      </w:r>
    </w:p>
    <w:p>
      <w:pPr>
        <w:pStyle w:val="BodyText"/>
      </w:pPr>
      <w:r>
        <w:t xml:space="preserve">AQI was recalculated from physical PM2.5 using U.S. EPA breakpoints effective</w:t>
      </w:r>
      <w:r>
        <w:t xml:space="preserve"> </w:t>
      </w:r>
      <w:r>
        <w:t xml:space="preserve">6 May 2024. Source-reported AQI was retained separately because historical</w:t>
      </w:r>
      <w:r>
        <w:t xml:space="preserve"> </w:t>
      </w:r>
      <w:r>
        <w:t xml:space="preserve">values used contemporaneous breakpoints. AQI is a mathematical transform here,</w:t>
      </w:r>
      <w:r>
        <w:t xml:space="preserve"> </w:t>
      </w:r>
      <w:r>
        <w:t xml:space="preserve">not an independent environmental outcome.</w:t>
      </w:r>
    </w:p>
    <w:bookmarkEnd w:id="12"/>
    <w:bookmarkStart w:id="13" w:name="statistical-analysis"/>
    <w:p>
      <w:pPr>
        <w:pStyle w:val="Heading2"/>
      </w:pPr>
      <w:r>
        <w:t xml:space="preserve">2.3 Statistical analysis</w:t>
      </w:r>
    </w:p>
    <w:p>
      <w:pPr>
        <w:pStyle w:val="FirstParagraph"/>
      </w:pPr>
      <w:r>
        <w:t xml:space="preserve">Descriptive results include valid counts, mean, median, standard deviation, and</w:t>
      </w:r>
      <w:r>
        <w:t xml:space="preserve"> </w:t>
      </w:r>
      <w:r>
        <w:t xml:space="preserve">IQR. Monthly climatology includes n and t-based 95% confidence intervals.</w:t>
      </w:r>
      <w:r>
        <w:t xml:space="preserve"> </w:t>
      </w:r>
      <w:r>
        <w:t xml:space="preserve">Seasonal differences use Kruskal-Wallis, epsilon-squared, and Holm-corrected</w:t>
      </w:r>
      <w:r>
        <w:t xml:space="preserve"> </w:t>
      </w:r>
      <w:r>
        <w:t xml:space="preserve">pairwise Mann-Whitney tests.</w:t>
      </w:r>
    </w:p>
    <w:p>
      <w:pPr>
        <w:pStyle w:val="BodyText"/>
      </w:pPr>
      <w:r>
        <w:t xml:space="preserve">Trend methods comprise seasonal Mann-Kendall with tie correction, same-month</w:t>
      </w:r>
      <w:r>
        <w:t xml:space="preserve"> </w:t>
      </w:r>
      <w:r>
        <w:t xml:space="preserve">Sen slope with a seeded year-block bootstrap interval, trend-free prewhitening,</w:t>
      </w:r>
      <w:r>
        <w:t xml:space="preserve"> </w:t>
      </w:r>
      <w:r>
        <w:t xml:space="preserve">and elapsed-time regression with calendar-month fixed effects and 12-lag</w:t>
      </w:r>
      <w:r>
        <w:t xml:space="preserve"> </w:t>
      </w:r>
      <w:r>
        <w:t xml:space="preserve">Newey-West covariance. Pettitt’s test is a change diagnostic only.</w:t>
      </w:r>
    </w:p>
    <w:p>
      <w:pPr>
        <w:pStyle w:val="BodyText"/>
      </w:pPr>
      <w:r>
        <w:t xml:space="preserve">COVID analyses compare March-August 2020 with the same months of 2019 and fit a</w:t>
      </w:r>
      <w:r>
        <w:t xml:space="preserve"> </w:t>
      </w:r>
      <w:r>
        <w:t xml:space="preserve">month-adjusted interrupted association. Meteorology was unavailable; language</w:t>
      </w:r>
      <w:r>
        <w:t xml:space="preserve"> </w:t>
      </w:r>
      <w:r>
        <w:t xml:space="preserve">is associational rather than causal. Annual means are compared with annual</w:t>
      </w:r>
      <w:r>
        <w:t xml:space="preserve"> </w:t>
      </w:r>
      <w:r>
        <w:t xml:space="preserve">guidelines, and daily observations with the specified 24-hour forms.</w:t>
      </w:r>
    </w:p>
    <w:bookmarkEnd w:id="13"/>
    <w:bookmarkStart w:id="14" w:name="forecasting-and-scenarios"/>
    <w:p>
      <w:pPr>
        <w:pStyle w:val="Heading2"/>
      </w:pPr>
      <w:r>
        <w:t xml:space="preserve">2.4 Forecasting and scenarios</w:t>
      </w:r>
    </w:p>
    <w:p>
      <w:pPr>
        <w:pStyle w:val="FirstParagraph"/>
      </w:pPr>
      <w:r>
        <w:t xml:space="preserve">Seasonal-naive, naive, drift, ETS, SARIMA, and time/month regression models were</w:t>
      </w:r>
      <w:r>
        <w:t xml:space="preserve"> </w:t>
      </w:r>
      <w:r>
        <w:t xml:space="preserve">evaluated at three expanding origins with 12-month test horizons. Metrics were</w:t>
      </w:r>
      <w:r>
        <w:t xml:space="preserve"> </w:t>
      </w:r>
      <w:r>
        <w:t xml:space="preserve">MAE, RMSE, MASE, sMAPE, and 95% interval coverage. Positive-support statistical</w:t>
      </w:r>
      <w:r>
        <w:t xml:space="preserve"> </w:t>
      </w:r>
      <w:r>
        <w:t xml:space="preserve">models used log1p concentration. The lowest mean MASE selected the model. The</w:t>
      </w:r>
      <w:r>
        <w:t xml:space="preserve"> </w:t>
      </w:r>
      <w:r>
        <w:t xml:space="preserve">empirical horizon is 24 months. 2030 lines are deterministic benchmarks, not</w:t>
      </w:r>
      <w:r>
        <w:t xml:space="preserve"> </w:t>
      </w:r>
      <w:r>
        <w:t xml:space="preserve">forecasts; no probabilistic interval is fabricated for policy implementation.</w:t>
      </w:r>
    </w:p>
    <w:bookmarkEnd w:id="14"/>
    <w:bookmarkEnd w:id="15"/>
    <w:bookmarkStart w:id="40" w:name="results"/>
    <w:p>
      <w:pPr>
        <w:pStyle w:val="Heading1"/>
      </w:pPr>
      <w:r>
        <w:t xml:space="preserve">3. Results</w:t>
      </w:r>
    </w:p>
    <w:bookmarkStart w:id="19" w:name="completeness-and-distribution"/>
    <w:p>
      <w:pPr>
        <w:pStyle w:val="Heading2"/>
      </w:pPr>
      <w:r>
        <w:t xml:space="preserve">3.1 Completeness and distribution</w:t>
      </w:r>
    </w:p>
    <w:p>
      <w:pPr>
        <w:pStyle w:val="FirstParagraph"/>
      </w:pPr>
      <w:r>
        <w:t xml:space="preserve">The observed archive contained 2,209 daily summaries. Of</w:t>
      </w:r>
      <w:r>
        <w:t xml:space="preserve"> </w:t>
      </w:r>
      <w:r>
        <w:t xml:space="preserve">75 calendar months, 71 met</w:t>
      </w:r>
      <w:r>
        <w:t xml:space="preserve"> </w:t>
      </w:r>
      <w:r>
        <w:t xml:space="preserve">the primary rule. Complete-month PM2.5 ranged from</w:t>
      </w:r>
      <w:r>
        <w:t xml:space="preserve"> </w:t>
      </w:r>
      <w:r>
        <w:t xml:space="preserve">25.97 to 234.06 ug/m3; the</w:t>
      </w:r>
      <w:r>
        <w:t xml:space="preserve"> </w:t>
      </w:r>
      <w:r>
        <w:t xml:space="preserve">IQR was 98.82 ug/m3.</w:t>
      </w:r>
    </w:p>
    <w:p>
      <w:pPr>
        <w:pStyle w:val="CaptionedFigure"/>
      </w:pPr>
      <w:r>
        <w:drawing>
          <wp:inline>
            <wp:extent cx="4800600" cy="2433103"/>
            <wp:effectExtent b="0" l="0" r="0" t="0"/>
            <wp:docPr descr="Observed monthly PM2.5. Open symbols are excluded partial months. Source: U.S. Department of State via AirNow." title="" id="17" name="Picture"/>
            <a:graphic>
              <a:graphicData uri="http://schemas.openxmlformats.org/drawingml/2006/picture">
                <pic:pic>
                  <pic:nvPicPr>
                    <pic:cNvPr descr="figures/observed_pm25_time_serie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433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monthly PM2.5. Open symbols are excluded partial months. Source: U.S. Department of State via AirNow.</w:t>
      </w:r>
    </w:p>
    <w:bookmarkEnd w:id="19"/>
    <w:bookmarkStart w:id="23" w:name="seasonality"/>
    <w:p>
      <w:pPr>
        <w:pStyle w:val="Heading2"/>
      </w:pPr>
      <w:r>
        <w:t xml:space="preserve">3.2 Seasonality</w:t>
      </w:r>
    </w:p>
    <w:p>
      <w:pPr>
        <w:pStyle w:val="FirstParagraph"/>
      </w:pPr>
      <w:r>
        <w:t xml:space="preserve">Calendar-month climatology peaked in month 1 at</w:t>
      </w:r>
      <w:r>
        <w:t xml:space="preserve"> </w:t>
      </w:r>
      <w:r>
        <w:t xml:space="preserve">200.53 ug/m3 and was lowest in month 7 at</w:t>
      </w:r>
      <w:r>
        <w:t xml:space="preserve"> </w:t>
      </w:r>
      <w:r>
        <w:t xml:space="preserve">31.33 ug/m3. Seasonal differences were large (Kruskal-Wallis</w:t>
      </w:r>
      <w:r>
        <w:t xml:space="preserve"> </w:t>
      </w:r>
      <w:r>
        <w:t xml:space="preserve">epsilon-squared 0.86, p&lt;0.001).</w:t>
      </w:r>
    </w:p>
    <w:p>
      <w:pPr>
        <w:pStyle w:val="CaptionedFigure"/>
      </w:pPr>
      <w:r>
        <w:drawing>
          <wp:inline>
            <wp:extent cx="4267200" cy="2642569"/>
            <wp:effectExtent b="0" l="0" r="0" t="0"/>
            <wp:docPr descr="Monthly climatology with 95% confidence intervals; complete months only." title="" id="21" name="Picture"/>
            <a:graphic>
              <a:graphicData uri="http://schemas.openxmlformats.org/drawingml/2006/picture">
                <pic:pic>
                  <pic:nvPicPr>
                    <pic:cNvPr descr="figures/monthly_climatolog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42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Monthly climatology with 95% confidence intervals; complete months only.</w:t>
      </w:r>
    </w:p>
    <w:bookmarkEnd w:id="23"/>
    <w:bookmarkStart w:id="24" w:name="trends-and-break-diagnostic"/>
    <w:p>
      <w:pPr>
        <w:pStyle w:val="Heading2"/>
      </w:pPr>
      <w:r>
        <w:t xml:space="preserve">3.3 Trends and break diagnostic</w:t>
      </w:r>
    </w:p>
    <w:p>
      <w:pPr>
        <w:pStyle w:val="FirstParagraph"/>
      </w:pPr>
      <w:r>
        <w:t xml:space="preserve">Seasonal Mann-Kendall yielded z=2.83, p=0.0046. The</w:t>
      </w:r>
      <w:r>
        <w:t xml:space="preserve"> </w:t>
      </w:r>
      <w:r>
        <w:t xml:space="preserve">seasonal Sen estimate was 2.80 ug/m3/year (95%</w:t>
      </w:r>
      <w:r>
        <w:t xml:space="preserve"> </w:t>
      </w:r>
      <w:r>
        <w:t xml:space="preserve">bootstrap CI -0.00 to 4.88). HAC regression</w:t>
      </w:r>
      <w:r>
        <w:t xml:space="preserve"> </w:t>
      </w:r>
      <w:r>
        <w:t xml:space="preserve">estimated 3.14 (95% CI 1.42 to</w:t>
      </w:r>
      <w:r>
        <w:t xml:space="preserve"> </w:t>
      </w:r>
      <w:r>
        <w:t xml:space="preserve">4.86), but prewhitening yielded p=0.18 with</w:t>
      </w:r>
      <w:r>
        <w:t xml:space="preserve"> </w:t>
      </w:r>
      <w:r>
        <w:t xml:space="preserve">lag-1 autocorrelation 0.80. We therefore interpret</w:t>
      </w:r>
      <w:r>
        <w:t xml:space="preserve"> </w:t>
      </w:r>
      <w:r>
        <w:t xml:space="preserve">the direction as suggestive of an increase but not robust across dependence</w:t>
      </w:r>
      <w:r>
        <w:t xml:space="preserve"> </w:t>
      </w:r>
      <w:r>
        <w:t xml:space="preserve">adjustments. Pettitt’s test did not identify a significant single change</w:t>
      </w:r>
      <w:r>
        <w:t xml:space="preserve"> </w:t>
      </w:r>
      <w:r>
        <w:t xml:space="preserve">(p=0.48).</w:t>
      </w:r>
    </w:p>
    <w:bookmarkEnd w:id="24"/>
    <w:bookmarkStart w:id="25" w:name="restriction-period-association"/>
    <w:p>
      <w:pPr>
        <w:pStyle w:val="Heading2"/>
      </w:pPr>
      <w:r>
        <w:t xml:space="preserve">3.4 2020 restriction-period association</w:t>
      </w:r>
    </w:p>
    <w:p>
      <w:pPr>
        <w:pStyle w:val="FirstParagraph"/>
      </w:pPr>
      <w:r>
        <w:t xml:space="preserve">The season-matched difference was -7.32 ug/m3 (95% CI</w:t>
      </w:r>
      <w:r>
        <w:t xml:space="preserve"> </w:t>
      </w:r>
      <w:r>
        <w:t xml:space="preserve">-42.90 to 28.65, p=0.93). The</w:t>
      </w:r>
      <w:r>
        <w:t xml:space="preserve"> </w:t>
      </w:r>
      <w:r>
        <w:t xml:space="preserve">month-adjusted interrupted coefficient was -10.62 ug/m3</w:t>
      </w:r>
      <w:r>
        <w:t xml:space="preserve"> </w:t>
      </w:r>
      <w:r>
        <w:t xml:space="preserve">(95% CI -14.88 to -6.35). The discrepancy and lack</w:t>
      </w:r>
      <w:r>
        <w:t xml:space="preserve"> </w:t>
      </w:r>
      <w:r>
        <w:t xml:space="preserve">of meteorological adjustment preclude a causal conclusion.</w:t>
      </w:r>
    </w:p>
    <w:bookmarkEnd w:id="25"/>
    <w:bookmarkStart w:id="29" w:name="guideline-comparisons"/>
    <w:p>
      <w:pPr>
        <w:pStyle w:val="Heading2"/>
      </w:pPr>
      <w:r>
        <w:t xml:space="preserve">3.5 Guideline comparisons</w:t>
      </w:r>
    </w:p>
    <w:p>
      <w:pPr>
        <w:pStyle w:val="FirstParagraph"/>
      </w:pPr>
      <w:r>
        <w:t xml:space="preserve">All complete annual monitor means (2019-2024) exceeded WHO 2021 (5 ug/m3),</w:t>
      </w:r>
      <w:r>
        <w:t xml:space="preserve"> </w:t>
      </w:r>
      <w:r>
        <w:t xml:space="preserve">Bangladesh 2022 (35 ug/m3), and U.S. EPA 2024 (9 ug/m3) annual levels. EPA</w:t>
      </w:r>
      <w:r>
        <w:t xml:space="preserve"> </w:t>
      </w:r>
      <w:r>
        <w:t xml:space="preserve">comparisons are descriptive because formal NAAQS determinations use design-value</w:t>
      </w:r>
      <w:r>
        <w:t xml:space="preserve"> </w:t>
      </w:r>
      <w:r>
        <w:t xml:space="preserve">procedures and regulatory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PM2.5 mean (ug/m3)</w:t>
            </w:r>
          </w:p>
        </w:tc>
        <w:tc>
          <w:tcPr/>
          <w:p>
            <w:pPr>
              <w:pStyle w:val="Compact"/>
            </w:pPr>
            <w:r>
              <w:t xml:space="preserve">valid-day coverage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86.4</w:t>
            </w:r>
          </w:p>
        </w:tc>
        <w:tc>
          <w:tcPr/>
          <w:p>
            <w:pPr>
              <w:pStyle w:val="Compact"/>
            </w:pPr>
            <w:r>
              <w:t xml:space="preserve">98.4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84.6</w:t>
            </w:r>
          </w:p>
        </w:tc>
        <w:tc>
          <w:tcPr/>
          <w:p>
            <w:pPr>
              <w:pStyle w:val="Compact"/>
            </w:pPr>
            <w:r>
              <w:t xml:space="preserve">96.2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98.2</w:t>
            </w:r>
          </w:p>
        </w:tc>
        <w:tc>
          <w:tcPr/>
          <w:p>
            <w:pPr>
              <w:pStyle w:val="Compact"/>
            </w:pPr>
            <w:r>
              <w:t xml:space="preserve">94.5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96.3</w:t>
            </w:r>
          </w:p>
        </w:tc>
        <w:tc>
          <w:tcPr/>
          <w:p>
            <w:pPr>
              <w:pStyle w:val="Compact"/>
            </w:pPr>
            <w:r>
              <w:t xml:space="preserve">94.8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103.6</w:t>
            </w:r>
          </w:p>
        </w:tc>
        <w:tc>
          <w:tcPr/>
          <w:p>
            <w:pPr>
              <w:pStyle w:val="Compact"/>
            </w:pPr>
            <w:r>
              <w:t xml:space="preserve">99.2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98.2</w:t>
            </w:r>
          </w:p>
        </w:tc>
        <w:tc>
          <w:tcPr/>
          <w:p>
            <w:pPr>
              <w:pStyle w:val="Compact"/>
            </w:pPr>
            <w:r>
              <w:t xml:space="preserve">98.9</w:t>
            </w:r>
          </w:p>
        </w:tc>
      </w:tr>
    </w:tbl>
    <w:p>
      <w:pPr>
        <w:pStyle w:val="CaptionedFigure"/>
      </w:pPr>
      <w:r>
        <w:drawing>
          <wp:inline>
            <wp:extent cx="4267200" cy="2642569"/>
            <wp:effectExtent b="0" l="0" r="0" t="0"/>
            <wp:docPr descr="Annual monitor means with annual reference levels; these are not interchangeable with 24-hour standards." title="" id="27" name="Picture"/>
            <a:graphic>
              <a:graphicData uri="http://schemas.openxmlformats.org/drawingml/2006/picture">
                <pic:pic>
                  <pic:nvPicPr>
                    <pic:cNvPr descr="figures/annual_guideline_comparis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42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Annual monitor means with annual reference levels; these are not interchangeable with 24-hour standards.</w:t>
      </w:r>
    </w:p>
    <w:bookmarkEnd w:id="29"/>
    <w:bookmarkStart w:id="39" w:name="forecast-validation"/>
    <w:p>
      <w:pPr>
        <w:pStyle w:val="Heading2"/>
      </w:pPr>
      <w:r>
        <w:t xml:space="preserve">3.6 Forecast validation</w:t>
      </w:r>
    </w:p>
    <w:p>
      <w:pPr>
        <w:pStyle w:val="FirstParagraph"/>
      </w:pPr>
      <w:r>
        <w:t xml:space="preserve">The selected model was sarima (mean MAE 13.64, RMSE</w:t>
      </w:r>
      <w:r>
        <w:t xml:space="preserve"> </w:t>
      </w:r>
      <w:r>
        <w:t xml:space="preserve">18.05, MASE 0.85, sMAPE 14.8%).</w:t>
      </w:r>
      <w:r>
        <w:t xml:space="preserve"> </w:t>
      </w:r>
      <w:r>
        <w:t xml:space="preserve">Seasonal naive had MASE</w:t>
      </w:r>
      <w:r>
        <w:t xml:space="preserve"> </w:t>
      </w:r>
      <w:r>
        <w:t xml:space="preserve">1.03.</w:t>
      </w:r>
    </w:p>
    <w:p>
      <w:pPr>
        <w:pStyle w:val="CaptionedFigure"/>
      </w:pPr>
      <w:r>
        <w:drawing>
          <wp:inline>
            <wp:extent cx="4267200" cy="2919880"/>
            <wp:effectExtent b="0" l="0" r="0" t="0"/>
            <wp:docPr descr="Rolling-origin 12-month backtesting." title="" id="31" name="Picture"/>
            <a:graphic>
              <a:graphicData uri="http://schemas.openxmlformats.org/drawingml/2006/picture">
                <pic:pic>
                  <pic:nvPicPr>
                    <pic:cNvPr descr="figures/forecast_backtesting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19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Rolling-origin 12-month backtesting.</w:t>
      </w:r>
    </w:p>
    <w:p>
      <w:pPr>
        <w:pStyle w:val="CaptionedFigure"/>
      </w:pPr>
      <w:r>
        <w:drawing>
          <wp:inline>
            <wp:extent cx="4800600" cy="2459346"/>
            <wp:effectExtent b="0" l="0" r="0" t="0"/>
            <wp:docPr descr="Selected 24-month forecast with 95% prediction intervals." title="" id="34" name="Picture"/>
            <a:graphic>
              <a:graphicData uri="http://schemas.openxmlformats.org/drawingml/2006/picture">
                <pic:pic>
                  <pic:nvPicPr>
                    <pic:cNvPr descr="figures/forecast_interval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459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Selected 24-month forecast with 95% prediction intervals.</w:t>
      </w:r>
    </w:p>
    <w:p>
      <w:pPr>
        <w:pStyle w:val="BodyText"/>
      </w:pPr>
      <w:r>
        <w:t xml:space="preserve">The 2030 benchmarks end at 98.19 ug/m3 for no</w:t>
      </w:r>
      <w:r>
        <w:t xml:space="preserve"> </w:t>
      </w:r>
      <w:r>
        <w:t xml:space="preserve">additional change, 35 ug/m3 for the Bangladesh annual standard, and 5 ug/m3 for</w:t>
      </w:r>
      <w:r>
        <w:t xml:space="preserve"> </w:t>
      </w:r>
      <w:r>
        <w:t xml:space="preserve">the WHO AQG. These values express assumptions/targets, not expected outcomes.</w:t>
      </w:r>
    </w:p>
    <w:p>
      <w:pPr>
        <w:pStyle w:val="CaptionedFigure"/>
      </w:pPr>
      <w:r>
        <w:drawing>
          <wp:inline>
            <wp:extent cx="4267200" cy="2642569"/>
            <wp:effectExtent b="0" l="0" r="0" t="0"/>
            <wp:docPr descr="Conditional 2030 benchmark paths, not forecasts." title="" id="37" name="Picture"/>
            <a:graphic>
              <a:graphicData uri="http://schemas.openxmlformats.org/drawingml/2006/picture">
                <pic:pic>
                  <pic:nvPicPr>
                    <pic:cNvPr descr="figures/scenarios_203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42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Conditional 2030 benchmark paths, not forecasts.</w:t>
      </w:r>
    </w:p>
    <w:bookmarkEnd w:id="39"/>
    <w:bookmarkEnd w:id="40"/>
    <w:bookmarkStart w:id="41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t xml:space="preserve">Rebuilding from one identified monitor changes both scope and inference. The</w:t>
      </w:r>
      <w:r>
        <w:t xml:space="preserve"> </w:t>
      </w:r>
      <w:r>
        <w:t xml:space="preserve">legacy analysis reported a strong PM2.5 decline using a source-mixed 2017-2025</w:t>
      </w:r>
      <w:r>
        <w:t xml:space="preserve"> </w:t>
      </w:r>
      <w:r>
        <w:t xml:space="preserve">series. The audited 2019-2025 monitor record instead suggests an increase under</w:t>
      </w:r>
      <w:r>
        <w:t xml:space="preserve"> </w:t>
      </w:r>
      <w:r>
        <w:t xml:space="preserve">seasonal MK and HAC regression, with loss of significance after prewhitening.</w:t>
      </w:r>
      <w:r>
        <w:t xml:space="preserve"> </w:t>
      </w:r>
      <w:r>
        <w:t xml:space="preserve">The correct conclusion is sensitivity, not a definitive monotonic trajectory.</w:t>
      </w:r>
    </w:p>
    <w:p>
      <w:pPr>
        <w:pStyle w:val="BodyText"/>
      </w:pPr>
      <w:r>
        <w:t xml:space="preserve">Seasonality is much more stable: winter concentrations are high and monsoon</w:t>
      </w:r>
      <w:r>
        <w:t xml:space="preserve"> </w:t>
      </w:r>
      <w:r>
        <w:t xml:space="preserve">concentrations low. This pattern is consistent with meteorological dispersion,</w:t>
      </w:r>
      <w:r>
        <w:t xml:space="preserve"> </w:t>
      </w:r>
      <w:r>
        <w:t xml:space="preserve">wet removal, seasonal emissions, and regional transport, but the present data</w:t>
      </w:r>
      <w:r>
        <w:t xml:space="preserve"> </w:t>
      </w:r>
      <w:r>
        <w:t xml:space="preserve">do not apportion sources. PM2.5 cannot be summed with PM10 for source</w:t>
      </w:r>
      <w:r>
        <w:t xml:space="preserve"> </w:t>
      </w:r>
      <w:r>
        <w:t xml:space="preserve">apportionment, and no chemical speciation, PMF/CMB, inventory, or transport</w:t>
      </w:r>
      <w:r>
        <w:t xml:space="preserve"> </w:t>
      </w:r>
      <w:r>
        <w:t xml:space="preserve">attribution is implemented.</w:t>
      </w:r>
    </w:p>
    <w:p>
      <w:pPr>
        <w:pStyle w:val="BodyText"/>
      </w:pPr>
      <w:r>
        <w:t xml:space="preserve">The season-matched COVID comparison is uncertain. Although the interrupted</w:t>
      </w:r>
      <w:r>
        <w:t xml:space="preserve"> </w:t>
      </w:r>
      <w:r>
        <w:t xml:space="preserve">coefficient is negative, a single-station ecological time series without</w:t>
      </w:r>
      <w:r>
        <w:t xml:space="preserve"> </w:t>
      </w:r>
      <w:r>
        <w:t xml:space="preserve">meteorology or mobility controls cannot isolate lockdown effects. Likewise,</w:t>
      </w:r>
      <w:r>
        <w:t xml:space="preserve"> </w:t>
      </w:r>
      <w:r>
        <w:t xml:space="preserve">AQI-PM2.5 correlation would be definitional and is not presented as discovery.</w:t>
      </w:r>
    </w:p>
    <w:bookmarkEnd w:id="41"/>
    <w:bookmarkStart w:id="42" w:name="limitations"/>
    <w:p>
      <w:pPr>
        <w:pStyle w:val="Heading1"/>
      </w:pPr>
      <w:r>
        <w:t xml:space="preserve">5. Limitations</w:t>
      </w:r>
    </w:p>
    <w:p>
      <w:pPr>
        <w:pStyle w:val="FirstParagraph"/>
      </w:pPr>
      <w:r>
        <w:t xml:space="preserve">One monitor does not measure citywide spatial exposure. Values are preliminary</w:t>
      </w:r>
      <w:r>
        <w:t xml:space="preserve"> </w:t>
      </w:r>
      <w:r>
        <w:t xml:space="preserve">daily summaries; per-hour completeness and archive-row instrument metadata are</w:t>
      </w:r>
      <w:r>
        <w:t xml:space="preserve"> </w:t>
      </w:r>
      <w:r>
        <w:t xml:space="preserve">unavailable. Three internal months with 66-71% coverage are excluded from trend</w:t>
      </w:r>
      <w:r>
        <w:t xml:space="preserve"> </w:t>
      </w:r>
      <w:r>
        <w:t xml:space="preserve">inference but retained explicitly in forecasting to preserve the calendar</w:t>
      </w:r>
      <w:r>
        <w:t xml:space="preserve"> </w:t>
      </w:r>
      <w:r>
        <w:t xml:space="preserve">without imputation. No independent numeric DoE validation or meteorological</w:t>
      </w:r>
      <w:r>
        <w:t xml:space="preserve"> </w:t>
      </w:r>
      <w:r>
        <w:t xml:space="preserve">series was available. The feed cessation limits the empirical period. Forecast</w:t>
      </w:r>
      <w:r>
        <w:t xml:space="preserve"> </w:t>
      </w:r>
      <w:r>
        <w:t xml:space="preserve">validation has only three annual rolling origins, and the 24-month outlook</w:t>
      </w:r>
      <w:r>
        <w:t xml:space="preserve"> </w:t>
      </w:r>
      <w:r>
        <w:t xml:space="preserve">cannot establish 2030 conditions. Trend conclusions depend on serial-correlation</w:t>
      </w:r>
      <w:r>
        <w:t xml:space="preserve"> </w:t>
      </w:r>
      <w:r>
        <w:t xml:space="preserve">handling. The missing original manuscript also prevents a line-by-line reference</w:t>
      </w:r>
      <w:r>
        <w:t xml:space="preserve"> </w:t>
      </w:r>
      <w:r>
        <w:t xml:space="preserve">audit and genuine tracked changes.</w:t>
      </w:r>
    </w:p>
    <w:bookmarkEnd w:id="42"/>
    <w:bookmarkStart w:id="43" w:name="conclusion"/>
    <w:p>
      <w:pPr>
        <w:pStyle w:val="Heading1"/>
      </w:pPr>
      <w:r>
        <w:t xml:space="preserve">6. Conclusion</w:t>
      </w:r>
    </w:p>
    <w:p>
      <w:pPr>
        <w:pStyle w:val="FirstParagraph"/>
      </w:pPr>
      <w:r>
        <w:t xml:space="preserve">The defensible result is a narrow, station-specific PM2.5 study. Pollution at</w:t>
      </w:r>
      <w:r>
        <w:t xml:space="preserve"> </w:t>
      </w:r>
      <w:r>
        <w:t xml:space="preserve">this monitor remained far above annual health and regulatory reference levels,</w:t>
      </w:r>
      <w:r>
        <w:t xml:space="preserve"> </w:t>
      </w:r>
      <w:r>
        <w:t xml:space="preserve">with strong seasonality and method-sensitive trend evidence. The data do not</w:t>
      </w:r>
      <w:r>
        <w:t xml:space="preserve"> </w:t>
      </w:r>
      <w:r>
        <w:t xml:space="preserve">support multi-pollutant trends, citywide exposure, source apportionment, an EKC,</w:t>
      </w:r>
      <w:r>
        <w:t xml:space="preserve"> </w:t>
      </w:r>
      <w:r>
        <w:t xml:space="preserve">precise attributable mortality, or a causal lockdown claim. A 24-month forecast</w:t>
      </w:r>
      <w:r>
        <w:t xml:space="preserve"> </w:t>
      </w:r>
      <w:r>
        <w:t xml:space="preserve">can be reported with rolling-origin validation; 2030 values remain conditional</w:t>
      </w:r>
      <w:r>
        <w:t xml:space="preserve"> </w:t>
      </w:r>
      <w:r>
        <w:t xml:space="preserve">benchmarks.</w:t>
      </w:r>
    </w:p>
    <w:bookmarkEnd w:id="43"/>
    <w:bookmarkStart w:id="44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Exact extracted AirNow rows, request URLs, response checksums, standardized</w:t>
      </w:r>
      <w:r>
        <w:t xml:space="preserve"> </w:t>
      </w:r>
      <w:r>
        <w:t xml:space="preserve">products, source manifest, provenance ledger, code, tests, and generated outputs</w:t>
      </w:r>
      <w:r>
        <w:t xml:space="preserve"> </w:t>
      </w:r>
      <w:r>
        <w:t xml:space="preserve">are in the repository. Large or terms-restricted CAMS, BMD, OpenAQ, or future</w:t>
      </w:r>
      <w:r>
        <w:t xml:space="preserve"> </w:t>
      </w:r>
      <w:r>
        <w:t xml:space="preserve">DoE raw files must be downloaded separately under provider terms. The paper was</w:t>
      </w:r>
      <w:r>
        <w:t xml:space="preserve"> </w:t>
      </w:r>
      <w:r>
        <w:t xml:space="preserve">generated from repository commit</w:t>
      </w:r>
      <w:r>
        <w:t xml:space="preserve"> </w:t>
      </w:r>
      <w:r>
        <w:rPr>
          <w:rStyle w:val="VerbatimChar"/>
        </w:rPr>
        <w:t xml:space="preserve">7d8d48e66bfe2d7acb291dd48614957dcd28f963</w:t>
      </w:r>
      <w:r>
        <w:t xml:space="preserve">. Raw retrieval occurred on</w:t>
      </w:r>
      <w:r>
        <w:t xml:space="preserve"> </w:t>
      </w:r>
      <w:r>
        <w:t xml:space="preserve">2026-07-18 UTC (2026-07-17 America/New_York).</w:t>
      </w:r>
    </w:p>
    <w:bookmarkEnd w:id="44"/>
    <w:bookmarkStart w:id="45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World Health Organization.</w:t>
      </w:r>
      <w:r>
        <w:t xml:space="preserve"> </w:t>
      </w:r>
      <w:r>
        <w:rPr>
          <w:i/>
          <w:iCs/>
        </w:rPr>
        <w:t xml:space="preserve">WHO global air quality guidelines: particulate matter, ozone, nitrogen dioxide, sulfur dioxide and carbon monoxide</w:t>
      </w:r>
      <w:r>
        <w:t xml:space="preserve">. 2021. ISBN 978-92-4-003422-8. https://www.who.int/publications/i/item/9789240034228</w:t>
      </w:r>
    </w:p>
    <w:p>
      <w:pPr>
        <w:pStyle w:val="Compact"/>
        <w:numPr>
          <w:ilvl w:val="0"/>
          <w:numId w:val="1001"/>
        </w:numPr>
      </w:pPr>
      <w:r>
        <w:t xml:space="preserve">Bangladesh Department of Environment.</w:t>
      </w:r>
      <w:r>
        <w:t xml:space="preserve"> </w:t>
      </w:r>
      <w:r>
        <w:rPr>
          <w:i/>
          <w:iCs/>
        </w:rPr>
        <w:t xml:space="preserve">Ambient Air Quality in Bangladesh (2018-2023)</w:t>
      </w:r>
      <w:r>
        <w:t xml:space="preserve">. Published 17 June 2025. https://doe.gov.bd/pages/publications/ambient-air-quality-in-bangladesh-2018-2023-7b0bcb-6922da5381fc96cef9eb5f62</w:t>
      </w:r>
    </w:p>
    <w:p>
      <w:pPr>
        <w:pStyle w:val="Compact"/>
        <w:numPr>
          <w:ilvl w:val="0"/>
          <w:numId w:val="1001"/>
        </w:numPr>
      </w:pPr>
      <w:r>
        <w:t xml:space="preserve">U.S. Environmental Protection Agency.</w:t>
      </w:r>
      <w:r>
        <w:t xml:space="preserve"> </w:t>
      </w:r>
      <w:r>
        <w:rPr>
          <w:i/>
          <w:iCs/>
        </w:rPr>
        <w:t xml:space="preserve">Daily Data File Fact Sheet</w:t>
      </w:r>
      <w:r>
        <w:t xml:space="preserve">. AirNow. Accessed 17 July 2026. https://docs.airnowapi.org/docs/DailyDataFactSheet.pdf</w:t>
      </w:r>
    </w:p>
    <w:p>
      <w:pPr>
        <w:pStyle w:val="Compact"/>
        <w:numPr>
          <w:ilvl w:val="0"/>
          <w:numId w:val="1001"/>
        </w:numPr>
      </w:pPr>
      <w:r>
        <w:t xml:space="preserve">U.S. Environmental Protection Agency.</w:t>
      </w:r>
      <w:r>
        <w:t xml:space="preserve"> </w:t>
      </w:r>
      <w:r>
        <w:rPr>
          <w:i/>
          <w:iCs/>
        </w:rPr>
        <w:t xml:space="preserve">Final Updates to the Air Quality Index for Particulate Matter</w:t>
      </w:r>
      <w:r>
        <w:t xml:space="preserve">. 2024. https://www.epa.gov/system/files/documents/2024-02/pm-naaqs-air-quality-index-fact-sheet.pdf</w:t>
      </w:r>
    </w:p>
    <w:p>
      <w:pPr>
        <w:pStyle w:val="Compact"/>
        <w:numPr>
          <w:ilvl w:val="0"/>
          <w:numId w:val="1001"/>
        </w:numPr>
      </w:pPr>
      <w:r>
        <w:t xml:space="preserve">U.S. Environmental Protection Agency.</w:t>
      </w:r>
      <w:r>
        <w:t xml:space="preserve"> </w:t>
      </w:r>
      <w:r>
        <w:rPr>
          <w:i/>
          <w:iCs/>
        </w:rPr>
        <w:t xml:space="preserve">Final Reconsideration of the National Ambient Air Quality Standards for Particulate Matter</w:t>
      </w:r>
      <w:r>
        <w:t xml:space="preserve">. Effective 6 May 2024. https://www.epa.gov/pm-pollution/final-reconsideration-national-ambient-air-quality-standards-particulate-matter-pm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Observed PM2.5 at an Identified U.S. Department of State Monitor in Dhaka, 2019-February 2025</dc:title>
  <dc:creator/>
  <cp:keywords/>
  <dcterms:created xsi:type="dcterms:W3CDTF">2026-07-18T03:49:46Z</dcterms:created>
  <dcterms:modified xsi:type="dcterms:W3CDTF">2026-07-18T03:49:46Z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2026-07-17</vt:lpwstr>
  </property>
  <property fmtid="{D5CDD505-2E9C-101B-9397-08002B2CF9AE}" pid="3" name="subtitle">
    <vt:lpwstr>A provenance audit, robust trend assessment, and short-horizon forecast</vt:lpwstr>
  </property>
</Properties>
</file>