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437570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vxg8wqnm7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Tokko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dblv5deqj8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1.Haala Waliigalaa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undefined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vhzmjpj2t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lama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n0cnxlbkd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Sadii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z6j51eye09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3.5.3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lctygxxfn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Afur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vvxg8wqnm7bu" w:id="3"/>
      <w:bookmarkEnd w:id="3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Tokko</w:t>
      </w:r>
    </w:p>
    <w:p w:rsidR="00000000" w:rsidDel="00000000" w:rsidP="00000000" w:rsidRDefault="00000000" w:rsidRPr="00000000" w14:paraId="0000004A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dblv5deqj87p" w:id="4"/>
      <w:bookmarkEnd w:id="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1.Haala Waliigalaa</w:t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annual plan has been developed in alignment with government policy frameworks and national education development directives.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 Key priorities include:</w:t>
      </w:r>
      <w:r>
        <w:br/>
      </w:r>
      <w:r>
        <w:rPr>
          <w:sz w:val="24"/>
          <w:szCs w:val="24"/>
          <w:rtl w:val="0"/>
        </w:rPr>
        <w:t xml:space="preserve">• Improving education quality</w:t>
      </w:r>
      <w:r>
        <w:br/>
      </w:r>
      <w:r>
        <w:rPr>
          <w:sz w:val="24"/>
          <w:szCs w:val="24"/>
          <w:rtl w:val="0"/>
        </w:rPr>
        <w:t xml:space="preserve">• Strengthening teacher competency</w:t>
      </w:r>
      <w:r>
        <w:br/>
      </w:r>
      <w:r>
        <w:rPr>
          <w:sz w:val="24"/>
          <w:szCs w:val="24"/>
          <w:rtl w:val="0"/>
        </w:rPr>
        <w:t xml:space="preserve">• Developing student capacity</w:t>
      </w:r>
      <w:r>
        <w:br/>
      </w:r>
      <w:r>
        <w:rPr>
          <w:sz w:val="24"/>
          <w:szCs w:val="24"/>
          <w:rtl w:val="0"/>
        </w:rPr>
        <w:t xml:space="preserve">• Building a modern education system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The plan commits to ensuring education effectiveness through coordinated engagement between the community and government institutions.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8wedqy6bui2c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color w:val="3d85c6"/>
        </w:rPr>
      </w:pPr>
      <w:bookmarkStart w:colFirst="0" w:colLast="0" w:name="_fyozvigyyqx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 current educational environment in Adama City presents a range of significant structural challenges.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Identified challenges include:</w:t>
      </w:r>
      <w:r>
        <w:br/>
      </w:r>
      <w:r>
        <w:rPr>
          <w:sz w:val="24"/>
          <w:szCs w:val="24"/>
          <w:rtl w:val="0"/>
        </w:rPr>
        <w:t xml:space="preserve">• Insufficient school infrastructure and facilities</w:t>
      </w:r>
      <w:r>
        <w:br/>
      </w:r>
      <w:r>
        <w:rPr>
          <w:sz w:val="24"/>
          <w:szCs w:val="24"/>
          <w:rtl w:val="0"/>
        </w:rPr>
        <w:t xml:space="preserve">• Inadequate supply of modern educational materials</w:t>
      </w:r>
      <w:r>
        <w:br/>
      </w:r>
      <w:r>
        <w:rPr>
          <w:sz w:val="24"/>
          <w:szCs w:val="24"/>
          <w:rtl w:val="0"/>
        </w:rPr>
        <w:t xml:space="preserve">• Barriers to effective technology integration</w:t>
      </w:r>
      <w:r>
        <w:br/>
      </w:r>
      <w:r>
        <w:rPr>
          <w:sz w:val="24"/>
          <w:szCs w:val="24"/>
          <w:rtl w:val="0"/>
        </w:rPr>
        <w:t xml:space="preserve">• Weak community participation</w:t>
      </w:r>
      <w:r>
        <w:br/>
      </w:r>
      <w:r>
        <w:rPr>
          <w:sz w:val="24"/>
          <w:szCs w:val="24"/>
          <w:rtl w:val="0"/>
        </w:rPr>
        <w:t xml:space="preserve">• Limited institutional government support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A comprehensive environmental assessment has confirmed the necessity of both short-term and long-term remedial interventions.</w:t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  <w:color w:val="3d85c6"/>
        </w:rPr>
      </w:pPr>
      <w:bookmarkStart w:colFirst="0" w:colLast="0" w:name="_4y2qwzpjftgn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Internal organizational challenges within the education office are primarily concentrated in three core areas: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• Administrative management systems — lack of coordination and execution capacity</w:t>
      </w:r>
      <w:r>
        <w:br/>
      </w:r>
      <w:r>
        <w:rPr>
          <w:sz w:val="24"/>
          <w:szCs w:val="24"/>
          <w:rtl w:val="0"/>
        </w:rPr>
        <w:t xml:space="preserve">• Human resource allocation — inefficient deployment of personnel</w:t>
      </w:r>
      <w:r>
        <w:br/>
      </w:r>
      <w:r>
        <w:rPr>
          <w:sz w:val="24"/>
          <w:szCs w:val="24"/>
          <w:rtl w:val="0"/>
        </w:rPr>
        <w:t xml:space="preserve">• Inter-professional collaboration — weak linkages among education professionals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Strengthening internal governance and operational coordination is therefore identified as an urgent priority.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Vision:</w:t>
      </w:r>
      <w:r>
        <w:br/>
      </w:r>
      <w:r>
        <w:rPr>
          <w:rtl w:val="0"/>
        </w:rPr>
        <w:t xml:space="preserve">To build a high-quality education system that meets international standards.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Mission:</w:t>
      </w:r>
      <w:r>
        <w:br/>
      </w:r>
      <w:r>
        <w:rPr>
          <w:rtl w:val="0"/>
        </w:rPr>
        <w:t xml:space="preserve">To develop a generation equipped with superior knowledge, skills, and competencies, enabling them to fulfill their roles in national development.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Core Values:</w:t>
      </w:r>
      <w:r>
        <w:br/>
      </w:r>
      <w:r>
        <w:rPr>
          <w:rtl w:val="0"/>
        </w:rPr>
        <w:t xml:space="preserve">• Integrity</w:t>
      </w:r>
      <w:r>
        <w:br/>
      </w:r>
      <w:r>
        <w:rPr>
          <w:rtl w:val="0"/>
        </w:rPr>
        <w:t xml:space="preserve">• Accountability</w:t>
      </w:r>
      <w:r>
        <w:br/>
      </w:r>
      <w:r>
        <w:rPr>
          <w:rtl w:val="0"/>
        </w:rPr>
        <w:t xml:space="preserve">• Participation</w:t>
      </w:r>
      <w:r>
        <w:br/>
      </w:r>
      <w:r>
        <w:rPr>
          <w:rtl w:val="0"/>
        </w:rPr>
        <w:t xml:space="preserve">• Transparency</w:t>
      </w:r>
      <w:r>
        <w:br/>
      </w:r>
      <w:r>
        <w:rPr>
          <w:rtl w:val="0"/>
        </w:rPr>
        <w:t xml:space="preserve">• Strong coordination and collaboration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strategic focus areas of this plan are: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Improving education quality at all levels</w:t>
      </w:r>
      <w:r>
        <w:br/>
      </w:r>
      <w:r>
        <w:rPr>
          <w:rtl w:val="0"/>
        </w:rPr>
        <w:t xml:space="preserve">• Strengthening teacher competency and performance</w:t>
      </w:r>
      <w:r>
        <w:br/>
      </w:r>
      <w:r>
        <w:rPr>
          <w:rtl w:val="0"/>
        </w:rPr>
        <w:t xml:space="preserve">• Creating a modern and enabling learning environment</w:t>
      </w:r>
      <w:r>
        <w:br/>
      </w:r>
      <w:r>
        <w:rPr>
          <w:rtl w:val="0"/>
        </w:rPr>
        <w:t xml:space="preserve">• Elevating student achievement outcomes</w:t>
      </w:r>
      <w:r>
        <w:br/>
      </w:r>
      <w:r>
        <w:rPr>
          <w:rtl w:val="0"/>
        </w:rPr>
        <w:t xml:space="preserve">• Expanding the use of educational technology</w:t>
      </w:r>
      <w:r>
        <w:br/>
      </w:r>
      <w:r>
        <w:rPr>
          <w:rtl w:val="0"/>
        </w:rPr>
        <w:t xml:space="preserve">• Increasing community support and participation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These focus areas collectively ensure the overall effectiveness and sustainability of the education system.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center"/>
        <w:rPr>
          <w:b w:val="1"/>
          <w:bCs w:val="1"/>
          <w:color w:val="3d85c6"/>
          <w:sz w:val="42"/>
          <w:szCs w:val="42"/>
        </w:rPr>
      </w:pPr>
      <w:bookmarkStart w:colFirst="0" w:colLast="0" w:name="_evhzmjpj2tvg" w:id="11"/>
      <w:bookmarkEnd w:id="11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3d85c6"/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2. Xiinxala Haala Kessaa fi Alaa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3d85c6"/>
        </w:rPr>
      </w:pPr>
      <w:bookmarkStart w:colFirst="0" w:colLast="0" w:name="_26e8gr1f3u53" w:id="12"/>
      <w:bookmarkEnd w:id="12"/>
      <w:r w:rsidDel="00000000" w:rsidR="00000000" w:rsidRPr="00000000">
        <w:rPr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internal situational analysis reveals the following core challenges: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Low teacher competency levels</w:t>
      </w:r>
      <w:r>
        <w:br/>
      </w:r>
      <w:r>
        <w:rPr>
          <w:rtl w:val="0"/>
        </w:rPr>
        <w:t xml:space="preserve">• Infrequent and inadequate in-service training</w:t>
      </w:r>
      <w:r>
        <w:br/>
      </w:r>
      <w:r>
        <w:rPr>
          <w:rtl w:val="0"/>
        </w:rPr>
        <w:t xml:space="preserve">• Weak performance monitoring and evaluation systems</w:t>
      </w:r>
      <w:r>
        <w:br/>
      </w:r>
      <w:r>
        <w:rPr>
          <w:rtl w:val="0"/>
        </w:rPr>
        <w:t xml:space="preserve">• Insufficient internal resource allocation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Conclusion:</w:t>
      </w:r>
      <w:r>
        <w:br/>
      </w:r>
      <w:r>
        <w:rPr>
          <w:rtl w:val="0"/>
        </w:rPr>
        <w:t xml:space="preserve">Comprehensive internal reform and sustained capacity building interventions are necessary to address these gaps.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color w:val="3d85c6"/>
        </w:rPr>
      </w:pPr>
      <w:bookmarkStart w:colFirst="0" w:colLast="0" w:name="_47n31lw92834" w:id="13"/>
      <w:bookmarkEnd w:id="13"/>
      <w:r w:rsidDel="00000000" w:rsidR="00000000" w:rsidRPr="00000000">
        <w:rPr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external situational analysis examines the following factors: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Opportunities:</w:t>
      </w:r>
      <w:r>
        <w:br/>
      </w:r>
      <w:r>
        <w:rPr>
          <w:rtl w:val="0"/>
        </w:rPr>
        <w:t xml:space="preserve">• Rapid technological advancements</w:t>
      </w:r>
      <w:r>
        <w:br/>
      </w:r>
      <w:r>
        <w:rPr>
          <w:rtl w:val="0"/>
        </w:rPr>
        <w:t xml:space="preserve">• Available government support mechanisms</w:t>
      </w:r>
      <w:r>
        <w:br/>
      </w:r>
      <w:r>
        <w:rPr>
          <w:rtl w:val="0"/>
        </w:rPr>
        <w:t xml:space="preserve">• NGO and civil society participation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Threats:</w:t>
      </w:r>
      <w:r>
        <w:br/>
      </w:r>
      <w:r>
        <w:rPr>
          <w:rtl w:val="0"/>
        </w:rPr>
        <w:t xml:space="preserve">• Unfavorable national economic conditions</w:t>
      </w:r>
      <w:r>
        <w:br/>
      </w:r>
      <w:r>
        <w:rPr>
          <w:rtl w:val="0"/>
        </w:rPr>
        <w:t xml:space="preserve">• Risk of technological disruption if not strategically managed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While the external environment presents significant opportunities, these can become constraints if not systematically addressed.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  <w:sz w:val="28"/>
          <w:szCs w:val="28"/>
        </w:rPr>
      </w:pPr>
      <w:bookmarkStart w:colFirst="0" w:colLast="0" w:name="_w0u2tj87misn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Performance review of the preceding fiscal year reveals the following findings: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Achievements:</w:t>
      </w:r>
      <w:r>
        <w:br/>
      </w:r>
      <w:r>
        <w:rPr>
          <w:rtl w:val="0"/>
        </w:rPr>
        <w:t xml:space="preserve">• Partial progress recorded in select program areas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Persistent Gaps:</w:t>
      </w:r>
      <w:r>
        <w:br/>
      </w:r>
      <w:r>
        <w:rPr>
          <w:rtl w:val="0"/>
        </w:rPr>
        <w:t xml:space="preserve">• Weak monitoring and evaluation systems</w:t>
      </w:r>
      <w:r>
        <w:br/>
      </w:r>
      <w:r>
        <w:rPr>
          <w:rtl w:val="0"/>
        </w:rPr>
        <w:t xml:space="preserve">• Staff competency deficits</w:t>
      </w:r>
      <w:r>
        <w:br/>
      </w:r>
      <w:r>
        <w:rPr>
          <w:rtl w:val="0"/>
        </w:rPr>
        <w:t xml:space="preserve">• Delays in timely program execution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Key Lesson:</w:t>
      </w:r>
      <w:r>
        <w:br/>
      </w:r>
      <w:r>
        <w:rPr>
          <w:rtl w:val="0"/>
        </w:rPr>
        <w:t xml:space="preserve">All findings and lessons from the prior year must be systematically incorporated into the current fiscal year planning and implementation cycle.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tn0cnxlbkdk2" w:id="15"/>
      <w:bookmarkEnd w:id="15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Sadii</w:t>
      </w:r>
    </w:p>
    <w:p w:rsidR="00000000" w:rsidDel="00000000" w:rsidP="00000000" w:rsidRDefault="00000000" w:rsidRPr="00000000" w14:paraId="0000007A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3. Karoora Bara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3d85c6"/>
        </w:rPr>
      </w:pPr>
      <w:bookmarkStart w:colFirst="0" w:colLast="0" w:name="_gftpm511ydq7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primary rationale for the development of this plan is driven by the following factors: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Persistent deficit in education quality outcomes</w:t>
      </w:r>
      <w:r>
        <w:br/>
      </w:r>
      <w:r>
        <w:rPr>
          <w:sz w:val="20"/>
          <w:szCs w:val="20"/>
          <w:rtl w:val="0"/>
        </w:rPr>
        <w:t xml:space="preserve">• Critical gaps in teacher competency</w:t>
      </w:r>
      <w:r>
        <w:br/>
      </w:r>
      <w:r>
        <w:rPr>
          <w:sz w:val="20"/>
          <w:szCs w:val="20"/>
          <w:rtl w:val="0"/>
        </w:rPr>
        <w:t xml:space="preserve">• Urgent need to establish a modernized education system</w:t>
      </w:r>
      <w:r>
        <w:br/>
      </w:r>
      <w:r>
        <w:rPr>
          <w:sz w:val="20"/>
          <w:szCs w:val="20"/>
          <w:rtl w:val="0"/>
        </w:rPr>
        <w:t xml:space="preserve">• High-level demand from both the community and government institutions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These factors collectively provide a strong mandate for the preparation and execution of this annual plan.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b w:val="1"/>
          <w:bCs w:val="1"/>
          <w:color w:val="3d85c6"/>
        </w:rPr>
      </w:pPr>
      <w:bookmarkStart w:colFirst="0" w:colLast="0" w:name="_yczbsg32p2ui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The strategic goals of this plan are: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Goal 1: Ensure the delivery of quality education across all levels</w:t>
      </w:r>
      <w:r>
        <w:br/>
      </w:r>
      <w:r>
        <w:rPr>
          <w:rtl w:val="0"/>
        </w:rPr>
        <w:t xml:space="preserve">• Goal 2: Strengthen teacher competency and sustain high performance</w:t>
      </w:r>
      <w:r>
        <w:br/>
      </w:r>
      <w:r>
        <w:rPr>
          <w:rtl w:val="0"/>
        </w:rPr>
        <w:t xml:space="preserve">• Goal 3: Elevate student achievement outcomes and build a modern, effective education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  <w:color w:val="3d85c6"/>
        </w:rPr>
      </w:pPr>
      <w:bookmarkStart w:colFirst="0" w:colLast="0" w:name="_mpiq3jh3th71" w:id="18"/>
      <w:bookmarkEnd w:id="18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objectives of this plan are: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Build a resilient and high-performing education system</w:t>
      </w:r>
      <w:r>
        <w:br/>
      </w:r>
      <w:r>
        <w:rPr>
          <w:sz w:val="20"/>
          <w:szCs w:val="20"/>
          <w:rtl w:val="0"/>
        </w:rPr>
        <w:t xml:space="preserve">• Develop a generation with superior skills and professional competencies</w:t>
      </w:r>
      <w:r>
        <w:br/>
      </w:r>
      <w:r>
        <w:rPr>
          <w:sz w:val="20"/>
          <w:szCs w:val="20"/>
          <w:rtl w:val="0"/>
        </w:rPr>
        <w:t xml:space="preserve">• Contribute meaningfully to the socio-economic development of the nation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  <w:bCs w:val="1"/>
          <w:color w:val="3d85c6"/>
        </w:rPr>
      </w:pPr>
      <w:bookmarkStart w:colFirst="0" w:colLast="0" w:name="_h44p4wzdfabq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annual implementation directions include: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Delivery of regular and structured teacher training programs</w:t>
      </w:r>
      <w:r>
        <w:br/>
      </w:r>
      <w:r>
        <w:rPr>
          <w:sz w:val="20"/>
          <w:szCs w:val="20"/>
          <w:rtl w:val="0"/>
        </w:rPr>
        <w:t xml:space="preserve">• Construction and rehabilitation of school facilities</w:t>
      </w:r>
      <w:r>
        <w:br/>
      </w:r>
      <w:r>
        <w:rPr>
          <w:sz w:val="20"/>
          <w:szCs w:val="20"/>
          <w:rtl w:val="0"/>
        </w:rPr>
        <w:t xml:space="preserve">• Procurement and distribution of modern learning materials</w:t>
      </w:r>
      <w:r>
        <w:br/>
      </w:r>
      <w:r>
        <w:rPr>
          <w:sz w:val="20"/>
          <w:szCs w:val="20"/>
          <w:rtl w:val="0"/>
        </w:rPr>
        <w:t xml:space="preserve">• Strengthening of education monitoring and evaluation systems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19dnt18s8plb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8dgz54otog37" w:id="21"/>
      <w:bookmarkEnd w:id="21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fb636mjkr0t4" w:id="22"/>
      <w:bookmarkEnd w:id="22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Conduct teacher training workshops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Distribute learning materials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Monitor school performance monthly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3d85c6"/>
        </w:rPr>
      </w:pPr>
      <w:bookmarkStart w:colFirst="0" w:colLast="0" w:name="_90u22qi23jhi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implementation strategy of this plan is grounded in the following approaches: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Teamwork and inter-departmental collaboration</w:t>
      </w:r>
      <w:r>
        <w:br/>
      </w:r>
      <w:r>
        <w:rPr>
          <w:rtl w:val="0"/>
        </w:rPr>
        <w:t xml:space="preserve">• Government and community coordination at all levels</w:t>
      </w:r>
      <w:r>
        <w:br/>
      </w:r>
      <w:r>
        <w:rPr>
          <w:rtl w:val="0"/>
        </w:rPr>
        <w:t xml:space="preserve">• Utilization of educational technology in delivery and administration</w:t>
      </w:r>
      <w:r>
        <w:br/>
      </w:r>
      <w:r>
        <w:rPr>
          <w:rtl w:val="0"/>
        </w:rPr>
        <w:t xml:space="preserve">• Application of robust monitoring and evaluation systems throughout implementation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mlctygxxfn3c" w:id="24"/>
      <w:bookmarkEnd w:id="2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Afur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XUMURA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  <w:color w:val="3d85c6"/>
        </w:rPr>
      </w:pPr>
      <w:bookmarkStart w:colFirst="0" w:colLast="0" w:name="_p2bu4aux7biv" w:id="25"/>
      <w:bookmarkEnd w:id="25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color w:val="3d85c6"/>
        </w:rPr>
      </w:pPr>
      <w:bookmarkStart w:colFirst="0" w:colLast="0" w:name="_gjsf9v7fadji" w:id="26"/>
      <w:bookmarkEnd w:id="26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6rpgbyt6no8w" w:id="27"/>
      <w:bookmarkEnd w:id="27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28"/>
      <w:bookmarkEnd w:id="28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vkcydbd2bvkd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