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2B46F" w14:textId="2D2D3084" w:rsidR="00777948" w:rsidRPr="003E67DF" w:rsidRDefault="00761B44" w:rsidP="00761B44">
      <w:pPr>
        <w:jc w:val="center"/>
        <w:rPr>
          <w:b/>
        </w:rPr>
      </w:pPr>
      <w:r w:rsidRPr="003E67DF">
        <w:rPr>
          <w:b/>
        </w:rPr>
        <w:t>Correlates of Extinction Risk in European and North American Amphibians</w:t>
      </w:r>
    </w:p>
    <w:p w14:paraId="70E0D5D2" w14:textId="77777777" w:rsidR="00777948" w:rsidRDefault="00777948" w:rsidP="00777948">
      <w:pPr>
        <w:jc w:val="center"/>
      </w:pPr>
    </w:p>
    <w:p w14:paraId="641C42C8" w14:textId="2A2ACFEC" w:rsidR="00777948" w:rsidRPr="003E67DF" w:rsidRDefault="003E67DF" w:rsidP="00777948">
      <w:pPr>
        <w:rPr>
          <w:b/>
        </w:rPr>
      </w:pPr>
      <w:r w:rsidRPr="003E67DF">
        <w:rPr>
          <w:b/>
        </w:rPr>
        <w:t>INTRODUCTION</w:t>
      </w:r>
    </w:p>
    <w:p w14:paraId="2B3AEB71" w14:textId="77777777" w:rsidR="00777948" w:rsidRDefault="00777948" w:rsidP="00777948"/>
    <w:p w14:paraId="565A45C0" w14:textId="7CF923B7" w:rsidR="002B6067" w:rsidRDefault="002A7EC9" w:rsidP="00D726E8">
      <w:pPr>
        <w:spacing w:line="480" w:lineRule="auto"/>
        <w:ind w:firstLine="720"/>
      </w:pPr>
      <w:r>
        <w:t xml:space="preserve">In recent years the decline and extinction of global amphibian populations has been of rising concern </w:t>
      </w:r>
      <w:r w:rsidR="00B61800">
        <w:t xml:space="preserve">among conservation biologists. </w:t>
      </w:r>
      <w:r w:rsidR="001571F8">
        <w:t xml:space="preserve">The IUCN’s 2016 </w:t>
      </w:r>
      <w:r w:rsidR="00484862">
        <w:t xml:space="preserve">global </w:t>
      </w:r>
      <w:r w:rsidR="001571F8">
        <w:t xml:space="preserve">biodiversity </w:t>
      </w:r>
      <w:r w:rsidR="00484862">
        <w:t xml:space="preserve">assessment </w:t>
      </w:r>
      <w:r w:rsidR="001571F8">
        <w:t>provided a best estimate of the percentage of threatened species across various taxonomic groups (</w:t>
      </w:r>
      <w:r w:rsidR="00807995">
        <w:t>IUCN</w:t>
      </w:r>
      <w:r w:rsidR="004D5094">
        <w:t>,</w:t>
      </w:r>
      <w:r w:rsidR="00807995">
        <w:t xml:space="preserve"> 2016</w:t>
      </w:r>
      <w:r w:rsidR="001571F8">
        <w:t>). Approximately 42</w:t>
      </w:r>
      <w:r>
        <w:t>% of amphibian species worldwide are</w:t>
      </w:r>
      <w:r w:rsidR="001571F8">
        <w:t xml:space="preserve"> threatened, in comparison to 25</w:t>
      </w:r>
      <w:r>
        <w:t>% of mammals a</w:t>
      </w:r>
      <w:r w:rsidR="001571F8">
        <w:t>nd 13</w:t>
      </w:r>
      <w:r>
        <w:t>% of birds</w:t>
      </w:r>
      <w:r w:rsidR="001571F8">
        <w:t xml:space="preserve"> (</w:t>
      </w:r>
      <w:r w:rsidR="00807995">
        <w:t>IUCN</w:t>
      </w:r>
      <w:r w:rsidR="004D5094">
        <w:t>,</w:t>
      </w:r>
      <w:r w:rsidR="00807995">
        <w:t xml:space="preserve"> 2016</w:t>
      </w:r>
      <w:r w:rsidR="001571F8">
        <w:t>).</w:t>
      </w:r>
      <w:r w:rsidR="007D36B8">
        <w:t xml:space="preserve">  </w:t>
      </w:r>
    </w:p>
    <w:p w14:paraId="6032AB7E" w14:textId="227F4285" w:rsidR="002B6067" w:rsidRDefault="007D36B8" w:rsidP="00D726E8">
      <w:pPr>
        <w:spacing w:line="480" w:lineRule="auto"/>
        <w:ind w:firstLine="720"/>
      </w:pPr>
      <w:r>
        <w:t>Previous r</w:t>
      </w:r>
      <w:r w:rsidR="00EA0164">
        <w:t xml:space="preserve">esearch has focused on potential causes for this </w:t>
      </w:r>
      <w:r>
        <w:t xml:space="preserve">global amphibian </w:t>
      </w:r>
      <w:r w:rsidR="00EA0164">
        <w:t xml:space="preserve">decline including overexploitation, habitat loss and land use change, invasive species, </w:t>
      </w:r>
      <w:r>
        <w:t xml:space="preserve">increased UV radiation, global warming, pesticide use, and infectious diseases (Collins </w:t>
      </w:r>
      <w:r w:rsidR="00807995">
        <w:t>&amp; Storfer</w:t>
      </w:r>
      <w:r w:rsidR="004D5094">
        <w:t>,</w:t>
      </w:r>
      <w:r w:rsidR="00807995">
        <w:t xml:space="preserve"> </w:t>
      </w:r>
      <w:r>
        <w:t>2003), but the interactions among these factors are often complex and susceptibility to these threats may vary across geography and taxonomy</w:t>
      </w:r>
      <w:r w:rsidR="00763B2D">
        <w:t xml:space="preserve"> groups</w:t>
      </w:r>
      <w:r>
        <w:t>.</w:t>
      </w:r>
      <w:r w:rsidR="00763B2D">
        <w:t xml:space="preserve"> Thus identifying traits that may cause species to be mo</w:t>
      </w:r>
      <w:r w:rsidR="007A10AE">
        <w:t xml:space="preserve">re susceptible to these threats </w:t>
      </w:r>
      <w:r w:rsidR="00763B2D">
        <w:t xml:space="preserve">is </w:t>
      </w:r>
      <w:r w:rsidR="00864554">
        <w:t xml:space="preserve">an </w:t>
      </w:r>
      <w:r w:rsidR="00763B2D">
        <w:t xml:space="preserve">important </w:t>
      </w:r>
      <w:r w:rsidR="00864554">
        <w:t>goal of</w:t>
      </w:r>
      <w:r w:rsidR="00763B2D">
        <w:t xml:space="preserve"> conservation biology</w:t>
      </w:r>
      <w:r w:rsidR="00864554">
        <w:t xml:space="preserve"> that </w:t>
      </w:r>
      <w:r w:rsidR="002B6067">
        <w:t>will allow for more proactive and</w:t>
      </w:r>
      <w:r w:rsidR="007A10AE">
        <w:t xml:space="preserve"> targeted conservation </w:t>
      </w:r>
      <w:r w:rsidR="002B6067">
        <w:t>efforts.</w:t>
      </w:r>
    </w:p>
    <w:p w14:paraId="7B489749" w14:textId="1F9319CB" w:rsidR="00E43C0B" w:rsidRDefault="002B6067" w:rsidP="00642442">
      <w:pPr>
        <w:spacing w:line="480" w:lineRule="auto"/>
        <w:ind w:firstLine="720"/>
      </w:pPr>
      <w:r>
        <w:t>T</w:t>
      </w:r>
      <w:r w:rsidR="00AF052E">
        <w:t>hus far, t</w:t>
      </w:r>
      <w:r>
        <w:t xml:space="preserve">he </w:t>
      </w:r>
      <w:r w:rsidR="00AF052E">
        <w:t>study of</w:t>
      </w:r>
      <w:r>
        <w:t xml:space="preserve"> extinction risk correlates has </w:t>
      </w:r>
      <w:r w:rsidR="00AF052E">
        <w:t xml:space="preserve">been largely </w:t>
      </w:r>
      <w:r w:rsidR="00B61800">
        <w:t xml:space="preserve">focused on mammals and birds. </w:t>
      </w:r>
      <w:r>
        <w:t xml:space="preserve">Amphibians and </w:t>
      </w:r>
      <w:r w:rsidR="00C349F5">
        <w:t xml:space="preserve">especially </w:t>
      </w:r>
      <w:r>
        <w:t>reptiles have</w:t>
      </w:r>
      <w:r w:rsidR="00C349F5">
        <w:t xml:space="preserve"> often</w:t>
      </w:r>
      <w:r>
        <w:t xml:space="preserve"> been neglected due to lack of data. </w:t>
      </w:r>
      <w:r w:rsidR="003034F0">
        <w:t>A</w:t>
      </w:r>
      <w:r w:rsidR="00C349F5">
        <w:t xml:space="preserve">mphibian extinction risk </w:t>
      </w:r>
      <w:r w:rsidR="003034F0">
        <w:t>research has primarily been small-scale and regionally limited to areas such as Central America and Australia (</w:t>
      </w:r>
      <w:r w:rsidR="00864554">
        <w:t>Hero</w:t>
      </w:r>
      <w:r w:rsidR="0099778B">
        <w:t xml:space="preserve"> </w:t>
      </w:r>
      <w:r w:rsidR="00864554">
        <w:t>et al.</w:t>
      </w:r>
      <w:r w:rsidR="0099778B">
        <w:t xml:space="preserve">, 2005; </w:t>
      </w:r>
      <w:r w:rsidR="00864554">
        <w:t>Lips et al.</w:t>
      </w:r>
      <w:r w:rsidR="00642442">
        <w:t>, 2003; Murray &amp; Hose, 2005; Hero &amp; Morrison, 2012</w:t>
      </w:r>
      <w:r w:rsidR="003034F0">
        <w:t>), rarely reaching a global scale (Cooper</w:t>
      </w:r>
      <w:r w:rsidR="00864554">
        <w:t xml:space="preserve"> et al.</w:t>
      </w:r>
      <w:r w:rsidR="00FB313C">
        <w:t>,</w:t>
      </w:r>
      <w:r w:rsidR="009B3A9C">
        <w:t xml:space="preserve"> 2008</w:t>
      </w:r>
      <w:r w:rsidR="003034F0">
        <w:t xml:space="preserve">). As these </w:t>
      </w:r>
      <w:r w:rsidR="002719BA">
        <w:t>extinction risk correlates</w:t>
      </w:r>
      <w:r w:rsidR="003034F0">
        <w:t xml:space="preserve"> may vary </w:t>
      </w:r>
      <w:r w:rsidR="00864554">
        <w:t>geographically</w:t>
      </w:r>
      <w:r w:rsidR="003034F0">
        <w:t xml:space="preserve">, the results obtained from these studies might not be </w:t>
      </w:r>
      <w:r w:rsidR="00864554">
        <w:t>relevant to</w:t>
      </w:r>
      <w:r w:rsidR="003034F0">
        <w:t xml:space="preserve"> North American and European amphibian</w:t>
      </w:r>
      <w:r w:rsidR="00833949">
        <w:t>s</w:t>
      </w:r>
      <w:r w:rsidR="00B61800">
        <w:t xml:space="preserve">. </w:t>
      </w:r>
      <w:r w:rsidR="00DD0D0B">
        <w:t>More research needs to be done to test the validity of these extinction risk correlate relationships in North American and European amphibian populations.</w:t>
      </w:r>
      <w:r w:rsidR="00642442">
        <w:t xml:space="preserve"> </w:t>
      </w:r>
      <w:r w:rsidR="00DD0D0B">
        <w:lastRenderedPageBreak/>
        <w:t xml:space="preserve">Additionally the majority of amphibian extinction </w:t>
      </w:r>
      <w:r w:rsidR="003E67DF">
        <w:t xml:space="preserve">risk </w:t>
      </w:r>
      <w:r w:rsidR="00DD0D0B">
        <w:t xml:space="preserve">research has focused on </w:t>
      </w:r>
      <w:r w:rsidR="00CC30D9">
        <w:t>frogs (Anura)</w:t>
      </w:r>
      <w:r w:rsidR="003E67DF">
        <w:t>, while</w:t>
      </w:r>
      <w:r w:rsidR="00E43C0B">
        <w:t xml:space="preserve"> </w:t>
      </w:r>
      <w:r w:rsidR="00CC30D9">
        <w:t>salamanders (</w:t>
      </w:r>
      <w:r w:rsidR="00DD0D0B">
        <w:t>Urodela</w:t>
      </w:r>
      <w:r w:rsidR="00CC30D9">
        <w:t>)</w:t>
      </w:r>
      <w:r w:rsidR="003E67DF">
        <w:t xml:space="preserve"> are</w:t>
      </w:r>
      <w:r w:rsidR="00E43C0B">
        <w:t xml:space="preserve"> </w:t>
      </w:r>
      <w:r w:rsidR="003E67DF">
        <w:t>left out</w:t>
      </w:r>
      <w:r w:rsidR="00E43C0B">
        <w:t xml:space="preserve"> due to lack of data, thus any conclusions about how extinction risk patterns may differ between these orders is unknown. </w:t>
      </w:r>
    </w:p>
    <w:p w14:paraId="494AFB8F" w14:textId="44B2F76A" w:rsidR="00AF3535" w:rsidRDefault="00E43C0B" w:rsidP="00516495">
      <w:pPr>
        <w:spacing w:line="480" w:lineRule="auto"/>
        <w:ind w:firstLine="720"/>
      </w:pPr>
      <w:r>
        <w:t xml:space="preserve">Previous extinction risk research has analyzed a variety of correlates </w:t>
      </w:r>
      <w:r w:rsidR="00225904">
        <w:t>spanning morphology, life his</w:t>
      </w:r>
      <w:r w:rsidR="00864554">
        <w:t>tory, and ecological attributes</w:t>
      </w:r>
      <w:r w:rsidR="002333C6">
        <w:t xml:space="preserve">. </w:t>
      </w:r>
      <w:r w:rsidR="00DC635E">
        <w:t xml:space="preserve">At a global scale, </w:t>
      </w:r>
      <w:r w:rsidR="00EF6E91">
        <w:t>Cooper et al</w:t>
      </w:r>
      <w:r w:rsidR="009B3A9C">
        <w:t>. (2008</w:t>
      </w:r>
      <w:r w:rsidR="00642442">
        <w:t>)</w:t>
      </w:r>
      <w:r w:rsidR="00EF6E91">
        <w:t xml:space="preserve"> found that geograph</w:t>
      </w:r>
      <w:r w:rsidR="00B839F7">
        <w:t>ic range size is the predominant</w:t>
      </w:r>
      <w:r w:rsidR="00EF6E91">
        <w:t xml:space="preserve"> correlate of extinction risk for frogs, while body size and fecundity only impact extinctio</w:t>
      </w:r>
      <w:r w:rsidR="00642442">
        <w:t>n risk through range size</w:t>
      </w:r>
      <w:r w:rsidR="00C26BF0">
        <w:t>.</w:t>
      </w:r>
      <w:r w:rsidR="00AF3535">
        <w:t xml:space="preserve"> At regional scales studies of central American and Australian frog populations have found small geographic ranges, </w:t>
      </w:r>
      <w:r w:rsidR="00692CC9">
        <w:t xml:space="preserve">high habitat specialism, high minimum elevations, </w:t>
      </w:r>
      <w:r w:rsidR="00AF3535">
        <w:t xml:space="preserve">large body sizes, </w:t>
      </w:r>
      <w:r w:rsidR="00692CC9">
        <w:t xml:space="preserve">and low fecundities to correlate with population declines or extinction risk </w:t>
      </w:r>
      <w:r w:rsidR="00516495">
        <w:t>(Hero et al., 2005; Lips et al., 2003; Murray &amp; Hose, 2005; Hero &amp; Morrison, 2012)</w:t>
      </w:r>
      <w:r w:rsidR="00692CC9">
        <w:t>.</w:t>
      </w:r>
    </w:p>
    <w:p w14:paraId="09DB5460" w14:textId="12C242A7" w:rsidR="00833949" w:rsidRDefault="001F10CD" w:rsidP="00E7623E">
      <w:pPr>
        <w:spacing w:line="480" w:lineRule="auto"/>
        <w:ind w:firstLine="720"/>
      </w:pPr>
      <w:r>
        <w:t xml:space="preserve">Further research is needed to investigate the validity of these correlations </w:t>
      </w:r>
      <w:r w:rsidR="0095572B">
        <w:t xml:space="preserve">and to determine whether these correlations </w:t>
      </w:r>
      <w:r w:rsidR="00B839F7">
        <w:t>apply</w:t>
      </w:r>
      <w:r w:rsidR="0095572B">
        <w:t xml:space="preserve"> to N</w:t>
      </w:r>
      <w:r w:rsidR="00CC30D9">
        <w:t>orth American and European frogs</w:t>
      </w:r>
      <w:r w:rsidR="00B839F7">
        <w:t xml:space="preserve">, or to </w:t>
      </w:r>
      <w:r w:rsidR="0095572B">
        <w:t>salamander</w:t>
      </w:r>
      <w:r w:rsidR="00B839F7">
        <w:t>s</w:t>
      </w:r>
      <w:r w:rsidR="0095572B">
        <w:t xml:space="preserve">. </w:t>
      </w:r>
      <w:r>
        <w:t xml:space="preserve">Therefore I </w:t>
      </w:r>
      <w:r w:rsidR="00E7623E">
        <w:t>will</w:t>
      </w:r>
      <w:r>
        <w:t xml:space="preserve"> </w:t>
      </w:r>
      <w:r w:rsidR="00E7623E">
        <w:t>examine</w:t>
      </w:r>
      <w:r>
        <w:t xml:space="preserve"> the relationships between </w:t>
      </w:r>
      <w:r w:rsidR="002333BB">
        <w:t xml:space="preserve">the </w:t>
      </w:r>
      <w:r>
        <w:t xml:space="preserve">conservation status of North American </w:t>
      </w:r>
      <w:r w:rsidR="002333BB">
        <w:t xml:space="preserve">frogs, </w:t>
      </w:r>
      <w:r>
        <w:t xml:space="preserve">European </w:t>
      </w:r>
      <w:r w:rsidR="002333BB">
        <w:t>frogs, and European salamanders</w:t>
      </w:r>
      <w:r w:rsidR="00CC30D9">
        <w:t xml:space="preserve"> and four</w:t>
      </w:r>
      <w:r w:rsidR="00E7623E">
        <w:t xml:space="preserve"> potential correlates: body size, fecundity, habitat specificity, and minimum elevation</w:t>
      </w:r>
      <w:r w:rsidR="002333BB">
        <w:t xml:space="preserve">. </w:t>
      </w:r>
      <w:r w:rsidR="00404CF5">
        <w:t xml:space="preserve">I hypothesize that </w:t>
      </w:r>
      <w:r w:rsidR="00735953">
        <w:t xml:space="preserve">body size will correlate positively with threat status as species with larger body size have been found to have slower life histories, lower population densities, larger home ranges, and higher rates of exploitation, all traits which seem to increase extinction (Cooper </w:t>
      </w:r>
      <w:r w:rsidR="009B3A9C">
        <w:t>et al., 2008;</w:t>
      </w:r>
      <w:r w:rsidR="00735953">
        <w:t xml:space="preserve"> Purvis</w:t>
      </w:r>
      <w:r w:rsidR="00B839F7">
        <w:t xml:space="preserve"> et al.</w:t>
      </w:r>
      <w:r w:rsidR="009B3A9C">
        <w:t>, 2000;</w:t>
      </w:r>
      <w:r w:rsidR="00735953">
        <w:t xml:space="preserve"> McKinney</w:t>
      </w:r>
      <w:r w:rsidR="009B3A9C">
        <w:t xml:space="preserve">, 1997; </w:t>
      </w:r>
      <w:r w:rsidR="00B61800">
        <w:t>Cardillo</w:t>
      </w:r>
      <w:r w:rsidR="009B3A9C">
        <w:t>,</w:t>
      </w:r>
      <w:r w:rsidR="00B61800">
        <w:t xml:space="preserve"> 2003). </w:t>
      </w:r>
      <w:r w:rsidR="00735953">
        <w:t>Secondly I hypoth</w:t>
      </w:r>
      <w:r w:rsidR="0047048C">
        <w:t>esize that fecundity</w:t>
      </w:r>
      <w:r w:rsidR="00735953">
        <w:t xml:space="preserve"> will negatively correlate with threat status</w:t>
      </w:r>
      <w:r w:rsidR="0047048C">
        <w:t xml:space="preserve"> because species with smaller clutch sizes are less able to compensate for any increases i</w:t>
      </w:r>
      <w:r w:rsidR="00E4683C">
        <w:t>n mortality (MacArthu</w:t>
      </w:r>
      <w:r w:rsidR="009B3A9C">
        <w:t>r &amp; Wilson,</w:t>
      </w:r>
      <w:r w:rsidR="0047048C">
        <w:t xml:space="preserve"> 1967).</w:t>
      </w:r>
      <w:r w:rsidR="00F61834">
        <w:t xml:space="preserve"> In terms of habitat </w:t>
      </w:r>
      <w:r w:rsidR="00D227D8">
        <w:t>specificity</w:t>
      </w:r>
      <w:r w:rsidR="00F61834">
        <w:t>, I hypothesize that habitat breadth will negatively correlate with threat status</w:t>
      </w:r>
      <w:r w:rsidR="00ED5166">
        <w:t xml:space="preserve"> because specialist species are more at risk to threats that minimize niche availability such as habita</w:t>
      </w:r>
      <w:r w:rsidR="009B3A9C">
        <w:t>t loss (Owens &amp; Bennett, 2000;</w:t>
      </w:r>
      <w:r w:rsidR="00ED5166">
        <w:t xml:space="preserve"> Purvis</w:t>
      </w:r>
      <w:r w:rsidR="009B3A9C">
        <w:t xml:space="preserve"> et al.,</w:t>
      </w:r>
      <w:r w:rsidR="00ED5166">
        <w:t xml:space="preserve"> 2000). Lastly, I hypothesize that minimum elevation and threat status will be positively correlated. Higher minimum elevations suggest</w:t>
      </w:r>
      <w:r w:rsidR="00192A56">
        <w:t xml:space="preserve"> ranges</w:t>
      </w:r>
      <w:r w:rsidR="00447D84">
        <w:t xml:space="preserve"> restricted to mountainous regions</w:t>
      </w:r>
      <w:r w:rsidR="00192A56">
        <w:t xml:space="preserve"> (Davies</w:t>
      </w:r>
      <w:r w:rsidR="009B3A9C">
        <w:t xml:space="preserve"> et al.,</w:t>
      </w:r>
      <w:r w:rsidR="00192A56">
        <w:t xml:space="preserve"> 2006) and s</w:t>
      </w:r>
      <w:r w:rsidR="00ED5166">
        <w:t>mall geographic range size is a well-documented correlate of extinction risk across taxa (</w:t>
      </w:r>
      <w:r w:rsidR="004D5094">
        <w:t>Cooper et al., 2008; McKinney, 1997; Purvis et al.,</w:t>
      </w:r>
      <w:r w:rsidR="00CC1401">
        <w:t xml:space="preserve"> 2000</w:t>
      </w:r>
      <w:r w:rsidR="004D5094">
        <w:t xml:space="preserve">; Hero &amp; Morrison, 2012; </w:t>
      </w:r>
      <w:r w:rsidR="00447D84">
        <w:t>Jones et al.</w:t>
      </w:r>
      <w:r w:rsidR="00316EA9">
        <w:t>, 2003</w:t>
      </w:r>
      <w:r w:rsidR="00ED5166">
        <w:t>).</w:t>
      </w:r>
    </w:p>
    <w:p w14:paraId="5731F9A5" w14:textId="7EDEF6FC" w:rsidR="00D84730" w:rsidRDefault="00192A56" w:rsidP="002929D7">
      <w:pPr>
        <w:spacing w:line="480" w:lineRule="auto"/>
        <w:ind w:firstLine="720"/>
      </w:pPr>
      <w:r>
        <w:t xml:space="preserve">In addition to assessing </w:t>
      </w:r>
      <w:r w:rsidR="00BD220F">
        <w:t>the</w:t>
      </w:r>
      <w:r>
        <w:t xml:space="preserve"> validity of these correlations I will investigate the role of geographic variation on the</w:t>
      </w:r>
      <w:r w:rsidR="00BD220F">
        <w:t>ir</w:t>
      </w:r>
      <w:r>
        <w:t xml:space="preserve"> relative </w:t>
      </w:r>
      <w:r w:rsidR="00BD220F">
        <w:t>strength</w:t>
      </w:r>
      <w:r w:rsidR="00B61800">
        <w:t xml:space="preserve">. </w:t>
      </w:r>
      <w:r>
        <w:t xml:space="preserve">I </w:t>
      </w:r>
      <w:r w:rsidR="00BD220F">
        <w:t>will explore</w:t>
      </w:r>
      <w:r>
        <w:t xml:space="preserve"> </w:t>
      </w:r>
      <w:r w:rsidR="00BD220F">
        <w:t>the role of geographic variation through the comparison of North American and European frogs.</w:t>
      </w:r>
      <w:r w:rsidR="00263EBC">
        <w:t xml:space="preserve"> </w:t>
      </w:r>
      <w:r w:rsidR="00AD32C6">
        <w:t>Threats are not evenly distrib</w:t>
      </w:r>
      <w:r w:rsidR="0054531D">
        <w:t xml:space="preserve">uted across the world, so extinction risk correlates may vary geographically. </w:t>
      </w:r>
      <w:r w:rsidR="00561E41">
        <w:t xml:space="preserve">According to Stuart and colleagues (2014), reduced habitat is the predominant threat to amphibians in Europe while both reduced habitat and enigmatic decline are common in North America. Since reduced habitat seems to have a stronger impact in Europe, I hypothesize that habitat breadth will explain more variation in threat status for European frogs than for North American ones. Since </w:t>
      </w:r>
      <w:r w:rsidR="004919ED">
        <w:t xml:space="preserve">large </w:t>
      </w:r>
      <w:r w:rsidR="00561E41">
        <w:t xml:space="preserve">body size is often </w:t>
      </w:r>
      <w:r w:rsidR="004919ED">
        <w:t>tied</w:t>
      </w:r>
      <w:r w:rsidR="00561E41">
        <w:t xml:space="preserve"> to</w:t>
      </w:r>
      <w:r w:rsidR="004919ED">
        <w:t xml:space="preserve"> large home ranges </w:t>
      </w:r>
      <w:r w:rsidR="001F2A02">
        <w:t xml:space="preserve">(Purvis et al., 2000) </w:t>
      </w:r>
      <w:r w:rsidR="004919ED">
        <w:t>and reduced habitat is a greater threat in Europe than North America, I hypothesize that body size will explain more of the variation in threat status for European frogs than North American ones.</w:t>
      </w:r>
    </w:p>
    <w:p w14:paraId="263B68EB" w14:textId="6E9D3A3A" w:rsidR="00AC2F9C" w:rsidRPr="00AC2F9C" w:rsidRDefault="00D33992" w:rsidP="00AC2F9C">
      <w:pPr>
        <w:spacing w:line="480" w:lineRule="auto"/>
        <w:ind w:firstLine="720"/>
        <w:rPr>
          <w:iCs/>
        </w:rPr>
      </w:pPr>
      <w:r>
        <w:t xml:space="preserve">In recent years infectious diseases have </w:t>
      </w:r>
      <w:r w:rsidR="002929D7">
        <w:t xml:space="preserve">become a </w:t>
      </w:r>
      <w:r w:rsidR="0063581E">
        <w:t>major</w:t>
      </w:r>
      <w:r w:rsidR="002929D7">
        <w:t xml:space="preserve"> threat to a</w:t>
      </w:r>
      <w:r w:rsidR="0063581E">
        <w:t xml:space="preserve">mphibian populations worldwide, one of the most </w:t>
      </w:r>
      <w:r w:rsidR="00D63DFB">
        <w:t>common</w:t>
      </w:r>
      <w:r w:rsidR="0063581E">
        <w:t xml:space="preserve"> being </w:t>
      </w:r>
      <w:r w:rsidR="002929D7" w:rsidRPr="002929D7">
        <w:t>Chytridiomycosis</w:t>
      </w:r>
      <w:r w:rsidR="0063581E">
        <w:t xml:space="preserve">. </w:t>
      </w:r>
      <w:r w:rsidR="0063581E" w:rsidRPr="002929D7">
        <w:t>Chytridiomycosis</w:t>
      </w:r>
      <w:r w:rsidR="00F85A03">
        <w:t xml:space="preserve"> is a</w:t>
      </w:r>
      <w:r w:rsidR="0063581E">
        <w:t xml:space="preserve"> skin</w:t>
      </w:r>
      <w:r w:rsidR="00F85A03">
        <w:t xml:space="preserve"> disease caused by </w:t>
      </w:r>
      <w:r w:rsidR="0063581E">
        <w:t xml:space="preserve">aquatic fungal pathogens </w:t>
      </w:r>
      <w:r w:rsidR="0063581E" w:rsidRPr="0063581E">
        <w:rPr>
          <w:i/>
          <w:iCs/>
        </w:rPr>
        <w:t>Batrachochytrium dendrobatidis</w:t>
      </w:r>
      <w:r w:rsidR="0063581E" w:rsidRPr="0063581E">
        <w:t> </w:t>
      </w:r>
      <w:r w:rsidR="00D63DFB">
        <w:t xml:space="preserve">(Bd) </w:t>
      </w:r>
      <w:r w:rsidR="0063581E" w:rsidRPr="0063581E">
        <w:t>and </w:t>
      </w:r>
      <w:r w:rsidR="0063581E" w:rsidRPr="0063581E">
        <w:rPr>
          <w:i/>
          <w:iCs/>
        </w:rPr>
        <w:t>Batrachochytrium salamandrivorans</w:t>
      </w:r>
      <w:r w:rsidR="00D63DFB">
        <w:rPr>
          <w:iCs/>
        </w:rPr>
        <w:t xml:space="preserve"> (Bsal) (Rooji et al., 2015)</w:t>
      </w:r>
      <w:r w:rsidR="0063581E">
        <w:rPr>
          <w:iCs/>
        </w:rPr>
        <w:t xml:space="preserve">. </w:t>
      </w:r>
      <w:r w:rsidR="00D63DFB">
        <w:rPr>
          <w:iCs/>
        </w:rPr>
        <w:t xml:space="preserve">Bd can infect all amphibians and </w:t>
      </w:r>
      <w:r w:rsidR="006849DA">
        <w:rPr>
          <w:iCs/>
        </w:rPr>
        <w:t>is</w:t>
      </w:r>
      <w:r w:rsidR="00D63DFB">
        <w:rPr>
          <w:iCs/>
        </w:rPr>
        <w:t xml:space="preserve"> found on all continents but has caused slightly more mortality in North America</w:t>
      </w:r>
      <w:r w:rsidR="006849DA">
        <w:rPr>
          <w:iCs/>
        </w:rPr>
        <w:t xml:space="preserve"> than </w:t>
      </w:r>
      <w:r w:rsidR="002719BA">
        <w:rPr>
          <w:iCs/>
        </w:rPr>
        <w:t xml:space="preserve">in </w:t>
      </w:r>
      <w:r w:rsidR="006849DA">
        <w:rPr>
          <w:iCs/>
        </w:rPr>
        <w:t>Europe</w:t>
      </w:r>
      <w:r w:rsidR="00D63DFB">
        <w:rPr>
          <w:iCs/>
        </w:rPr>
        <w:t xml:space="preserve"> (Whittaker &amp; </w:t>
      </w:r>
      <w:r w:rsidR="006849DA">
        <w:rPr>
          <w:iCs/>
        </w:rPr>
        <w:t>Vredenberg</w:t>
      </w:r>
      <w:r w:rsidR="00D63DFB">
        <w:rPr>
          <w:iCs/>
        </w:rPr>
        <w:t xml:space="preserve">, 2011). </w:t>
      </w:r>
      <w:r w:rsidR="006849DA">
        <w:rPr>
          <w:iCs/>
        </w:rPr>
        <w:t xml:space="preserve">Bsal only infects salamanders and is thus far geographically limited to European </w:t>
      </w:r>
      <w:r w:rsidR="00AC2F9C">
        <w:rPr>
          <w:iCs/>
        </w:rPr>
        <w:t>salamanders (</w:t>
      </w:r>
      <w:r w:rsidR="00E9092B">
        <w:rPr>
          <w:iCs/>
        </w:rPr>
        <w:t xml:space="preserve">Van </w:t>
      </w:r>
      <w:r w:rsidR="00AC2F9C">
        <w:rPr>
          <w:iCs/>
        </w:rPr>
        <w:t>Rooji et al, 2015)</w:t>
      </w:r>
      <w:r w:rsidR="00072C48">
        <w:rPr>
          <w:iCs/>
        </w:rPr>
        <w:t>.</w:t>
      </w:r>
      <w:r w:rsidR="00AC2F9C">
        <w:rPr>
          <w:iCs/>
        </w:rPr>
        <w:t xml:space="preserve"> Species with small clutch sizes are less able to compensate for increases in mortality</w:t>
      </w:r>
      <w:r w:rsidR="00E4683C" w:rsidRPr="00E4683C">
        <w:t xml:space="preserve"> </w:t>
      </w:r>
      <w:r w:rsidR="00E4683C">
        <w:t>(MacArthur &amp; Wilson, 1967)</w:t>
      </w:r>
      <w:r w:rsidR="00AC2F9C">
        <w:rPr>
          <w:iCs/>
        </w:rPr>
        <w:t>, so I hypothesize that clutch size will explain more of the variation in threat status for North American frogs than European frogs because Bd is causing more mortality in North America than Europe.</w:t>
      </w:r>
      <w:r w:rsidR="00E4683C">
        <w:rPr>
          <w:iCs/>
        </w:rPr>
        <w:t xml:space="preserve"> Additionally species that live at higher elevations are more susceptible to Bd</w:t>
      </w:r>
      <w:r w:rsidR="00AF177A">
        <w:rPr>
          <w:iCs/>
        </w:rPr>
        <w:t xml:space="preserve"> (Van Rooji et al, 2015),</w:t>
      </w:r>
      <w:r w:rsidR="00E4683C">
        <w:rPr>
          <w:iCs/>
        </w:rPr>
        <w:t xml:space="preserve"> so with greater Bd mortality in North America I hypothesize that minimum elevation will explain more of the variation in threat status for North American frogs than </w:t>
      </w:r>
      <w:r w:rsidR="002719BA">
        <w:rPr>
          <w:iCs/>
        </w:rPr>
        <w:t xml:space="preserve">for </w:t>
      </w:r>
      <w:r w:rsidR="00E4683C">
        <w:rPr>
          <w:iCs/>
        </w:rPr>
        <w:t xml:space="preserve">European ones. </w:t>
      </w:r>
    </w:p>
    <w:p w14:paraId="1C300A88" w14:textId="36ED279A" w:rsidR="00AD32C6" w:rsidRPr="00E515D4" w:rsidRDefault="0027153C" w:rsidP="00AF177A">
      <w:pPr>
        <w:spacing w:line="480" w:lineRule="auto"/>
        <w:ind w:firstLine="720"/>
        <w:rPr>
          <w:iCs/>
        </w:rPr>
      </w:pPr>
      <w:r>
        <w:t>Through a comparison of European frogs and salamanders I will</w:t>
      </w:r>
      <w:r w:rsidR="007C3EA5">
        <w:t xml:space="preserve"> </w:t>
      </w:r>
      <w:r w:rsidR="002719BA">
        <w:t xml:space="preserve">also </w:t>
      </w:r>
      <w:r w:rsidR="007C3EA5">
        <w:t>explore the role of phylogenetic variation on the relative strength of these</w:t>
      </w:r>
      <w:r>
        <w:t xml:space="preserve"> extinction risk</w:t>
      </w:r>
      <w:r w:rsidR="007C3EA5">
        <w:t xml:space="preserve"> correlations</w:t>
      </w:r>
      <w:r>
        <w:t xml:space="preserve">. Since habitat loss is the major threat for both frogs and </w:t>
      </w:r>
      <w:r w:rsidR="001F2A02">
        <w:t xml:space="preserve">salamanders (AmphibiaWeb, 2017). </w:t>
      </w:r>
      <w:r>
        <w:t>I expect to see no difference in the amount of variation in threat status explained by habitat breadth.</w:t>
      </w:r>
      <w:r w:rsidR="007C3EA5">
        <w:t xml:space="preserve"> </w:t>
      </w:r>
      <w:r>
        <w:t>Similarly, body size has been shown to be a correlate of extinction risk across diverse taxonomic groups (</w:t>
      </w:r>
      <w:r w:rsidR="002719BA">
        <w:t xml:space="preserve">Cardillo, 2003; Tingley et al., 2013; </w:t>
      </w:r>
      <w:r w:rsidR="002719BA">
        <w:rPr>
          <w:rFonts w:eastAsia="Times New Roman" w:cs="Arial"/>
          <w:color w:val="303030"/>
          <w:shd w:val="clear" w:color="auto" w:fill="FFFFFF"/>
        </w:rPr>
        <w:t>Reynolds et al., 2005</w:t>
      </w:r>
      <w:r>
        <w:t xml:space="preserve">) so I expect to see no difference in the amount of variation explained by SVL. Infectious disease is a rising threat for both frogs and salamanders. Both </w:t>
      </w:r>
      <w:r w:rsidRPr="0063581E">
        <w:rPr>
          <w:i/>
          <w:iCs/>
        </w:rPr>
        <w:t>Batrachochytrium dendrobatidis</w:t>
      </w:r>
      <w:r w:rsidRPr="0063581E">
        <w:t> </w:t>
      </w:r>
      <w:r>
        <w:t xml:space="preserve">(Bd) </w:t>
      </w:r>
      <w:r w:rsidRPr="0063581E">
        <w:t>and </w:t>
      </w:r>
      <w:r w:rsidRPr="0063581E">
        <w:rPr>
          <w:i/>
          <w:iCs/>
        </w:rPr>
        <w:t>Batrachochytrium salamandrivorans</w:t>
      </w:r>
      <w:r>
        <w:rPr>
          <w:iCs/>
        </w:rPr>
        <w:t xml:space="preserve"> (B</w:t>
      </w:r>
      <w:r w:rsidR="000540C5">
        <w:rPr>
          <w:iCs/>
        </w:rPr>
        <w:t>sal) are present in Europe, yet Bsal and Bd affect salamanders while frogs are only impacted by Bd</w:t>
      </w:r>
      <w:r w:rsidR="00AF177A">
        <w:rPr>
          <w:iCs/>
        </w:rPr>
        <w:t xml:space="preserve"> (Van Rooji et al, 2015)</w:t>
      </w:r>
      <w:r w:rsidR="000540C5">
        <w:rPr>
          <w:iCs/>
        </w:rPr>
        <w:t xml:space="preserve">. Thus since salamanders face more threat of </w:t>
      </w:r>
      <w:r w:rsidR="000540C5" w:rsidRPr="002929D7">
        <w:t>Chytridiomycosis</w:t>
      </w:r>
      <w:r w:rsidR="000540C5">
        <w:t>, and small clutch size makes it harder for populations to bounce back from decline, I</w:t>
      </w:r>
      <w:r w:rsidR="000540C5">
        <w:rPr>
          <w:iCs/>
        </w:rPr>
        <w:t xml:space="preserve"> hypothesize that clutch size will explain more variation in threat status for European salamanders than</w:t>
      </w:r>
      <w:r w:rsidR="002719BA">
        <w:rPr>
          <w:iCs/>
        </w:rPr>
        <w:t xml:space="preserve"> for</w:t>
      </w:r>
      <w:r w:rsidR="000540C5">
        <w:rPr>
          <w:iCs/>
        </w:rPr>
        <w:t xml:space="preserve"> frogs. Similarly, since species living at higher elevations are more at risk of Bd and Bsal (</w:t>
      </w:r>
      <w:r w:rsidR="00AF177A">
        <w:rPr>
          <w:iCs/>
        </w:rPr>
        <w:t>Van Rooji et al, 2015</w:t>
      </w:r>
      <w:r w:rsidR="000540C5">
        <w:rPr>
          <w:iCs/>
        </w:rPr>
        <w:t xml:space="preserve">), </w:t>
      </w:r>
      <w:r w:rsidR="00E515D4">
        <w:rPr>
          <w:iCs/>
        </w:rPr>
        <w:t xml:space="preserve">and both </w:t>
      </w:r>
      <w:r w:rsidR="002719BA">
        <w:rPr>
          <w:iCs/>
        </w:rPr>
        <w:t xml:space="preserve">pathogens </w:t>
      </w:r>
      <w:r w:rsidR="00E515D4">
        <w:rPr>
          <w:iCs/>
        </w:rPr>
        <w:t xml:space="preserve">infect salamanders, I hypothesize that minimum elevation will explain more variation in threat status for European salamanders than </w:t>
      </w:r>
      <w:r w:rsidR="002719BA">
        <w:rPr>
          <w:iCs/>
        </w:rPr>
        <w:t xml:space="preserve">for </w:t>
      </w:r>
      <w:r w:rsidR="00E515D4">
        <w:rPr>
          <w:iCs/>
        </w:rPr>
        <w:t xml:space="preserve">frogs. </w:t>
      </w:r>
    </w:p>
    <w:p w14:paraId="4A08B8FE" w14:textId="3819FE01" w:rsidR="00777948" w:rsidRPr="00D726E8" w:rsidRDefault="003E67DF" w:rsidP="00D726E8">
      <w:pPr>
        <w:spacing w:line="480" w:lineRule="auto"/>
        <w:rPr>
          <w:b/>
        </w:rPr>
      </w:pPr>
      <w:r w:rsidRPr="003E67DF">
        <w:rPr>
          <w:b/>
        </w:rPr>
        <w:t>METHODS</w:t>
      </w:r>
    </w:p>
    <w:p w14:paraId="573F8B8A" w14:textId="18F04AC4" w:rsidR="00761B44" w:rsidRDefault="00761B44" w:rsidP="00D726E8">
      <w:pPr>
        <w:spacing w:line="480" w:lineRule="auto"/>
        <w:rPr>
          <w:b/>
        </w:rPr>
      </w:pPr>
      <w:r w:rsidRPr="003E67DF">
        <w:rPr>
          <w:b/>
        </w:rPr>
        <w:t>Data</w:t>
      </w:r>
    </w:p>
    <w:p w14:paraId="239F9351" w14:textId="01522C1A" w:rsidR="00510ED8" w:rsidRDefault="00510ED8" w:rsidP="00510ED8">
      <w:pPr>
        <w:spacing w:line="480" w:lineRule="auto"/>
        <w:ind w:firstLine="720"/>
      </w:pPr>
      <w:r>
        <w:t xml:space="preserve">All European data </w:t>
      </w:r>
      <w:r w:rsidR="00447D84">
        <w:t>were</w:t>
      </w:r>
      <w:r>
        <w:t xml:space="preserve"> obtained from a data paper published by </w:t>
      </w:r>
      <w:r w:rsidR="002E6C7F">
        <w:t>Trochet and colleagues</w:t>
      </w:r>
      <w:r>
        <w:t xml:space="preserve"> </w:t>
      </w:r>
      <w:r w:rsidR="002E6C7F">
        <w:t xml:space="preserve">(2014). </w:t>
      </w:r>
      <w:r>
        <w:t>They compiled data for a variety of morphological and behavioral life history traits in addition to diet distribution and threat data, for 86 different European amphibian species. Included in this dataset were mean snout-vent length, mean clutch size, habitat preferences, and minimum elevation. The dataset contained 2 orders of amphibians, 50 Anura species and</w:t>
      </w:r>
      <w:r w:rsidR="003C4D27">
        <w:t xml:space="preserve"> 36 Urodela species, spanning 11</w:t>
      </w:r>
      <w:r>
        <w:t xml:space="preserve"> families total.</w:t>
      </w:r>
    </w:p>
    <w:p w14:paraId="482DE463" w14:textId="0C7A352A" w:rsidR="00510ED8" w:rsidRDefault="00510ED8" w:rsidP="00D726E8">
      <w:pPr>
        <w:spacing w:line="480" w:lineRule="auto"/>
      </w:pPr>
      <w:r>
        <w:rPr>
          <w:b/>
        </w:rPr>
        <w:tab/>
      </w:r>
      <w:r w:rsidR="002E6C7F">
        <w:t>F</w:t>
      </w:r>
      <w:r w:rsidR="003C4D27">
        <w:t>or North American amphibians</w:t>
      </w:r>
      <w:r>
        <w:t xml:space="preserve">, I compiled </w:t>
      </w:r>
      <w:r w:rsidR="002E6C7F">
        <w:t xml:space="preserve">trait </w:t>
      </w:r>
      <w:r>
        <w:t>data</w:t>
      </w:r>
      <w:r w:rsidR="00AE2FD6">
        <w:t xml:space="preserve"> for</w:t>
      </w:r>
      <w:r w:rsidR="003C4D27">
        <w:t xml:space="preserve"> 65 species</w:t>
      </w:r>
      <w:r w:rsidR="002E6C7F">
        <w:t xml:space="preserve"> of anurans</w:t>
      </w:r>
      <w:r w:rsidR="00FC3A3C">
        <w:t>, spanning 9 families</w:t>
      </w:r>
      <w:r w:rsidR="003C4D27">
        <w:t xml:space="preserve">. </w:t>
      </w:r>
      <w:r w:rsidR="00FC3A3C">
        <w:t xml:space="preserve">In selecting species, I </w:t>
      </w:r>
      <w:r w:rsidR="00AE2FD6">
        <w:t>collected data for all threatened</w:t>
      </w:r>
      <w:r w:rsidR="009953F5">
        <w:t xml:space="preserve"> species native to the continental United States</w:t>
      </w:r>
      <w:r w:rsidR="00FC094F">
        <w:t xml:space="preserve"> that had available data</w:t>
      </w:r>
      <w:r w:rsidR="009953F5">
        <w:t xml:space="preserve">. </w:t>
      </w:r>
      <w:r w:rsidR="002E6C7F">
        <w:t>For each threatened species</w:t>
      </w:r>
      <w:r w:rsidR="006E58A8">
        <w:t xml:space="preserve"> </w:t>
      </w:r>
      <w:r w:rsidR="009953F5">
        <w:t xml:space="preserve">I determined the most closely related non-threatened species </w:t>
      </w:r>
      <w:r w:rsidR="002E6C7F">
        <w:t xml:space="preserve">using timetree.org (Hedges et al., 2015) and Yuan et al. (2006) </w:t>
      </w:r>
      <w:r w:rsidR="009953F5">
        <w:t xml:space="preserve">and collected </w:t>
      </w:r>
      <w:r w:rsidR="002E6C7F">
        <w:t xml:space="preserve">trait </w:t>
      </w:r>
      <w:r w:rsidR="009953F5">
        <w:t>data for it as well.</w:t>
      </w:r>
      <w:r w:rsidR="002E6C7F">
        <w:t xml:space="preserve">  T</w:t>
      </w:r>
      <w:r w:rsidR="00CC3CB9">
        <w:t>his resulted in 19</w:t>
      </w:r>
      <w:r w:rsidR="002E6C7F">
        <w:t xml:space="preserve"> closely related species</w:t>
      </w:r>
      <w:r w:rsidR="00CC3CB9">
        <w:t xml:space="preserve"> pairs</w:t>
      </w:r>
      <w:r w:rsidR="002E6C7F">
        <w:t xml:space="preserve"> that differed in threat status</w:t>
      </w:r>
      <w:r w:rsidR="00FC094F">
        <w:t xml:space="preserve">. </w:t>
      </w:r>
      <w:r w:rsidR="009953F5">
        <w:t>For the general linear mod</w:t>
      </w:r>
      <w:r w:rsidR="00B816D3">
        <w:t xml:space="preserve">els I also collected data for </w:t>
      </w:r>
      <w:r w:rsidR="009953F5">
        <w:t>additional non-threatened species from families containing no threatened species, in order to get an accurate representation of the phylogenetic variatio</w:t>
      </w:r>
      <w:r w:rsidR="00B816D3">
        <w:t>n present within North America.</w:t>
      </w:r>
    </w:p>
    <w:p w14:paraId="0D1AD60B" w14:textId="43152260" w:rsidR="00B61800" w:rsidRDefault="00E62316" w:rsidP="00E62316">
      <w:pPr>
        <w:spacing w:line="480" w:lineRule="auto"/>
      </w:pPr>
      <w:r>
        <w:tab/>
        <w:t>For each North American species I obtained data on their body size, clutch size, habitat preferences, elevation requirements, threat status and taxonomy.  This data was obtained from the IUCN Red L</w:t>
      </w:r>
      <w:r w:rsidR="00770E88">
        <w:t>ist</w:t>
      </w:r>
      <w:r w:rsidR="00CC3CB9">
        <w:t xml:space="preserve"> (IUCN, 2016)</w:t>
      </w:r>
      <w:r w:rsidR="00770E88">
        <w:t xml:space="preserve"> and A</w:t>
      </w:r>
      <w:r w:rsidR="00CC3CB9">
        <w:t>mphibiaW</w:t>
      </w:r>
      <w:r w:rsidR="00770E88">
        <w:t>eb websites</w:t>
      </w:r>
      <w:r w:rsidR="00325ABE">
        <w:t xml:space="preserve"> (</w:t>
      </w:r>
      <w:r w:rsidR="00CC3CB9">
        <w:t>AmphibiaWeb</w:t>
      </w:r>
      <w:r w:rsidR="001F2A02">
        <w:t>,</w:t>
      </w:r>
      <w:bookmarkStart w:id="0" w:name="_GoBack"/>
      <w:bookmarkEnd w:id="0"/>
      <w:r w:rsidR="00CC3CB9">
        <w:t xml:space="preserve"> 2017</w:t>
      </w:r>
      <w:r w:rsidR="00325ABE">
        <w:t>)</w:t>
      </w:r>
      <w:r w:rsidR="001A3E98">
        <w:t>.</w:t>
      </w:r>
      <w:r w:rsidR="00510ED8">
        <w:t xml:space="preserve"> </w:t>
      </w:r>
      <w:r w:rsidR="00B61800">
        <w:t>Extinction risk assessments were obtained from the IUCN Red List of Threatened Species (</w:t>
      </w:r>
      <w:r w:rsidR="00CC3CB9">
        <w:t>IUCN, 2016</w:t>
      </w:r>
      <w:r w:rsidR="00B61800">
        <w:t>). IUCN ranks species’ conservation status a</w:t>
      </w:r>
      <w:r w:rsidR="00597F95">
        <w:t>s data deficient, least concern, near threatened, vulnerable, endangered, critically endangered, extinct in the wild, or e</w:t>
      </w:r>
      <w:r w:rsidR="00B61800">
        <w:t>xti</w:t>
      </w:r>
      <w:r w:rsidR="00597F95">
        <w:t xml:space="preserve">nct. </w:t>
      </w:r>
      <w:r w:rsidR="001A05F9">
        <w:t>Excluding</w:t>
      </w:r>
      <w:r w:rsidR="00597F95">
        <w:t xml:space="preserve"> species ranked as data deficient or e</w:t>
      </w:r>
      <w:r w:rsidR="00B61800">
        <w:t xml:space="preserve">xtinct, I created </w:t>
      </w:r>
      <w:r w:rsidR="00597F95">
        <w:t>an ordinal ranking of 1-6 from least concern to e</w:t>
      </w:r>
      <w:r w:rsidR="00B61800">
        <w:t xml:space="preserve">xtinct in the </w:t>
      </w:r>
      <w:r w:rsidR="00597F95">
        <w:t>w</w:t>
      </w:r>
      <w:r w:rsidR="00B61800">
        <w:t>ild in order to treat conservation status as a continuous variable in statistical analyses.</w:t>
      </w:r>
      <w:r w:rsidR="00B61800" w:rsidRPr="00B61800">
        <w:t xml:space="preserve"> </w:t>
      </w:r>
      <w:r w:rsidR="00B61800">
        <w:t>Habitat data was also obtained from the IUCN red list we</w:t>
      </w:r>
      <w:r w:rsidR="00597F95">
        <w:t>bsite (</w:t>
      </w:r>
      <w:r w:rsidR="007C7F12">
        <w:t>IUCN, 2016</w:t>
      </w:r>
      <w:r w:rsidR="00597F95">
        <w:t>). Habitat specificity</w:t>
      </w:r>
      <w:r w:rsidR="00B61800">
        <w:t xml:space="preserve"> was measured in terms of habitat breadth, or the number of different ha</w:t>
      </w:r>
      <w:r w:rsidR="00B76819">
        <w:t>bitats occupied by the species.</w:t>
      </w:r>
    </w:p>
    <w:p w14:paraId="17925867" w14:textId="58469B7B" w:rsidR="002375CB" w:rsidRDefault="001A3E98" w:rsidP="00B61800">
      <w:pPr>
        <w:spacing w:line="480" w:lineRule="auto"/>
        <w:ind w:firstLine="720"/>
      </w:pPr>
      <w:r>
        <w:t xml:space="preserve">AmphibiaWeb </w:t>
      </w:r>
      <w:r w:rsidR="00A27A0A">
        <w:t>aims to coordinate future research on amphibian declines and conservation by providing individual species accounts containing taxonomic</w:t>
      </w:r>
      <w:r>
        <w:t xml:space="preserve"> </w:t>
      </w:r>
      <w:r w:rsidR="00A27A0A">
        <w:t>information, species description, life history information, and distributional data. This data is all compiled from primary scientific literature.</w:t>
      </w:r>
      <w:r w:rsidR="00B61800">
        <w:t xml:space="preserve"> </w:t>
      </w:r>
      <w:r w:rsidR="00324716">
        <w:t>In my analyses m</w:t>
      </w:r>
      <w:r w:rsidR="004442B3">
        <w:t>ean snout-vent-</w:t>
      </w:r>
      <w:r w:rsidR="006E650E">
        <w:t>length (mm), mean clutch size (number</w:t>
      </w:r>
      <w:r w:rsidR="004442B3">
        <w:t xml:space="preserve"> of eggs), and minimum elevation (m) were used to measure body size, fecundi</w:t>
      </w:r>
      <w:r w:rsidR="009C5691">
        <w:t xml:space="preserve">ty, and elevation respectively, and all of these </w:t>
      </w:r>
      <w:r w:rsidR="002375CB">
        <w:t>values</w:t>
      </w:r>
      <w:r w:rsidR="004442B3">
        <w:t xml:space="preserve"> were obtained from AmphibiaWeb</w:t>
      </w:r>
      <w:r w:rsidR="009C5691">
        <w:t xml:space="preserve"> (AmphibiaWeb, 2017)</w:t>
      </w:r>
      <w:r w:rsidR="004442B3">
        <w:t>.</w:t>
      </w:r>
      <w:r w:rsidR="00D701E0">
        <w:t xml:space="preserve"> </w:t>
      </w:r>
      <w:r w:rsidR="00324716">
        <w:t>If a range of values for SVL or clutch size were provided I recorded both the minimum and maximum and calculated the mean of those values. If only one was present it was used as the mean. If both male and female values were provided for SVL I recorded both and calcul</w:t>
      </w:r>
      <w:r w:rsidR="00B61800">
        <w:t xml:space="preserve">ated the mean of those values. </w:t>
      </w:r>
      <w:r w:rsidR="00324716">
        <w:t>Again, if only one was present it was used as the mean SVL value. If values from multiple studies were present I averaged those values.</w:t>
      </w:r>
    </w:p>
    <w:p w14:paraId="54D7E6FF" w14:textId="2EED0E04" w:rsidR="00761B44" w:rsidRDefault="00761B44" w:rsidP="0036483F">
      <w:pPr>
        <w:spacing w:line="480" w:lineRule="auto"/>
        <w:rPr>
          <w:b/>
        </w:rPr>
      </w:pPr>
      <w:r w:rsidRPr="003E67DF">
        <w:rPr>
          <w:b/>
        </w:rPr>
        <w:t>Statistical Analyses</w:t>
      </w:r>
    </w:p>
    <w:p w14:paraId="049DD804" w14:textId="588FDB71" w:rsidR="00965C3D" w:rsidRDefault="0036483F" w:rsidP="0036483F">
      <w:pPr>
        <w:spacing w:line="480" w:lineRule="auto"/>
      </w:pPr>
      <w:r>
        <w:rPr>
          <w:b/>
        </w:rPr>
        <w:tab/>
      </w:r>
      <w:r w:rsidR="00FC094F">
        <w:t>All statistical analyses were performed in R v</w:t>
      </w:r>
      <w:r w:rsidR="009C5691">
        <w:t xml:space="preserve">ersion </w:t>
      </w:r>
      <w:r w:rsidR="00FC094F">
        <w:t>2.1</w:t>
      </w:r>
      <w:r w:rsidR="009C5691">
        <w:t>.</w:t>
      </w:r>
      <w:r w:rsidR="002F5C46">
        <w:t xml:space="preserve"> Clutch size was the only variable log-transformed because the </w:t>
      </w:r>
      <w:r w:rsidR="000147D6">
        <w:t xml:space="preserve">distribution was </w:t>
      </w:r>
      <w:r w:rsidR="001A05F9">
        <w:t>right-</w:t>
      </w:r>
      <w:r w:rsidR="000147D6">
        <w:t>skewed and the number</w:t>
      </w:r>
      <w:r w:rsidR="002F5C46">
        <w:t xml:space="preserve"> of eggs </w:t>
      </w:r>
      <w:r w:rsidR="000147D6">
        <w:t xml:space="preserve">per clutch </w:t>
      </w:r>
      <w:r w:rsidR="002F5C46">
        <w:t xml:space="preserve">ranged from </w:t>
      </w:r>
      <w:r w:rsidR="000147D6">
        <w:t>14-28000 in North American amphibians and from 2-16000 in European amphibians.</w:t>
      </w:r>
      <w:r w:rsidR="00965C3D">
        <w:t xml:space="preserve"> </w:t>
      </w:r>
      <w:r w:rsidR="00D262DE">
        <w:t>I first</w:t>
      </w:r>
      <w:r w:rsidR="002D71AA">
        <w:t xml:space="preserve"> performed </w:t>
      </w:r>
      <w:r w:rsidR="002023AD">
        <w:t xml:space="preserve">univariate </w:t>
      </w:r>
      <w:r w:rsidR="002D71AA">
        <w:t xml:space="preserve">linear regressions to </w:t>
      </w:r>
      <w:r w:rsidR="002023AD">
        <w:t>investigate the effects of each variable on IUCN threat status and determine if they are correlated. Each was performed separately for North American frogs, European frogs, and European salamanders</w:t>
      </w:r>
      <w:r w:rsidR="00316EA9">
        <w:t xml:space="preserve"> and</w:t>
      </w:r>
      <w:r w:rsidR="001A05F9">
        <w:t xml:space="preserve"> the</w:t>
      </w:r>
      <w:r w:rsidR="002023AD">
        <w:t xml:space="preserve">n compared to assess the impacts of geography and taxonomy. </w:t>
      </w:r>
    </w:p>
    <w:p w14:paraId="5F7515EE" w14:textId="46FD3FC0" w:rsidR="00FC094F" w:rsidRPr="00FC094F" w:rsidRDefault="002023AD" w:rsidP="005C6EA6">
      <w:pPr>
        <w:spacing w:line="480" w:lineRule="auto"/>
        <w:ind w:firstLine="720"/>
      </w:pPr>
      <w:r>
        <w:t>Aware that these variables likely show phylogenetic structuring</w:t>
      </w:r>
      <w:r w:rsidR="00965C3D">
        <w:t xml:space="preserve"> and thus risk pseudoreplication when species are treated independently (</w:t>
      </w:r>
      <w:r w:rsidR="009C5691">
        <w:t>Harvey &amp; Pagel, 1991</w:t>
      </w:r>
      <w:r w:rsidR="00965C3D">
        <w:t>)</w:t>
      </w:r>
      <w:r>
        <w:t xml:space="preserve">, I </w:t>
      </w:r>
      <w:r w:rsidR="00965C3D">
        <w:t xml:space="preserve">supplemented the regression analyses with paired </w:t>
      </w:r>
      <w:r w:rsidR="00316EA9">
        <w:t>Wilcoxon signed rank tests</w:t>
      </w:r>
      <w:r w:rsidR="004F397A">
        <w:t xml:space="preserve"> between</w:t>
      </w:r>
      <w:r w:rsidR="00965C3D">
        <w:t xml:space="preserve"> </w:t>
      </w:r>
      <w:r w:rsidR="00257894">
        <w:t xml:space="preserve">threatened species </w:t>
      </w:r>
      <w:r w:rsidR="004F397A">
        <w:t>and</w:t>
      </w:r>
      <w:r w:rsidR="00257894">
        <w:t xml:space="preserve"> their most closely</w:t>
      </w:r>
      <w:r w:rsidR="004F397A">
        <w:t xml:space="preserve"> related non-threatened species</w:t>
      </w:r>
      <w:r w:rsidR="00257894">
        <w:t>.</w:t>
      </w:r>
      <w:r w:rsidR="0007350F">
        <w:t xml:space="preserve"> </w:t>
      </w:r>
      <w:r w:rsidR="004F397A">
        <w:t>T</w:t>
      </w:r>
      <w:r w:rsidR="00965C3D">
        <w:t xml:space="preserve">his was only </w:t>
      </w:r>
      <w:r w:rsidR="004F397A">
        <w:t>conducted</w:t>
      </w:r>
      <w:r w:rsidR="00965C3D">
        <w:t xml:space="preserve"> for North American frogs due to lack of sufficient pairs in the European dataset.</w:t>
      </w:r>
      <w:r w:rsidR="00257894" w:rsidRPr="00257894">
        <w:t xml:space="preserve"> </w:t>
      </w:r>
      <w:r w:rsidR="00257894">
        <w:t>Ideally a paired analysis would be completed for European frogs and salamanders as well because it removes the potentially confounding effects of phylogenetic pattern on the correlation.</w:t>
      </w:r>
    </w:p>
    <w:p w14:paraId="49A2835B" w14:textId="6A9A8D1B" w:rsidR="0036483F" w:rsidRDefault="0036483F" w:rsidP="0036483F">
      <w:pPr>
        <w:spacing w:line="480" w:lineRule="auto"/>
        <w:rPr>
          <w:b/>
        </w:rPr>
      </w:pPr>
      <w:r>
        <w:rPr>
          <w:b/>
        </w:rPr>
        <w:t>RESULTS</w:t>
      </w:r>
    </w:p>
    <w:p w14:paraId="42A06B5A" w14:textId="2FAD29AD" w:rsidR="00E7623E" w:rsidRDefault="0036483F" w:rsidP="0036483F">
      <w:pPr>
        <w:spacing w:line="480" w:lineRule="auto"/>
        <w:rPr>
          <w:b/>
        </w:rPr>
      </w:pPr>
      <w:r>
        <w:rPr>
          <w:b/>
        </w:rPr>
        <w:t>No</w:t>
      </w:r>
      <w:r w:rsidR="00622A99">
        <w:rPr>
          <w:b/>
        </w:rPr>
        <w:t xml:space="preserve">rth American vs. European </w:t>
      </w:r>
      <w:r w:rsidR="006E650E">
        <w:rPr>
          <w:b/>
        </w:rPr>
        <w:t>Frogs</w:t>
      </w:r>
      <w:r w:rsidR="00622A99">
        <w:rPr>
          <w:b/>
        </w:rPr>
        <w:t xml:space="preserve">: </w:t>
      </w:r>
      <w:r>
        <w:rPr>
          <w:b/>
        </w:rPr>
        <w:t>Linear</w:t>
      </w:r>
      <w:r w:rsidR="00622A99">
        <w:rPr>
          <w:b/>
        </w:rPr>
        <w:t xml:space="preserve"> </w:t>
      </w:r>
      <w:r w:rsidR="006E650E">
        <w:rPr>
          <w:b/>
        </w:rPr>
        <w:t>Models</w:t>
      </w:r>
    </w:p>
    <w:p w14:paraId="5797FE24" w14:textId="39F39A6A" w:rsidR="002C2E5F" w:rsidRDefault="00504106" w:rsidP="00E7623E">
      <w:pPr>
        <w:spacing w:line="480" w:lineRule="auto"/>
        <w:ind w:firstLine="720"/>
      </w:pPr>
      <w:r>
        <w:t>First I looked at the relationship</w:t>
      </w:r>
      <w:r w:rsidR="00623B48">
        <w:t xml:space="preserve"> between threat status and snout-vent length (SVL), clutch size, habitat breadth, and minimum elevation</w:t>
      </w:r>
      <w:r w:rsidR="00EA27CA">
        <w:t xml:space="preserve"> f</w:t>
      </w:r>
      <w:r>
        <w:t>or North American and European frogs (Figure 1)</w:t>
      </w:r>
      <w:r w:rsidR="00623B48">
        <w:t xml:space="preserve">. </w:t>
      </w:r>
      <w:r w:rsidR="004F397A">
        <w:t>For</w:t>
      </w:r>
      <w:r w:rsidR="00623B48">
        <w:t xml:space="preserve"> North American frogs, </w:t>
      </w:r>
      <w:r w:rsidR="00721B71">
        <w:t xml:space="preserve">only </w:t>
      </w:r>
      <w:r w:rsidR="00F01291">
        <w:t xml:space="preserve">habitat breadth </w:t>
      </w:r>
      <w:r w:rsidR="005C1171">
        <w:t xml:space="preserve">and minimum elevation </w:t>
      </w:r>
      <w:r w:rsidR="004F397A">
        <w:t>were able to explain any variation in threat status (Table 1)</w:t>
      </w:r>
      <w:r w:rsidR="00933BF7">
        <w:t xml:space="preserve">. </w:t>
      </w:r>
      <w:r w:rsidR="005C1171">
        <w:t xml:space="preserve">Habitat breadth </w:t>
      </w:r>
      <w:r w:rsidR="002F77F1">
        <w:t xml:space="preserve">was </w:t>
      </w:r>
      <w:r w:rsidR="005C1171">
        <w:t>negatively</w:t>
      </w:r>
      <w:r w:rsidR="00463499">
        <w:t xml:space="preserve"> correlate</w:t>
      </w:r>
      <w:r w:rsidR="002F77F1">
        <w:t>d</w:t>
      </w:r>
      <w:r w:rsidR="00463499">
        <w:t xml:space="preserve"> with threat status (P = 8.35x10</w:t>
      </w:r>
      <w:r w:rsidR="00463499">
        <w:rPr>
          <w:vertAlign w:val="superscript"/>
        </w:rPr>
        <w:t>-5</w:t>
      </w:r>
      <w:r w:rsidR="00463499">
        <w:t>, r</w:t>
      </w:r>
      <w:r w:rsidR="00463499">
        <w:rPr>
          <w:vertAlign w:val="superscript"/>
        </w:rPr>
        <w:t>2</w:t>
      </w:r>
      <w:r w:rsidR="00463499">
        <w:t xml:space="preserve"> = 0.22</w:t>
      </w:r>
      <w:r w:rsidR="002F77F1">
        <w:t>), while minimum elevation was</w:t>
      </w:r>
      <w:r w:rsidR="00463499">
        <w:t xml:space="preserve"> positively correlate</w:t>
      </w:r>
      <w:r w:rsidR="002F77F1">
        <w:t>d</w:t>
      </w:r>
      <w:r w:rsidR="00463499">
        <w:t xml:space="preserve"> with threat status (P = 5.49x10</w:t>
      </w:r>
      <w:r w:rsidR="00463499">
        <w:rPr>
          <w:vertAlign w:val="superscript"/>
        </w:rPr>
        <w:t>-3</w:t>
      </w:r>
      <w:r w:rsidR="00463499">
        <w:t>, r</w:t>
      </w:r>
      <w:r w:rsidR="00463499">
        <w:rPr>
          <w:vertAlign w:val="superscript"/>
        </w:rPr>
        <w:t>2</w:t>
      </w:r>
      <w:r w:rsidR="00463499">
        <w:t xml:space="preserve"> = 0.18).</w:t>
      </w:r>
      <w:r w:rsidR="00E40299">
        <w:t xml:space="preserve"> </w:t>
      </w:r>
      <w:r w:rsidR="002F77F1">
        <w:t>Threat status was largely independent of</w:t>
      </w:r>
      <w:r w:rsidR="006F5E90">
        <w:t xml:space="preserve"> SVL (P = 0.634, r</w:t>
      </w:r>
      <w:r w:rsidR="006F5E90">
        <w:rPr>
          <w:vertAlign w:val="superscript"/>
        </w:rPr>
        <w:t>2</w:t>
      </w:r>
      <w:r w:rsidR="006F5E90">
        <w:t xml:space="preserve"> = 0.0037) and clutch size (P = </w:t>
      </w:r>
      <w:r w:rsidR="006F5E90" w:rsidRPr="003131D6">
        <w:t>0.940, r</w:t>
      </w:r>
      <w:r w:rsidR="006F5E90" w:rsidRPr="003131D6">
        <w:rPr>
          <w:vertAlign w:val="superscript"/>
        </w:rPr>
        <w:t>2</w:t>
      </w:r>
      <w:r w:rsidR="006F5E90" w:rsidRPr="003131D6">
        <w:t xml:space="preserve"> = 1.0x10</w:t>
      </w:r>
      <w:r w:rsidR="006F5E90" w:rsidRPr="003131D6">
        <w:rPr>
          <w:vertAlign w:val="superscript"/>
        </w:rPr>
        <w:t>-4</w:t>
      </w:r>
      <w:r w:rsidR="006F5E90" w:rsidRPr="003131D6">
        <w:t>)</w:t>
      </w:r>
      <w:r w:rsidR="006F5E90">
        <w:t>.</w:t>
      </w:r>
      <w:r w:rsidR="00E40299">
        <w:t xml:space="preserve">  </w:t>
      </w:r>
      <w:r w:rsidR="006F5E90">
        <w:t xml:space="preserve">In comparison, for European frogs minimum elevation </w:t>
      </w:r>
      <w:r>
        <w:t>was the only variable able to explain any variation in threat status</w:t>
      </w:r>
      <w:r w:rsidR="006F5E90">
        <w:t>. Minimum elevation was found to positively correlate with threat status (P = 2.07x10</w:t>
      </w:r>
      <w:r w:rsidR="006F5E90">
        <w:rPr>
          <w:vertAlign w:val="superscript"/>
        </w:rPr>
        <w:t>-5</w:t>
      </w:r>
      <w:r w:rsidR="006F5E90">
        <w:t>, r</w:t>
      </w:r>
      <w:r w:rsidR="006F5E90">
        <w:rPr>
          <w:vertAlign w:val="superscript"/>
        </w:rPr>
        <w:t>2</w:t>
      </w:r>
      <w:r w:rsidR="006F5E90">
        <w:t xml:space="preserve"> = 0.39</w:t>
      </w:r>
      <w:r w:rsidR="002C2E5F">
        <w:t xml:space="preserve">). </w:t>
      </w:r>
      <w:r w:rsidR="00226B3A">
        <w:t>Threat status was largely independent of</w:t>
      </w:r>
      <w:r w:rsidR="006F5E90">
        <w:t xml:space="preserve"> SVL</w:t>
      </w:r>
      <w:r w:rsidR="002C2E5F">
        <w:t xml:space="preserve"> </w:t>
      </w:r>
      <w:r w:rsidR="006F5E90">
        <w:t>(P = 0.336, r</w:t>
      </w:r>
      <w:r w:rsidR="006F5E90">
        <w:rPr>
          <w:vertAlign w:val="superscript"/>
        </w:rPr>
        <w:t>2</w:t>
      </w:r>
      <w:r w:rsidR="006F5E90">
        <w:t xml:space="preserve"> = 0.020), clutch size</w:t>
      </w:r>
      <w:r w:rsidR="002C2E5F">
        <w:t xml:space="preserve"> (P = 0.120, r</w:t>
      </w:r>
      <w:r w:rsidR="002C2E5F">
        <w:rPr>
          <w:vertAlign w:val="superscript"/>
        </w:rPr>
        <w:t>2</w:t>
      </w:r>
      <w:r w:rsidR="002C2E5F">
        <w:t xml:space="preserve"> = 0.050)</w:t>
      </w:r>
      <w:r w:rsidR="006F5E90">
        <w:t>, and habitat breadth</w:t>
      </w:r>
      <w:r w:rsidR="002C2E5F">
        <w:t xml:space="preserve"> </w:t>
      </w:r>
      <w:r w:rsidR="006F5E90">
        <w:t>(</w:t>
      </w:r>
      <w:r w:rsidR="002C2E5F">
        <w:t>P = 0.084, r</w:t>
      </w:r>
      <w:r w:rsidR="002C2E5F">
        <w:rPr>
          <w:vertAlign w:val="superscript"/>
        </w:rPr>
        <w:t>2</w:t>
      </w:r>
      <w:r w:rsidR="002C2E5F">
        <w:t xml:space="preserve"> = 0.047</w:t>
      </w:r>
      <w:r w:rsidR="006F5E90">
        <w:t>).</w:t>
      </w:r>
      <w:r w:rsidR="002C2E5F">
        <w:t xml:space="preserve"> Not only was the lack of a habitat breadth correlation a major difference between North American and European frogs, but also the minimum elevation correlation was also a lot stronger in the European frogs (r</w:t>
      </w:r>
      <w:r w:rsidR="002C2E5F">
        <w:rPr>
          <w:vertAlign w:val="superscript"/>
        </w:rPr>
        <w:t>2</w:t>
      </w:r>
      <w:r w:rsidR="002C2E5F">
        <w:t xml:space="preserve"> = 0.39) than that of the North American frogs (r</w:t>
      </w:r>
      <w:r w:rsidR="002C2E5F">
        <w:rPr>
          <w:vertAlign w:val="superscript"/>
        </w:rPr>
        <w:t>2</w:t>
      </w:r>
      <w:r w:rsidR="002C2E5F">
        <w:t xml:space="preserve"> = 0.18).</w:t>
      </w:r>
    </w:p>
    <w:p w14:paraId="214FAAB3" w14:textId="547FE3A3" w:rsidR="00E7623E" w:rsidRDefault="00923C31" w:rsidP="0036483F">
      <w:pPr>
        <w:spacing w:line="480" w:lineRule="auto"/>
      </w:pPr>
      <w:r>
        <w:rPr>
          <w:noProof/>
        </w:rPr>
        <w:drawing>
          <wp:inline distT="0" distB="0" distL="0" distR="0" wp14:anchorId="3C9B06E8" wp14:editId="219E68FB">
            <wp:extent cx="6004465"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495" cy="4801424"/>
                    </a:xfrm>
                    <a:prstGeom prst="rect">
                      <a:avLst/>
                    </a:prstGeom>
                    <a:noFill/>
                    <a:ln>
                      <a:noFill/>
                    </a:ln>
                  </pic:spPr>
                </pic:pic>
              </a:graphicData>
            </a:graphic>
          </wp:inline>
        </w:drawing>
      </w:r>
    </w:p>
    <w:p w14:paraId="52BC4F47" w14:textId="076D6271" w:rsidR="00E7623E" w:rsidRDefault="00E7623E" w:rsidP="00E7623E">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1</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SVL</w:t>
      </w:r>
      <w:r w:rsidR="009A5143">
        <w:rPr>
          <w:b w:val="0"/>
          <w:color w:val="auto"/>
          <w:sz w:val="22"/>
          <w:szCs w:val="22"/>
        </w:rPr>
        <w:t xml:space="preserve">, (B) </w:t>
      </w:r>
      <w:r w:rsidR="00B136FE">
        <w:rPr>
          <w:b w:val="0"/>
          <w:color w:val="auto"/>
          <w:sz w:val="22"/>
          <w:szCs w:val="22"/>
        </w:rPr>
        <w:t xml:space="preserve">logged </w:t>
      </w:r>
      <w:r w:rsidR="009A5143">
        <w:rPr>
          <w:b w:val="0"/>
          <w:color w:val="auto"/>
          <w:sz w:val="22"/>
          <w:szCs w:val="22"/>
        </w:rPr>
        <w:t xml:space="preserve">clutch size, (C)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minimum elevation</w:t>
      </w:r>
      <w:r w:rsidR="009A5143">
        <w:rPr>
          <w:b w:val="0"/>
          <w:color w:val="auto"/>
          <w:sz w:val="22"/>
          <w:szCs w:val="22"/>
        </w:rPr>
        <w:t xml:space="preserve"> comparing North American</w:t>
      </w:r>
      <w:r w:rsidR="006E650E">
        <w:rPr>
          <w:b w:val="0"/>
          <w:color w:val="auto"/>
          <w:sz w:val="22"/>
          <w:szCs w:val="22"/>
        </w:rPr>
        <w:t xml:space="preserve"> frogs (green)</w:t>
      </w:r>
      <w:r w:rsidR="009A5143">
        <w:rPr>
          <w:b w:val="0"/>
          <w:color w:val="auto"/>
          <w:sz w:val="22"/>
          <w:szCs w:val="22"/>
        </w:rPr>
        <w:t xml:space="preserve"> and European</w:t>
      </w:r>
      <w:r w:rsidRPr="00051A4A">
        <w:rPr>
          <w:b w:val="0"/>
          <w:color w:val="auto"/>
          <w:sz w:val="22"/>
          <w:szCs w:val="22"/>
        </w:rPr>
        <w:t xml:space="preserve"> </w:t>
      </w:r>
      <w:r w:rsidR="006E650E">
        <w:rPr>
          <w:b w:val="0"/>
          <w:color w:val="auto"/>
          <w:sz w:val="22"/>
          <w:szCs w:val="22"/>
        </w:rPr>
        <w:t>frogs (purple)</w:t>
      </w:r>
      <w:r w:rsidR="00B136FE">
        <w:rPr>
          <w:b w:val="0"/>
          <w:color w:val="auto"/>
          <w:sz w:val="22"/>
          <w:szCs w:val="22"/>
        </w:rPr>
        <w:t>.</w:t>
      </w:r>
    </w:p>
    <w:p w14:paraId="668BFF53" w14:textId="77777777" w:rsidR="000C5676" w:rsidRDefault="000C5676" w:rsidP="000C5676">
      <w:pPr>
        <w:pStyle w:val="Caption"/>
        <w:rPr>
          <w:b w:val="0"/>
          <w:color w:val="auto"/>
          <w:sz w:val="22"/>
          <w:szCs w:val="22"/>
        </w:rPr>
      </w:pPr>
    </w:p>
    <w:p w14:paraId="4B1C0708" w14:textId="7C41726F" w:rsidR="000C5676" w:rsidRPr="000C5676" w:rsidRDefault="000C5676" w:rsidP="000C5676">
      <w:pPr>
        <w:pStyle w:val="Caption"/>
        <w:rPr>
          <w:b w:val="0"/>
          <w:color w:val="auto"/>
          <w:sz w:val="22"/>
          <w:szCs w:val="22"/>
        </w:rPr>
      </w:pPr>
      <w:r w:rsidRPr="00E7623E">
        <w:rPr>
          <w:b w:val="0"/>
          <w:color w:val="auto"/>
          <w:sz w:val="22"/>
          <w:szCs w:val="22"/>
        </w:rPr>
        <w:t xml:space="preserve">Table </w:t>
      </w:r>
      <w:r w:rsidRPr="00E7623E">
        <w:rPr>
          <w:b w:val="0"/>
          <w:color w:val="auto"/>
          <w:sz w:val="22"/>
          <w:szCs w:val="22"/>
        </w:rPr>
        <w:fldChar w:fldCharType="begin"/>
      </w:r>
      <w:r w:rsidRPr="00E7623E">
        <w:rPr>
          <w:b w:val="0"/>
          <w:color w:val="auto"/>
          <w:sz w:val="22"/>
          <w:szCs w:val="22"/>
        </w:rPr>
        <w:instrText xml:space="preserve"> SEQ Table \* ARABIC </w:instrText>
      </w:r>
      <w:r w:rsidRPr="00E7623E">
        <w:rPr>
          <w:b w:val="0"/>
          <w:color w:val="auto"/>
          <w:sz w:val="22"/>
          <w:szCs w:val="22"/>
        </w:rPr>
        <w:fldChar w:fldCharType="separate"/>
      </w:r>
      <w:r>
        <w:rPr>
          <w:b w:val="0"/>
          <w:noProof/>
          <w:color w:val="auto"/>
          <w:sz w:val="22"/>
          <w:szCs w:val="22"/>
        </w:rPr>
        <w:t>1</w:t>
      </w:r>
      <w:r w:rsidRPr="00E7623E">
        <w:rPr>
          <w:b w:val="0"/>
          <w:color w:val="auto"/>
          <w:sz w:val="22"/>
          <w:szCs w:val="22"/>
        </w:rPr>
        <w:fldChar w:fldCharType="end"/>
      </w:r>
      <w:r w:rsidRPr="00E7623E">
        <w:rPr>
          <w:b w:val="0"/>
          <w:color w:val="auto"/>
          <w:sz w:val="22"/>
          <w:szCs w:val="22"/>
        </w:rPr>
        <w:t>:</w:t>
      </w:r>
      <w:r>
        <w:rPr>
          <w:b w:val="0"/>
          <w:color w:val="auto"/>
          <w:sz w:val="22"/>
          <w:szCs w:val="22"/>
        </w:rPr>
        <w:t xml:space="preserve"> P-values, slopes, and R</w:t>
      </w:r>
      <w:r>
        <w:rPr>
          <w:b w:val="0"/>
          <w:color w:val="auto"/>
          <w:sz w:val="22"/>
          <w:szCs w:val="22"/>
          <w:vertAlign w:val="superscript"/>
        </w:rPr>
        <w:t>2</w:t>
      </w:r>
      <w:r>
        <w:rPr>
          <w:b w:val="0"/>
          <w:color w:val="auto"/>
          <w:sz w:val="22"/>
          <w:szCs w:val="22"/>
        </w:rPr>
        <w:t xml:space="preserve"> values for all linear regressions in Figures 1 and 2 predicting threat status from mean SVL, natural logged clutch size, habitat breadth, and minimum elevation. </w:t>
      </w:r>
    </w:p>
    <w:tbl>
      <w:tblPr>
        <w:tblStyle w:val="TableGrid"/>
        <w:tblW w:w="0" w:type="auto"/>
        <w:tblLook w:val="04A0" w:firstRow="1" w:lastRow="0" w:firstColumn="1" w:lastColumn="0" w:noHBand="0" w:noVBand="1"/>
      </w:tblPr>
      <w:tblGrid>
        <w:gridCol w:w="2988"/>
        <w:gridCol w:w="2160"/>
        <w:gridCol w:w="2250"/>
        <w:gridCol w:w="2178"/>
      </w:tblGrid>
      <w:tr w:rsidR="004F67B6" w14:paraId="1CADB4F9" w14:textId="77777777" w:rsidTr="004F67B6">
        <w:tc>
          <w:tcPr>
            <w:tcW w:w="2988" w:type="dxa"/>
            <w:vAlign w:val="center"/>
          </w:tcPr>
          <w:p w14:paraId="08BB1F81" w14:textId="77777777" w:rsidR="004F67B6" w:rsidRDefault="004F67B6" w:rsidP="001A5993">
            <w:pPr>
              <w:jc w:val="center"/>
              <w:rPr>
                <w:b/>
              </w:rPr>
            </w:pPr>
          </w:p>
        </w:tc>
        <w:tc>
          <w:tcPr>
            <w:tcW w:w="2160" w:type="dxa"/>
            <w:vAlign w:val="center"/>
          </w:tcPr>
          <w:p w14:paraId="0DB45515" w14:textId="12F464C8" w:rsidR="004F67B6" w:rsidRPr="001A5993" w:rsidRDefault="004F67B6" w:rsidP="001A5993">
            <w:pPr>
              <w:jc w:val="center"/>
              <w:rPr>
                <w:b/>
                <w:vertAlign w:val="superscript"/>
              </w:rPr>
            </w:pPr>
            <w:r>
              <w:rPr>
                <w:b/>
              </w:rPr>
              <w:t>P-value</w:t>
            </w:r>
          </w:p>
        </w:tc>
        <w:tc>
          <w:tcPr>
            <w:tcW w:w="2250" w:type="dxa"/>
          </w:tcPr>
          <w:p w14:paraId="74369445" w14:textId="1701EBA3" w:rsidR="004F67B6" w:rsidRDefault="004F67B6" w:rsidP="001A5993">
            <w:pPr>
              <w:jc w:val="center"/>
              <w:rPr>
                <w:b/>
              </w:rPr>
            </w:pPr>
            <w:r>
              <w:rPr>
                <w:b/>
              </w:rPr>
              <w:t>Slope</w:t>
            </w:r>
          </w:p>
        </w:tc>
        <w:tc>
          <w:tcPr>
            <w:tcW w:w="2178" w:type="dxa"/>
            <w:vAlign w:val="center"/>
          </w:tcPr>
          <w:p w14:paraId="5A30C977" w14:textId="54F91F67" w:rsidR="004F67B6" w:rsidRPr="00484561" w:rsidRDefault="004F67B6" w:rsidP="001A5993">
            <w:pPr>
              <w:jc w:val="center"/>
              <w:rPr>
                <w:b/>
                <w:vertAlign w:val="superscript"/>
              </w:rPr>
            </w:pPr>
            <w:r>
              <w:rPr>
                <w:b/>
              </w:rPr>
              <w:t>R</w:t>
            </w:r>
            <w:r>
              <w:rPr>
                <w:b/>
                <w:vertAlign w:val="superscript"/>
              </w:rPr>
              <w:t>2</w:t>
            </w:r>
          </w:p>
        </w:tc>
      </w:tr>
      <w:tr w:rsidR="004F67B6" w14:paraId="7861A7D1" w14:textId="77777777" w:rsidTr="004F67B6">
        <w:tc>
          <w:tcPr>
            <w:tcW w:w="2988" w:type="dxa"/>
          </w:tcPr>
          <w:p w14:paraId="4F0466A9" w14:textId="73F1F8E8" w:rsidR="004F67B6" w:rsidRDefault="004F67B6" w:rsidP="001A5993">
            <w:pPr>
              <w:rPr>
                <w:b/>
              </w:rPr>
            </w:pPr>
            <w:r>
              <w:rPr>
                <w:b/>
              </w:rPr>
              <w:t>North American Frogs</w:t>
            </w:r>
          </w:p>
        </w:tc>
        <w:tc>
          <w:tcPr>
            <w:tcW w:w="2160" w:type="dxa"/>
          </w:tcPr>
          <w:p w14:paraId="76E32FB1" w14:textId="77777777" w:rsidR="004F67B6" w:rsidRPr="00484561" w:rsidRDefault="004F67B6" w:rsidP="00484561">
            <w:pPr>
              <w:jc w:val="center"/>
            </w:pPr>
          </w:p>
        </w:tc>
        <w:tc>
          <w:tcPr>
            <w:tcW w:w="2250" w:type="dxa"/>
          </w:tcPr>
          <w:p w14:paraId="60E1A911" w14:textId="77777777" w:rsidR="004F67B6" w:rsidRPr="00484561" w:rsidRDefault="004F67B6" w:rsidP="00484561">
            <w:pPr>
              <w:jc w:val="center"/>
            </w:pPr>
          </w:p>
        </w:tc>
        <w:tc>
          <w:tcPr>
            <w:tcW w:w="2178" w:type="dxa"/>
          </w:tcPr>
          <w:p w14:paraId="04A99264" w14:textId="6CE323CF" w:rsidR="004F67B6" w:rsidRPr="00484561" w:rsidRDefault="004F67B6" w:rsidP="00484561">
            <w:pPr>
              <w:jc w:val="center"/>
            </w:pPr>
          </w:p>
        </w:tc>
      </w:tr>
      <w:tr w:rsidR="004F67B6" w14:paraId="5061CD19" w14:textId="77777777" w:rsidTr="004F67B6">
        <w:tc>
          <w:tcPr>
            <w:tcW w:w="2988" w:type="dxa"/>
          </w:tcPr>
          <w:p w14:paraId="5570048C" w14:textId="4C823E48" w:rsidR="004F67B6" w:rsidRPr="00265823" w:rsidRDefault="004F67B6" w:rsidP="001A5993">
            <w:r w:rsidRPr="00265823">
              <w:t xml:space="preserve">     Mean SVL</w:t>
            </w:r>
          </w:p>
        </w:tc>
        <w:tc>
          <w:tcPr>
            <w:tcW w:w="2160" w:type="dxa"/>
          </w:tcPr>
          <w:p w14:paraId="456B4002" w14:textId="379D4BB2" w:rsidR="004F67B6" w:rsidRPr="00484561" w:rsidRDefault="004F67B6" w:rsidP="00484561">
            <w:pPr>
              <w:jc w:val="center"/>
            </w:pPr>
            <w:r>
              <w:t>0.634</w:t>
            </w:r>
          </w:p>
        </w:tc>
        <w:tc>
          <w:tcPr>
            <w:tcW w:w="2250" w:type="dxa"/>
          </w:tcPr>
          <w:p w14:paraId="000EACD4" w14:textId="45DA9009" w:rsidR="004F67B6" w:rsidRDefault="004F67B6" w:rsidP="00484561">
            <w:pPr>
              <w:jc w:val="center"/>
            </w:pPr>
            <w:r>
              <w:t>-0.00291</w:t>
            </w:r>
          </w:p>
        </w:tc>
        <w:tc>
          <w:tcPr>
            <w:tcW w:w="2178" w:type="dxa"/>
          </w:tcPr>
          <w:p w14:paraId="3E835BB4" w14:textId="4C1FEE88" w:rsidR="004F67B6" w:rsidRPr="00484561" w:rsidRDefault="004F67B6" w:rsidP="00484561">
            <w:pPr>
              <w:jc w:val="center"/>
            </w:pPr>
            <w:r>
              <w:t>0.0037</w:t>
            </w:r>
          </w:p>
        </w:tc>
      </w:tr>
      <w:tr w:rsidR="004F67B6" w14:paraId="41F67FCF" w14:textId="77777777" w:rsidTr="004F67B6">
        <w:tc>
          <w:tcPr>
            <w:tcW w:w="2988" w:type="dxa"/>
          </w:tcPr>
          <w:p w14:paraId="53062793" w14:textId="086D4908" w:rsidR="004F67B6" w:rsidRPr="00265823" w:rsidRDefault="004F67B6" w:rsidP="001A5993">
            <w:r w:rsidRPr="00265823">
              <w:t xml:space="preserve">    </w:t>
            </w:r>
            <w:r>
              <w:t>Ln(</w:t>
            </w:r>
            <w:r w:rsidRPr="00265823">
              <w:t>Mean Clutch Size</w:t>
            </w:r>
            <w:r>
              <w:t>)</w:t>
            </w:r>
          </w:p>
        </w:tc>
        <w:tc>
          <w:tcPr>
            <w:tcW w:w="2160" w:type="dxa"/>
          </w:tcPr>
          <w:p w14:paraId="2E291708" w14:textId="14A689E7" w:rsidR="004F67B6" w:rsidRPr="00484561" w:rsidRDefault="004F67B6" w:rsidP="00484561">
            <w:pPr>
              <w:jc w:val="center"/>
            </w:pPr>
            <w:r>
              <w:t>0.940</w:t>
            </w:r>
          </w:p>
        </w:tc>
        <w:tc>
          <w:tcPr>
            <w:tcW w:w="2250" w:type="dxa"/>
          </w:tcPr>
          <w:p w14:paraId="48FFD2CA" w14:textId="7DB4A58F" w:rsidR="004F67B6" w:rsidRDefault="004F67B6" w:rsidP="00484561">
            <w:pPr>
              <w:jc w:val="center"/>
            </w:pPr>
            <w:r>
              <w:t>0.00811</w:t>
            </w:r>
          </w:p>
        </w:tc>
        <w:tc>
          <w:tcPr>
            <w:tcW w:w="2178" w:type="dxa"/>
          </w:tcPr>
          <w:p w14:paraId="79656592" w14:textId="4E08F730" w:rsidR="004F67B6" w:rsidRPr="00484561" w:rsidRDefault="004F67B6" w:rsidP="00484561">
            <w:pPr>
              <w:jc w:val="center"/>
              <w:rPr>
                <w:vertAlign w:val="superscript"/>
              </w:rPr>
            </w:pPr>
            <w:r>
              <w:t>1.0x10</w:t>
            </w:r>
            <w:r>
              <w:rPr>
                <w:vertAlign w:val="superscript"/>
              </w:rPr>
              <w:t>-4</w:t>
            </w:r>
          </w:p>
        </w:tc>
      </w:tr>
      <w:tr w:rsidR="004F67B6" w14:paraId="0AF600C0" w14:textId="77777777" w:rsidTr="004F67B6">
        <w:tc>
          <w:tcPr>
            <w:tcW w:w="2988" w:type="dxa"/>
          </w:tcPr>
          <w:p w14:paraId="28920616" w14:textId="281C7AB4" w:rsidR="004F67B6" w:rsidRPr="00265823" w:rsidRDefault="004F67B6" w:rsidP="00265823">
            <w:r w:rsidRPr="00265823">
              <w:t xml:space="preserve">     Habitat Breadth</w:t>
            </w:r>
          </w:p>
        </w:tc>
        <w:tc>
          <w:tcPr>
            <w:tcW w:w="2160" w:type="dxa"/>
          </w:tcPr>
          <w:p w14:paraId="05004453" w14:textId="400624AD" w:rsidR="004F67B6" w:rsidRPr="00484561" w:rsidRDefault="004F67B6" w:rsidP="00484561">
            <w:pPr>
              <w:jc w:val="center"/>
            </w:pPr>
            <w:r w:rsidRPr="00484561">
              <w:t>8.35x10</w:t>
            </w:r>
            <w:r w:rsidRPr="00484561">
              <w:rPr>
                <w:vertAlign w:val="superscript"/>
              </w:rPr>
              <w:t>-5</w:t>
            </w:r>
            <w:r>
              <w:t xml:space="preserve"> </w:t>
            </w:r>
          </w:p>
        </w:tc>
        <w:tc>
          <w:tcPr>
            <w:tcW w:w="2250" w:type="dxa"/>
          </w:tcPr>
          <w:p w14:paraId="3FFCE1D3" w14:textId="2C1C441C" w:rsidR="004F67B6" w:rsidRDefault="004F67B6" w:rsidP="00484561">
            <w:pPr>
              <w:jc w:val="center"/>
            </w:pPr>
            <w:r>
              <w:t>-0.336</w:t>
            </w:r>
          </w:p>
        </w:tc>
        <w:tc>
          <w:tcPr>
            <w:tcW w:w="2178" w:type="dxa"/>
          </w:tcPr>
          <w:p w14:paraId="7649DED1" w14:textId="19467B82" w:rsidR="004F67B6" w:rsidRPr="00484561" w:rsidRDefault="004F67B6" w:rsidP="00484561">
            <w:pPr>
              <w:jc w:val="center"/>
            </w:pPr>
            <w:r>
              <w:t>0.22</w:t>
            </w:r>
          </w:p>
        </w:tc>
      </w:tr>
      <w:tr w:rsidR="004F67B6" w14:paraId="3772887B" w14:textId="77777777" w:rsidTr="004F67B6">
        <w:tc>
          <w:tcPr>
            <w:tcW w:w="2988" w:type="dxa"/>
          </w:tcPr>
          <w:p w14:paraId="1A876CF1" w14:textId="22B4B578" w:rsidR="004F67B6" w:rsidRPr="00265823" w:rsidRDefault="004F67B6" w:rsidP="001A5993">
            <w:r w:rsidRPr="00265823">
              <w:t xml:space="preserve">     Minimum Elevation</w:t>
            </w:r>
          </w:p>
        </w:tc>
        <w:tc>
          <w:tcPr>
            <w:tcW w:w="2160" w:type="dxa"/>
          </w:tcPr>
          <w:p w14:paraId="586B0CF3" w14:textId="46B9D54B" w:rsidR="004F67B6" w:rsidRPr="00484561" w:rsidRDefault="004F67B6" w:rsidP="00484561">
            <w:pPr>
              <w:jc w:val="center"/>
            </w:pPr>
            <w:r>
              <w:t>5.49x10</w:t>
            </w:r>
            <w:r>
              <w:rPr>
                <w:vertAlign w:val="superscript"/>
              </w:rPr>
              <w:t>-3</w:t>
            </w:r>
            <w:r>
              <w:t xml:space="preserve"> </w:t>
            </w:r>
          </w:p>
        </w:tc>
        <w:tc>
          <w:tcPr>
            <w:tcW w:w="2250" w:type="dxa"/>
          </w:tcPr>
          <w:p w14:paraId="61794330" w14:textId="2B83569E" w:rsidR="004F67B6" w:rsidRDefault="004F67B6" w:rsidP="00484561">
            <w:pPr>
              <w:jc w:val="center"/>
            </w:pPr>
            <w:r>
              <w:t>0.000945</w:t>
            </w:r>
          </w:p>
        </w:tc>
        <w:tc>
          <w:tcPr>
            <w:tcW w:w="2178" w:type="dxa"/>
          </w:tcPr>
          <w:p w14:paraId="1DDCB759" w14:textId="63702CF3" w:rsidR="004F67B6" w:rsidRPr="00484561" w:rsidRDefault="004F67B6" w:rsidP="00484561">
            <w:pPr>
              <w:jc w:val="center"/>
            </w:pPr>
            <w:r>
              <w:t>0.18</w:t>
            </w:r>
          </w:p>
        </w:tc>
      </w:tr>
      <w:tr w:rsidR="004F67B6" w14:paraId="266B3DC7" w14:textId="77777777" w:rsidTr="004F67B6">
        <w:tc>
          <w:tcPr>
            <w:tcW w:w="2988" w:type="dxa"/>
          </w:tcPr>
          <w:p w14:paraId="3FEAA489" w14:textId="24E6C3E9" w:rsidR="004F67B6" w:rsidRDefault="004F67B6" w:rsidP="001A5993">
            <w:pPr>
              <w:rPr>
                <w:b/>
              </w:rPr>
            </w:pPr>
            <w:r>
              <w:rPr>
                <w:b/>
              </w:rPr>
              <w:t>European Frogs</w:t>
            </w:r>
          </w:p>
        </w:tc>
        <w:tc>
          <w:tcPr>
            <w:tcW w:w="2160" w:type="dxa"/>
          </w:tcPr>
          <w:p w14:paraId="27B6EB0C" w14:textId="77777777" w:rsidR="004F67B6" w:rsidRPr="00484561" w:rsidRDefault="004F67B6" w:rsidP="00484561">
            <w:pPr>
              <w:jc w:val="center"/>
            </w:pPr>
          </w:p>
        </w:tc>
        <w:tc>
          <w:tcPr>
            <w:tcW w:w="2250" w:type="dxa"/>
          </w:tcPr>
          <w:p w14:paraId="7806FFF1" w14:textId="77777777" w:rsidR="004F67B6" w:rsidRPr="00484561" w:rsidRDefault="004F67B6" w:rsidP="00484561">
            <w:pPr>
              <w:jc w:val="center"/>
            </w:pPr>
          </w:p>
        </w:tc>
        <w:tc>
          <w:tcPr>
            <w:tcW w:w="2178" w:type="dxa"/>
          </w:tcPr>
          <w:p w14:paraId="2F63E594" w14:textId="04136B46" w:rsidR="004F67B6" w:rsidRPr="00484561" w:rsidRDefault="004F67B6" w:rsidP="00484561">
            <w:pPr>
              <w:jc w:val="center"/>
            </w:pPr>
          </w:p>
        </w:tc>
      </w:tr>
      <w:tr w:rsidR="004F67B6" w14:paraId="53E3AE71" w14:textId="77777777" w:rsidTr="004F67B6">
        <w:tc>
          <w:tcPr>
            <w:tcW w:w="2988" w:type="dxa"/>
          </w:tcPr>
          <w:p w14:paraId="7B2DBB0E" w14:textId="7348932F" w:rsidR="004F67B6" w:rsidRPr="00265823" w:rsidRDefault="004F67B6" w:rsidP="001A5993">
            <w:r w:rsidRPr="00265823">
              <w:t xml:space="preserve">     Mean SVL</w:t>
            </w:r>
          </w:p>
        </w:tc>
        <w:tc>
          <w:tcPr>
            <w:tcW w:w="2160" w:type="dxa"/>
          </w:tcPr>
          <w:p w14:paraId="246DF808" w14:textId="0B61B0E7" w:rsidR="004F67B6" w:rsidRPr="00484561" w:rsidRDefault="004F67B6" w:rsidP="00484561">
            <w:pPr>
              <w:jc w:val="center"/>
            </w:pPr>
            <w:r>
              <w:t>0.336</w:t>
            </w:r>
          </w:p>
        </w:tc>
        <w:tc>
          <w:tcPr>
            <w:tcW w:w="2250" w:type="dxa"/>
          </w:tcPr>
          <w:p w14:paraId="6FA03764" w14:textId="7DC806AA" w:rsidR="004F67B6" w:rsidRDefault="004F67B6" w:rsidP="00484561">
            <w:pPr>
              <w:jc w:val="center"/>
            </w:pPr>
            <w:r>
              <w:t>-0.00647</w:t>
            </w:r>
          </w:p>
        </w:tc>
        <w:tc>
          <w:tcPr>
            <w:tcW w:w="2178" w:type="dxa"/>
          </w:tcPr>
          <w:p w14:paraId="29D10CC5" w14:textId="3F95C480" w:rsidR="004F67B6" w:rsidRPr="00484561" w:rsidRDefault="004F67B6" w:rsidP="00484561">
            <w:pPr>
              <w:jc w:val="center"/>
            </w:pPr>
            <w:r>
              <w:t>0.020</w:t>
            </w:r>
          </w:p>
        </w:tc>
      </w:tr>
      <w:tr w:rsidR="004F67B6" w14:paraId="23F59BC5" w14:textId="77777777" w:rsidTr="004F67B6">
        <w:tc>
          <w:tcPr>
            <w:tcW w:w="2988" w:type="dxa"/>
          </w:tcPr>
          <w:p w14:paraId="60A80CD3" w14:textId="140214E5" w:rsidR="004F67B6" w:rsidRPr="00265823" w:rsidRDefault="004F67B6" w:rsidP="001A5993">
            <w:r w:rsidRPr="00265823">
              <w:t xml:space="preserve">     </w:t>
            </w:r>
            <w:r>
              <w:t>Ln(</w:t>
            </w:r>
            <w:r w:rsidRPr="00265823">
              <w:t>Mean Clutch Size</w:t>
            </w:r>
            <w:r>
              <w:t>)</w:t>
            </w:r>
          </w:p>
        </w:tc>
        <w:tc>
          <w:tcPr>
            <w:tcW w:w="2160" w:type="dxa"/>
          </w:tcPr>
          <w:p w14:paraId="2A00EA72" w14:textId="301424C3" w:rsidR="004F67B6" w:rsidRPr="00484561" w:rsidRDefault="004F67B6" w:rsidP="00484561">
            <w:pPr>
              <w:jc w:val="center"/>
            </w:pPr>
            <w:r>
              <w:t>0.120</w:t>
            </w:r>
          </w:p>
        </w:tc>
        <w:tc>
          <w:tcPr>
            <w:tcW w:w="2250" w:type="dxa"/>
          </w:tcPr>
          <w:p w14:paraId="10F1DB67" w14:textId="722C6499" w:rsidR="004F67B6" w:rsidRDefault="004F67B6" w:rsidP="00484561">
            <w:pPr>
              <w:jc w:val="center"/>
            </w:pPr>
            <w:r>
              <w:t>-0.139</w:t>
            </w:r>
          </w:p>
        </w:tc>
        <w:tc>
          <w:tcPr>
            <w:tcW w:w="2178" w:type="dxa"/>
          </w:tcPr>
          <w:p w14:paraId="002EF18F" w14:textId="7079EFCF" w:rsidR="004F67B6" w:rsidRPr="00484561" w:rsidRDefault="004F67B6" w:rsidP="00484561">
            <w:pPr>
              <w:jc w:val="center"/>
            </w:pPr>
            <w:r>
              <w:t>0.050</w:t>
            </w:r>
          </w:p>
        </w:tc>
      </w:tr>
      <w:tr w:rsidR="004F67B6" w14:paraId="539380E3" w14:textId="77777777" w:rsidTr="004F67B6">
        <w:tc>
          <w:tcPr>
            <w:tcW w:w="2988" w:type="dxa"/>
          </w:tcPr>
          <w:p w14:paraId="20659D7A" w14:textId="6714763D" w:rsidR="004F67B6" w:rsidRPr="00265823" w:rsidRDefault="004F67B6" w:rsidP="00265823">
            <w:r w:rsidRPr="00265823">
              <w:t xml:space="preserve">     Habitat Breadth</w:t>
            </w:r>
          </w:p>
        </w:tc>
        <w:tc>
          <w:tcPr>
            <w:tcW w:w="2160" w:type="dxa"/>
          </w:tcPr>
          <w:p w14:paraId="75570910" w14:textId="32B6506D" w:rsidR="004F67B6" w:rsidRPr="00484561" w:rsidRDefault="004F67B6" w:rsidP="00484561">
            <w:pPr>
              <w:jc w:val="center"/>
            </w:pPr>
            <w:r>
              <w:t>0.084</w:t>
            </w:r>
          </w:p>
        </w:tc>
        <w:tc>
          <w:tcPr>
            <w:tcW w:w="2250" w:type="dxa"/>
          </w:tcPr>
          <w:p w14:paraId="6357EC3E" w14:textId="41C58F7A" w:rsidR="004F67B6" w:rsidRDefault="004F67B6" w:rsidP="00484561">
            <w:pPr>
              <w:jc w:val="center"/>
            </w:pPr>
            <w:r>
              <w:t>-0.197</w:t>
            </w:r>
          </w:p>
        </w:tc>
        <w:tc>
          <w:tcPr>
            <w:tcW w:w="2178" w:type="dxa"/>
          </w:tcPr>
          <w:p w14:paraId="2703B069" w14:textId="297AB3FE" w:rsidR="004F67B6" w:rsidRPr="00484561" w:rsidRDefault="004F67B6" w:rsidP="00484561">
            <w:pPr>
              <w:jc w:val="center"/>
            </w:pPr>
            <w:r>
              <w:t>0.047</w:t>
            </w:r>
          </w:p>
        </w:tc>
      </w:tr>
      <w:tr w:rsidR="004F67B6" w14:paraId="5173E057" w14:textId="77777777" w:rsidTr="004F67B6">
        <w:tc>
          <w:tcPr>
            <w:tcW w:w="2988" w:type="dxa"/>
          </w:tcPr>
          <w:p w14:paraId="5CC46F03" w14:textId="28F3CAA5" w:rsidR="004F67B6" w:rsidRPr="00265823" w:rsidRDefault="004F67B6" w:rsidP="001A5993">
            <w:r w:rsidRPr="00265823">
              <w:t xml:space="preserve">     Minimum Elevation</w:t>
            </w:r>
          </w:p>
        </w:tc>
        <w:tc>
          <w:tcPr>
            <w:tcW w:w="2160" w:type="dxa"/>
          </w:tcPr>
          <w:p w14:paraId="76E3AB2A" w14:textId="62386CEB" w:rsidR="004F67B6" w:rsidRPr="00484561" w:rsidRDefault="004F67B6" w:rsidP="00484561">
            <w:pPr>
              <w:jc w:val="center"/>
            </w:pPr>
            <w:r>
              <w:t>2.07x10</w:t>
            </w:r>
            <w:r>
              <w:rPr>
                <w:vertAlign w:val="superscript"/>
              </w:rPr>
              <w:t>-5</w:t>
            </w:r>
            <w:r>
              <w:t xml:space="preserve"> </w:t>
            </w:r>
          </w:p>
        </w:tc>
        <w:tc>
          <w:tcPr>
            <w:tcW w:w="2250" w:type="dxa"/>
          </w:tcPr>
          <w:p w14:paraId="38A562C0" w14:textId="70446156" w:rsidR="004F67B6" w:rsidRDefault="004F67B6" w:rsidP="00484561">
            <w:pPr>
              <w:jc w:val="center"/>
            </w:pPr>
            <w:r>
              <w:t>0.00369</w:t>
            </w:r>
          </w:p>
        </w:tc>
        <w:tc>
          <w:tcPr>
            <w:tcW w:w="2178" w:type="dxa"/>
          </w:tcPr>
          <w:p w14:paraId="172A6BBD" w14:textId="3F0EDF9D" w:rsidR="004F67B6" w:rsidRPr="00484561" w:rsidRDefault="004F67B6" w:rsidP="00484561">
            <w:pPr>
              <w:jc w:val="center"/>
            </w:pPr>
            <w:r>
              <w:t>0.39</w:t>
            </w:r>
          </w:p>
        </w:tc>
      </w:tr>
      <w:tr w:rsidR="004F67B6" w14:paraId="16CD9DA9" w14:textId="77777777" w:rsidTr="004F67B6">
        <w:tc>
          <w:tcPr>
            <w:tcW w:w="2988" w:type="dxa"/>
          </w:tcPr>
          <w:p w14:paraId="657249A9" w14:textId="68E216B4" w:rsidR="004F67B6" w:rsidRDefault="004F67B6" w:rsidP="001A5993">
            <w:pPr>
              <w:rPr>
                <w:b/>
              </w:rPr>
            </w:pPr>
            <w:r>
              <w:rPr>
                <w:b/>
              </w:rPr>
              <w:t>European Salamanders</w:t>
            </w:r>
          </w:p>
        </w:tc>
        <w:tc>
          <w:tcPr>
            <w:tcW w:w="2160" w:type="dxa"/>
          </w:tcPr>
          <w:p w14:paraId="6C80D359" w14:textId="77777777" w:rsidR="004F67B6" w:rsidRPr="00484561" w:rsidRDefault="004F67B6" w:rsidP="00484561">
            <w:pPr>
              <w:jc w:val="center"/>
            </w:pPr>
          </w:p>
        </w:tc>
        <w:tc>
          <w:tcPr>
            <w:tcW w:w="2250" w:type="dxa"/>
          </w:tcPr>
          <w:p w14:paraId="586C2363" w14:textId="77777777" w:rsidR="004F67B6" w:rsidRPr="00484561" w:rsidRDefault="004F67B6" w:rsidP="00484561">
            <w:pPr>
              <w:jc w:val="center"/>
            </w:pPr>
          </w:p>
        </w:tc>
        <w:tc>
          <w:tcPr>
            <w:tcW w:w="2178" w:type="dxa"/>
          </w:tcPr>
          <w:p w14:paraId="2539004F" w14:textId="3BCA3BFD" w:rsidR="004F67B6" w:rsidRPr="00484561" w:rsidRDefault="004F67B6" w:rsidP="00484561">
            <w:pPr>
              <w:jc w:val="center"/>
            </w:pPr>
          </w:p>
        </w:tc>
      </w:tr>
      <w:tr w:rsidR="004F67B6" w14:paraId="4034F460" w14:textId="77777777" w:rsidTr="004F67B6">
        <w:tc>
          <w:tcPr>
            <w:tcW w:w="2988" w:type="dxa"/>
          </w:tcPr>
          <w:p w14:paraId="69261065" w14:textId="150F4F13" w:rsidR="004F67B6" w:rsidRPr="00265823" w:rsidRDefault="004F67B6" w:rsidP="001A5993">
            <w:r w:rsidRPr="00265823">
              <w:t xml:space="preserve">     Mean SVL</w:t>
            </w:r>
          </w:p>
        </w:tc>
        <w:tc>
          <w:tcPr>
            <w:tcW w:w="2160" w:type="dxa"/>
          </w:tcPr>
          <w:p w14:paraId="744FCEC7" w14:textId="16E9C44A" w:rsidR="004F67B6" w:rsidRPr="00484561" w:rsidRDefault="004F67B6" w:rsidP="00484561">
            <w:pPr>
              <w:jc w:val="center"/>
            </w:pPr>
            <w:r>
              <w:t>0.433</w:t>
            </w:r>
          </w:p>
        </w:tc>
        <w:tc>
          <w:tcPr>
            <w:tcW w:w="2250" w:type="dxa"/>
          </w:tcPr>
          <w:p w14:paraId="731D5A09" w14:textId="06C63C89" w:rsidR="004F67B6" w:rsidRDefault="004F67B6" w:rsidP="00484561">
            <w:pPr>
              <w:jc w:val="center"/>
            </w:pPr>
            <w:r>
              <w:t>0.00568</w:t>
            </w:r>
          </w:p>
        </w:tc>
        <w:tc>
          <w:tcPr>
            <w:tcW w:w="2178" w:type="dxa"/>
          </w:tcPr>
          <w:p w14:paraId="34BC8B33" w14:textId="47967BEF" w:rsidR="004F67B6" w:rsidRPr="00484561" w:rsidRDefault="004F67B6" w:rsidP="00484561">
            <w:pPr>
              <w:jc w:val="center"/>
            </w:pPr>
            <w:r>
              <w:t>0.02</w:t>
            </w:r>
          </w:p>
        </w:tc>
      </w:tr>
      <w:tr w:rsidR="004F67B6" w14:paraId="6CE30628" w14:textId="77777777" w:rsidTr="004F67B6">
        <w:tc>
          <w:tcPr>
            <w:tcW w:w="2988" w:type="dxa"/>
          </w:tcPr>
          <w:p w14:paraId="4A8FE057" w14:textId="3CA487E6" w:rsidR="004F67B6" w:rsidRPr="00265823" w:rsidRDefault="004F67B6" w:rsidP="001A5993">
            <w:r w:rsidRPr="00265823">
              <w:t xml:space="preserve">     </w:t>
            </w:r>
            <w:r>
              <w:t>Ln(</w:t>
            </w:r>
            <w:r w:rsidRPr="00265823">
              <w:t>Mean Clutch Size</w:t>
            </w:r>
            <w:r>
              <w:t>)</w:t>
            </w:r>
          </w:p>
        </w:tc>
        <w:tc>
          <w:tcPr>
            <w:tcW w:w="2160" w:type="dxa"/>
          </w:tcPr>
          <w:p w14:paraId="0C9E3ECD" w14:textId="29B768EF" w:rsidR="004F67B6" w:rsidRPr="00484561" w:rsidRDefault="004F67B6" w:rsidP="00484561">
            <w:pPr>
              <w:jc w:val="center"/>
            </w:pPr>
            <w:r>
              <w:t>8.92x10</w:t>
            </w:r>
            <w:r>
              <w:rPr>
                <w:vertAlign w:val="superscript"/>
              </w:rPr>
              <w:t>-4</w:t>
            </w:r>
            <w:r>
              <w:t xml:space="preserve"> </w:t>
            </w:r>
          </w:p>
        </w:tc>
        <w:tc>
          <w:tcPr>
            <w:tcW w:w="2250" w:type="dxa"/>
          </w:tcPr>
          <w:p w14:paraId="424886E1" w14:textId="2A64F7B3" w:rsidR="004F67B6" w:rsidRDefault="000C5676" w:rsidP="00484561">
            <w:pPr>
              <w:jc w:val="center"/>
            </w:pPr>
            <w:r w:rsidRPr="000C5676">
              <w:t>-0.335</w:t>
            </w:r>
          </w:p>
        </w:tc>
        <w:tc>
          <w:tcPr>
            <w:tcW w:w="2178" w:type="dxa"/>
          </w:tcPr>
          <w:p w14:paraId="2DDC061B" w14:textId="4813FFC8" w:rsidR="004F67B6" w:rsidRPr="00484561" w:rsidRDefault="004F67B6" w:rsidP="00484561">
            <w:pPr>
              <w:jc w:val="center"/>
            </w:pPr>
            <w:r>
              <w:t>0.28</w:t>
            </w:r>
          </w:p>
        </w:tc>
      </w:tr>
      <w:tr w:rsidR="004F67B6" w14:paraId="6DD48895" w14:textId="77777777" w:rsidTr="004F67B6">
        <w:tc>
          <w:tcPr>
            <w:tcW w:w="2988" w:type="dxa"/>
          </w:tcPr>
          <w:p w14:paraId="5C703041" w14:textId="453DB3BD" w:rsidR="004F67B6" w:rsidRPr="00265823" w:rsidRDefault="004F67B6" w:rsidP="001A5993">
            <w:r w:rsidRPr="00265823">
              <w:t xml:space="preserve">     Habitat Breadth</w:t>
            </w:r>
          </w:p>
        </w:tc>
        <w:tc>
          <w:tcPr>
            <w:tcW w:w="2160" w:type="dxa"/>
          </w:tcPr>
          <w:p w14:paraId="56F8140A" w14:textId="4E387035" w:rsidR="004F67B6" w:rsidRPr="00484561" w:rsidRDefault="004F67B6" w:rsidP="00484561">
            <w:pPr>
              <w:jc w:val="center"/>
            </w:pPr>
            <w:r>
              <w:t>0.255</w:t>
            </w:r>
          </w:p>
        </w:tc>
        <w:tc>
          <w:tcPr>
            <w:tcW w:w="2250" w:type="dxa"/>
          </w:tcPr>
          <w:p w14:paraId="74088738" w14:textId="167CF114" w:rsidR="004F67B6" w:rsidRDefault="000C5676" w:rsidP="00484561">
            <w:pPr>
              <w:jc w:val="center"/>
            </w:pPr>
            <w:r>
              <w:t>-0.202</w:t>
            </w:r>
          </w:p>
        </w:tc>
        <w:tc>
          <w:tcPr>
            <w:tcW w:w="2178" w:type="dxa"/>
          </w:tcPr>
          <w:p w14:paraId="0625A917" w14:textId="736B3CCD" w:rsidR="004F67B6" w:rsidRPr="00484561" w:rsidRDefault="004F67B6" w:rsidP="00484561">
            <w:pPr>
              <w:jc w:val="center"/>
            </w:pPr>
            <w:r>
              <w:t>0.048</w:t>
            </w:r>
          </w:p>
        </w:tc>
      </w:tr>
      <w:tr w:rsidR="004F67B6" w14:paraId="036575F7" w14:textId="77777777" w:rsidTr="004F67B6">
        <w:tc>
          <w:tcPr>
            <w:tcW w:w="2988" w:type="dxa"/>
          </w:tcPr>
          <w:p w14:paraId="00A643E4" w14:textId="666B3F6F" w:rsidR="004F67B6" w:rsidRPr="00265823" w:rsidRDefault="004F67B6" w:rsidP="001A5993">
            <w:r>
              <w:t xml:space="preserve">     Minimum Elevation</w:t>
            </w:r>
          </w:p>
        </w:tc>
        <w:tc>
          <w:tcPr>
            <w:tcW w:w="2160" w:type="dxa"/>
          </w:tcPr>
          <w:p w14:paraId="05873F59" w14:textId="2EF3800B" w:rsidR="004F67B6" w:rsidRPr="00484561" w:rsidRDefault="004F67B6" w:rsidP="00484561">
            <w:pPr>
              <w:jc w:val="center"/>
            </w:pPr>
            <w:r>
              <w:t>0.292</w:t>
            </w:r>
          </w:p>
        </w:tc>
        <w:tc>
          <w:tcPr>
            <w:tcW w:w="2250" w:type="dxa"/>
          </w:tcPr>
          <w:p w14:paraId="3DE861EF" w14:textId="148268D7" w:rsidR="004F67B6" w:rsidRDefault="000C5676" w:rsidP="00484561">
            <w:pPr>
              <w:jc w:val="center"/>
            </w:pPr>
            <w:r w:rsidRPr="000C5676">
              <w:t>0.000588</w:t>
            </w:r>
          </w:p>
        </w:tc>
        <w:tc>
          <w:tcPr>
            <w:tcW w:w="2178" w:type="dxa"/>
          </w:tcPr>
          <w:p w14:paraId="3095F1AE" w14:textId="06386E34" w:rsidR="004F67B6" w:rsidRPr="00484561" w:rsidRDefault="004F67B6" w:rsidP="00484561">
            <w:pPr>
              <w:jc w:val="center"/>
            </w:pPr>
            <w:r>
              <w:t>0.037</w:t>
            </w:r>
          </w:p>
        </w:tc>
      </w:tr>
    </w:tbl>
    <w:p w14:paraId="2B39CF3E" w14:textId="77777777" w:rsidR="00E7623E" w:rsidRDefault="00E7623E" w:rsidP="00E7623E">
      <w:pPr>
        <w:pStyle w:val="Caption"/>
      </w:pPr>
    </w:p>
    <w:p w14:paraId="00C68A56" w14:textId="77777777" w:rsidR="00855073" w:rsidRPr="00855073" w:rsidRDefault="00855073" w:rsidP="00855073"/>
    <w:p w14:paraId="076630A1" w14:textId="7909851C" w:rsidR="0036483F" w:rsidRDefault="00622A99" w:rsidP="0036483F">
      <w:pPr>
        <w:spacing w:line="480" w:lineRule="auto"/>
        <w:rPr>
          <w:b/>
        </w:rPr>
      </w:pPr>
      <w:r>
        <w:rPr>
          <w:b/>
        </w:rPr>
        <w:t xml:space="preserve">European </w:t>
      </w:r>
      <w:r w:rsidR="006E650E">
        <w:rPr>
          <w:b/>
        </w:rPr>
        <w:t>Frogs</w:t>
      </w:r>
      <w:r>
        <w:rPr>
          <w:b/>
        </w:rPr>
        <w:t xml:space="preserve"> vs. </w:t>
      </w:r>
      <w:r w:rsidR="006E650E">
        <w:rPr>
          <w:b/>
        </w:rPr>
        <w:t>Salamanders</w:t>
      </w:r>
      <w:r>
        <w:rPr>
          <w:b/>
        </w:rPr>
        <w:t xml:space="preserve">: Linear </w:t>
      </w:r>
      <w:r w:rsidR="006E650E">
        <w:rPr>
          <w:b/>
        </w:rPr>
        <w:t>Models</w:t>
      </w:r>
    </w:p>
    <w:p w14:paraId="799DE429" w14:textId="6B129007" w:rsidR="002C2E5F" w:rsidRDefault="00504106" w:rsidP="0036483F">
      <w:pPr>
        <w:spacing w:line="480" w:lineRule="auto"/>
      </w:pPr>
      <w:r>
        <w:t>Next I looked at</w:t>
      </w:r>
      <w:r w:rsidR="002C2E5F">
        <w:t xml:space="preserve"> the relationship between threat status and </w:t>
      </w:r>
      <w:r w:rsidR="00721B71">
        <w:t>SVL</w:t>
      </w:r>
      <w:r w:rsidR="002C2E5F">
        <w:t xml:space="preserve">, clutch size, habitat breadth, and minimum elevation for European </w:t>
      </w:r>
      <w:r w:rsidR="00B136FE">
        <w:t xml:space="preserve">frogs </w:t>
      </w:r>
      <w:r w:rsidR="002C2E5F">
        <w:t>and</w:t>
      </w:r>
      <w:r w:rsidR="00B136FE">
        <w:t xml:space="preserve"> salamanders</w:t>
      </w:r>
      <w:r>
        <w:t xml:space="preserve"> (Figure 2)</w:t>
      </w:r>
      <w:r w:rsidR="008A1FB3">
        <w:t xml:space="preserve">. </w:t>
      </w:r>
      <w:r w:rsidR="002C2E5F">
        <w:t xml:space="preserve">As discussed previously, minimum elevation was </w:t>
      </w:r>
      <w:r w:rsidR="00226B3A">
        <w:t>the only variable able to explain any variation in threat status</w:t>
      </w:r>
      <w:r w:rsidR="002C2E5F">
        <w:t xml:space="preserve"> for European frogs (P = 2.07x10</w:t>
      </w:r>
      <w:r w:rsidR="002C2E5F">
        <w:rPr>
          <w:vertAlign w:val="superscript"/>
        </w:rPr>
        <w:t>-5</w:t>
      </w:r>
      <w:r w:rsidR="002C2E5F">
        <w:t>, r</w:t>
      </w:r>
      <w:r w:rsidR="002C2E5F">
        <w:rPr>
          <w:vertAlign w:val="superscript"/>
        </w:rPr>
        <w:t>2</w:t>
      </w:r>
      <w:r w:rsidR="006A6324">
        <w:t xml:space="preserve"> = 0.39). In contrast,</w:t>
      </w:r>
      <w:r w:rsidR="00226B3A">
        <w:t xml:space="preserve"> for salamanders</w:t>
      </w:r>
      <w:r w:rsidR="006A6324">
        <w:t xml:space="preserve"> clutch size was </w:t>
      </w:r>
      <w:r w:rsidR="00226B3A">
        <w:t>the only variable found to explain any variation</w:t>
      </w:r>
      <w:r w:rsidR="00721B71">
        <w:t>. The natural log of c</w:t>
      </w:r>
      <w:r w:rsidR="006A6324">
        <w:t>lutch size was negatively correlate</w:t>
      </w:r>
      <w:r w:rsidR="00226B3A">
        <w:t>d</w:t>
      </w:r>
      <w:r w:rsidR="006A6324">
        <w:t xml:space="preserve"> with threat status (P = 8.92x10</w:t>
      </w:r>
      <w:r w:rsidR="006A6324">
        <w:rPr>
          <w:vertAlign w:val="superscript"/>
        </w:rPr>
        <w:t>-4</w:t>
      </w:r>
      <w:r w:rsidR="006A6324">
        <w:t>, r</w:t>
      </w:r>
      <w:r w:rsidR="006A6324">
        <w:rPr>
          <w:vertAlign w:val="superscript"/>
        </w:rPr>
        <w:t>2</w:t>
      </w:r>
      <w:r w:rsidR="006A6324">
        <w:t xml:space="preserve"> = 0.28).</w:t>
      </w:r>
      <w:r w:rsidR="00721B71">
        <w:t xml:space="preserve"> </w:t>
      </w:r>
      <w:r w:rsidR="00226B3A">
        <w:t>Threat status was largely independent of</w:t>
      </w:r>
      <w:r w:rsidR="00022291">
        <w:t xml:space="preserve"> SVL (</w:t>
      </w:r>
      <w:r w:rsidR="006A6324">
        <w:t>P = 0.433, r</w:t>
      </w:r>
      <w:r w:rsidR="006A6324">
        <w:rPr>
          <w:vertAlign w:val="superscript"/>
        </w:rPr>
        <w:t>2</w:t>
      </w:r>
      <w:r w:rsidR="006A6324">
        <w:t xml:space="preserve"> = 0.02</w:t>
      </w:r>
      <w:r w:rsidR="00022291">
        <w:t>), habitat breadth (</w:t>
      </w:r>
      <w:r w:rsidR="006A6324">
        <w:t>P = 0.255, r</w:t>
      </w:r>
      <w:r w:rsidR="006A6324">
        <w:rPr>
          <w:vertAlign w:val="superscript"/>
        </w:rPr>
        <w:t>2</w:t>
      </w:r>
      <w:r w:rsidR="006A6324">
        <w:t xml:space="preserve"> = 0.048</w:t>
      </w:r>
      <w:r w:rsidR="00022291">
        <w:t>), and minimum elevation (</w:t>
      </w:r>
      <w:r w:rsidR="006A6324">
        <w:t>P = 0.292, r</w:t>
      </w:r>
      <w:r w:rsidR="006A6324">
        <w:rPr>
          <w:vertAlign w:val="superscript"/>
        </w:rPr>
        <w:t>2</w:t>
      </w:r>
      <w:r w:rsidR="006A6324">
        <w:t xml:space="preserve"> = 0.037</w:t>
      </w:r>
      <w:r w:rsidR="00022291">
        <w:t>).</w:t>
      </w:r>
    </w:p>
    <w:p w14:paraId="53954E5C" w14:textId="0EBDA727" w:rsidR="00E7623E" w:rsidRDefault="004C212C" w:rsidP="0036483F">
      <w:pPr>
        <w:spacing w:line="480" w:lineRule="auto"/>
      </w:pPr>
      <w:r>
        <w:rPr>
          <w:noProof/>
        </w:rPr>
        <w:drawing>
          <wp:inline distT="0" distB="0" distL="0" distR="0" wp14:anchorId="4F7805D2" wp14:editId="5B8C1524">
            <wp:extent cx="6004465" cy="4800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409" cy="4801355"/>
                    </a:xfrm>
                    <a:prstGeom prst="rect">
                      <a:avLst/>
                    </a:prstGeom>
                    <a:noFill/>
                    <a:ln>
                      <a:noFill/>
                    </a:ln>
                  </pic:spPr>
                </pic:pic>
              </a:graphicData>
            </a:graphic>
          </wp:inline>
        </w:drawing>
      </w:r>
    </w:p>
    <w:p w14:paraId="5BB5BE90" w14:textId="3A2A32E2" w:rsidR="00855073" w:rsidRPr="00855073" w:rsidRDefault="00E7623E" w:rsidP="00855073">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2</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 xml:space="preserve">SVL, </w:t>
      </w:r>
      <w:r w:rsidR="009A5143">
        <w:rPr>
          <w:b w:val="0"/>
          <w:color w:val="auto"/>
          <w:sz w:val="22"/>
          <w:szCs w:val="22"/>
        </w:rPr>
        <w:t xml:space="preserve"> (B) </w:t>
      </w:r>
      <w:r w:rsidR="00B136FE">
        <w:rPr>
          <w:b w:val="0"/>
          <w:color w:val="auto"/>
          <w:sz w:val="22"/>
          <w:szCs w:val="22"/>
        </w:rPr>
        <w:t xml:space="preserve">logged </w:t>
      </w:r>
      <w:r w:rsidRPr="00051A4A">
        <w:rPr>
          <w:b w:val="0"/>
          <w:color w:val="auto"/>
          <w:sz w:val="22"/>
          <w:szCs w:val="22"/>
        </w:rPr>
        <w:t xml:space="preserve">clutch size, </w:t>
      </w:r>
      <w:r w:rsidR="009A5143">
        <w:rPr>
          <w:b w:val="0"/>
          <w:color w:val="auto"/>
          <w:sz w:val="22"/>
          <w:szCs w:val="22"/>
        </w:rPr>
        <w:t xml:space="preserve">(C)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 xml:space="preserve">minimum elevation </w:t>
      </w:r>
      <w:r w:rsidR="009A5143">
        <w:rPr>
          <w:b w:val="0"/>
          <w:color w:val="auto"/>
          <w:sz w:val="22"/>
          <w:szCs w:val="22"/>
        </w:rPr>
        <w:t xml:space="preserve">comparing European </w:t>
      </w:r>
      <w:r w:rsidR="00B136FE">
        <w:rPr>
          <w:b w:val="0"/>
          <w:color w:val="auto"/>
          <w:sz w:val="22"/>
          <w:szCs w:val="22"/>
        </w:rPr>
        <w:t>frogs</w:t>
      </w:r>
      <w:r w:rsidR="009A5143">
        <w:rPr>
          <w:b w:val="0"/>
          <w:color w:val="auto"/>
          <w:sz w:val="22"/>
          <w:szCs w:val="22"/>
        </w:rPr>
        <w:t xml:space="preserve"> </w:t>
      </w:r>
      <w:r w:rsidR="00B136FE">
        <w:rPr>
          <w:b w:val="0"/>
          <w:color w:val="auto"/>
          <w:sz w:val="22"/>
          <w:szCs w:val="22"/>
        </w:rPr>
        <w:t xml:space="preserve">(purple) </w:t>
      </w:r>
      <w:r w:rsidR="009A5143">
        <w:rPr>
          <w:b w:val="0"/>
          <w:color w:val="auto"/>
          <w:sz w:val="22"/>
          <w:szCs w:val="22"/>
        </w:rPr>
        <w:t xml:space="preserve">and </w:t>
      </w:r>
      <w:r w:rsidR="00B136FE">
        <w:rPr>
          <w:b w:val="0"/>
          <w:color w:val="auto"/>
          <w:sz w:val="22"/>
          <w:szCs w:val="22"/>
        </w:rPr>
        <w:t>salamanders (</w:t>
      </w:r>
      <w:r w:rsidR="000C5676">
        <w:rPr>
          <w:b w:val="0"/>
          <w:color w:val="auto"/>
          <w:sz w:val="22"/>
          <w:szCs w:val="22"/>
        </w:rPr>
        <w:t>blue</w:t>
      </w:r>
      <w:r w:rsidR="00B136FE">
        <w:rPr>
          <w:b w:val="0"/>
          <w:color w:val="auto"/>
          <w:sz w:val="22"/>
          <w:szCs w:val="22"/>
        </w:rPr>
        <w:t>)</w:t>
      </w:r>
      <w:r w:rsidRPr="00051A4A">
        <w:rPr>
          <w:b w:val="0"/>
          <w:color w:val="auto"/>
          <w:sz w:val="22"/>
          <w:szCs w:val="22"/>
        </w:rPr>
        <w:t>.</w:t>
      </w:r>
    </w:p>
    <w:p w14:paraId="3FCE3BB3" w14:textId="49F1FA4B" w:rsidR="0036483F" w:rsidRDefault="0036483F" w:rsidP="0036483F">
      <w:pPr>
        <w:spacing w:line="480" w:lineRule="auto"/>
        <w:rPr>
          <w:b/>
        </w:rPr>
      </w:pPr>
      <w:r>
        <w:rPr>
          <w:b/>
        </w:rPr>
        <w:t>North American</w:t>
      </w:r>
      <w:r w:rsidR="00622A99">
        <w:rPr>
          <w:b/>
        </w:rPr>
        <w:t xml:space="preserve"> </w:t>
      </w:r>
      <w:r w:rsidR="006E650E">
        <w:rPr>
          <w:b/>
        </w:rPr>
        <w:t>Frogs</w:t>
      </w:r>
      <w:r w:rsidR="00622A99">
        <w:rPr>
          <w:b/>
        </w:rPr>
        <w:t xml:space="preserve">: </w:t>
      </w:r>
      <w:r w:rsidR="005C6EA6">
        <w:rPr>
          <w:b/>
        </w:rPr>
        <w:t>Paired Wilcoxo</w:t>
      </w:r>
      <w:r w:rsidR="00622A99">
        <w:rPr>
          <w:b/>
        </w:rPr>
        <w:t>n Test</w:t>
      </w:r>
    </w:p>
    <w:p w14:paraId="345419D0" w14:textId="08F18EDA" w:rsidR="002D237F" w:rsidRDefault="008A1FB3" w:rsidP="002D237F">
      <w:pPr>
        <w:spacing w:line="480" w:lineRule="auto"/>
        <w:ind w:firstLine="720"/>
      </w:pPr>
      <w:r>
        <w:t>For North American frogs,</w:t>
      </w:r>
      <w:r w:rsidR="00D63B6D">
        <w:t xml:space="preserve"> I performed a paired Wilcoxon signed ran</w:t>
      </w:r>
      <w:r w:rsidR="00BD1A20">
        <w:t xml:space="preserve">k test, comparing </w:t>
      </w:r>
      <w:r>
        <w:t xml:space="preserve">each of the four traits of interest between </w:t>
      </w:r>
      <w:r w:rsidR="00BD1A20">
        <w:t>threatened sp</w:t>
      </w:r>
      <w:r w:rsidR="0004065C">
        <w:t xml:space="preserve">ecies </w:t>
      </w:r>
      <w:r>
        <w:t>and</w:t>
      </w:r>
      <w:r w:rsidR="0004065C">
        <w:t xml:space="preserve"> their </w:t>
      </w:r>
      <w:r>
        <w:t>closest</w:t>
      </w:r>
      <w:r w:rsidR="0004065C">
        <w:t xml:space="preserve"> non-</w:t>
      </w:r>
      <w:r w:rsidR="00BD1A20">
        <w:t xml:space="preserve">threatened </w:t>
      </w:r>
      <w:r>
        <w:t>relative</w:t>
      </w:r>
      <w:r w:rsidR="00302ECF">
        <w:t xml:space="preserve">. </w:t>
      </w:r>
      <w:r w:rsidR="00933BF7">
        <w:t xml:space="preserve">All variables were log-transformed. </w:t>
      </w:r>
      <w:r w:rsidR="00226B3A">
        <w:t>I visualized</w:t>
      </w:r>
      <w:r w:rsidR="00295283">
        <w:t xml:space="preserve"> this analysis by plotting</w:t>
      </w:r>
      <w:r w:rsidR="0004065C">
        <w:t xml:space="preserve"> boxplots of the </w:t>
      </w:r>
      <w:r w:rsidR="007C4692">
        <w:t xml:space="preserve">log of the </w:t>
      </w:r>
      <w:r w:rsidR="0004065C">
        <w:t xml:space="preserve">ratio of </w:t>
      </w:r>
      <w:r w:rsidR="007C4692">
        <w:t xml:space="preserve">the </w:t>
      </w:r>
      <w:r w:rsidR="0004065C">
        <w:t>non-</w:t>
      </w:r>
      <w:r w:rsidR="00295283">
        <w:t>threatened species value to the threatened one</w:t>
      </w:r>
      <w:r w:rsidR="007C4692">
        <w:t xml:space="preserve"> (Figure 3)</w:t>
      </w:r>
      <w:r w:rsidR="00295283">
        <w:t xml:space="preserve">. </w:t>
      </w:r>
      <w:r w:rsidR="002D237F">
        <w:t xml:space="preserve">Only habitat breadth (P = 0.023) and minimum elevation (P = 0.018) were able to explain any of the variation in threat status between the threatened and non-threatened species. The mean of the logged habitat breadth ratio boxplot is above zero indicating a ratio greater than zero, implying that non-threatened species tend to have greater habitat breadth than non-threatened species (Figure 3). The mean of the logged minimum elevation ratio boxplot is below zero implying the threatened species tend to have higher minimum elevations than the non-threatened species. Both implications support the results of the North American frogs’ linear regressions from the first analysis that habitat breadth negatively correlates and minimum elevation positively correlates with threat status. </w:t>
      </w:r>
    </w:p>
    <w:p w14:paraId="04A176FD" w14:textId="13A2BDDF" w:rsidR="004C212C" w:rsidRDefault="004C212C" w:rsidP="00051A4A">
      <w:pPr>
        <w:pStyle w:val="Caption"/>
        <w:rPr>
          <w:b w:val="0"/>
          <w:color w:val="auto"/>
          <w:sz w:val="22"/>
          <w:szCs w:val="22"/>
        </w:rPr>
      </w:pPr>
      <w:r>
        <w:rPr>
          <w:b w:val="0"/>
          <w:noProof/>
          <w:color w:val="auto"/>
          <w:sz w:val="22"/>
          <w:szCs w:val="22"/>
        </w:rPr>
        <w:drawing>
          <wp:inline distT="0" distB="0" distL="0" distR="0" wp14:anchorId="37ADA433" wp14:editId="0FCFA1E9">
            <wp:extent cx="6018080" cy="4811486"/>
            <wp:effectExtent l="0" t="0" r="190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083" cy="4812288"/>
                    </a:xfrm>
                    <a:prstGeom prst="rect">
                      <a:avLst/>
                    </a:prstGeom>
                    <a:noFill/>
                    <a:ln>
                      <a:noFill/>
                    </a:ln>
                  </pic:spPr>
                </pic:pic>
              </a:graphicData>
            </a:graphic>
          </wp:inline>
        </w:drawing>
      </w:r>
    </w:p>
    <w:p w14:paraId="58DFA109" w14:textId="5DD1FA9E" w:rsidR="00051A4A" w:rsidRPr="00051A4A" w:rsidRDefault="00051A4A" w:rsidP="00051A4A">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sidRPr="00051A4A">
        <w:rPr>
          <w:b w:val="0"/>
          <w:noProof/>
          <w:color w:val="auto"/>
          <w:sz w:val="22"/>
          <w:szCs w:val="22"/>
        </w:rPr>
        <w:t>3</w:t>
      </w:r>
      <w:r w:rsidRPr="00051A4A">
        <w:rPr>
          <w:b w:val="0"/>
          <w:color w:val="auto"/>
          <w:sz w:val="22"/>
          <w:szCs w:val="22"/>
        </w:rPr>
        <w:fldChar w:fldCharType="end"/>
      </w:r>
      <w:r w:rsidRPr="00051A4A">
        <w:rPr>
          <w:b w:val="0"/>
          <w:color w:val="auto"/>
          <w:sz w:val="22"/>
          <w:szCs w:val="22"/>
        </w:rPr>
        <w:t>:</w:t>
      </w:r>
      <w:r>
        <w:rPr>
          <w:b w:val="0"/>
          <w:color w:val="auto"/>
          <w:sz w:val="22"/>
          <w:szCs w:val="22"/>
        </w:rPr>
        <w:t xml:space="preserve"> Boxplots </w:t>
      </w:r>
      <w:r w:rsidR="00054D03">
        <w:rPr>
          <w:b w:val="0"/>
          <w:color w:val="auto"/>
          <w:sz w:val="22"/>
          <w:szCs w:val="22"/>
        </w:rPr>
        <w:t>visualizing variation in ratios for the paired Wilcoxon signed rank test. Pairs consisted of th</w:t>
      </w:r>
      <w:r w:rsidR="007C4692">
        <w:rPr>
          <w:b w:val="0"/>
          <w:color w:val="auto"/>
          <w:sz w:val="22"/>
          <w:szCs w:val="22"/>
        </w:rPr>
        <w:t xml:space="preserve">reatened species and their closest </w:t>
      </w:r>
      <w:r w:rsidR="00054D03">
        <w:rPr>
          <w:b w:val="0"/>
          <w:color w:val="auto"/>
          <w:sz w:val="22"/>
          <w:szCs w:val="22"/>
        </w:rPr>
        <w:t xml:space="preserve">non-threatened </w:t>
      </w:r>
      <w:r w:rsidR="007C4692">
        <w:rPr>
          <w:b w:val="0"/>
          <w:color w:val="auto"/>
          <w:sz w:val="22"/>
          <w:szCs w:val="22"/>
        </w:rPr>
        <w:t>relative</w:t>
      </w:r>
      <w:r w:rsidR="00054D03">
        <w:rPr>
          <w:b w:val="0"/>
          <w:color w:val="auto"/>
          <w:sz w:val="22"/>
          <w:szCs w:val="22"/>
        </w:rPr>
        <w:t xml:space="preserve">. Ratios </w:t>
      </w:r>
      <w:r w:rsidR="007C4692">
        <w:rPr>
          <w:b w:val="0"/>
          <w:color w:val="auto"/>
          <w:sz w:val="22"/>
          <w:szCs w:val="22"/>
        </w:rPr>
        <w:t xml:space="preserve">were </w:t>
      </w:r>
      <w:r w:rsidR="00054D03">
        <w:rPr>
          <w:b w:val="0"/>
          <w:color w:val="auto"/>
          <w:sz w:val="22"/>
          <w:szCs w:val="22"/>
        </w:rPr>
        <w:t>calculated by dividing the</w:t>
      </w:r>
      <w:r w:rsidR="00EB7289">
        <w:rPr>
          <w:b w:val="0"/>
          <w:color w:val="auto"/>
          <w:sz w:val="22"/>
          <w:szCs w:val="22"/>
        </w:rPr>
        <w:t xml:space="preserve"> </w:t>
      </w:r>
      <w:r w:rsidR="00054D03">
        <w:rPr>
          <w:b w:val="0"/>
          <w:color w:val="auto"/>
          <w:sz w:val="22"/>
          <w:szCs w:val="22"/>
        </w:rPr>
        <w:t>non-threatened species SVL, clutch size, habitat breadth, and minimum elevation values by the threatened species values.</w:t>
      </w:r>
      <w:r w:rsidR="007C4692">
        <w:rPr>
          <w:b w:val="0"/>
          <w:color w:val="auto"/>
          <w:sz w:val="22"/>
          <w:szCs w:val="22"/>
        </w:rPr>
        <w:t xml:space="preserve"> These ratios were then logged before plotting.</w:t>
      </w:r>
    </w:p>
    <w:p w14:paraId="57E92365" w14:textId="6093D7AD" w:rsidR="0036483F" w:rsidRDefault="0036483F" w:rsidP="0036483F">
      <w:pPr>
        <w:spacing w:line="480" w:lineRule="auto"/>
        <w:rPr>
          <w:b/>
        </w:rPr>
      </w:pPr>
      <w:r>
        <w:rPr>
          <w:b/>
        </w:rPr>
        <w:t>DISCUSSION</w:t>
      </w:r>
    </w:p>
    <w:p w14:paraId="2F52D116" w14:textId="730F922C" w:rsidR="00C45FD1" w:rsidRDefault="00D706A6" w:rsidP="00D706A6">
      <w:pPr>
        <w:spacing w:line="480" w:lineRule="auto"/>
        <w:ind w:firstLine="720"/>
      </w:pPr>
      <w:r>
        <w:t xml:space="preserve">My analyses </w:t>
      </w:r>
      <w:r w:rsidR="004E2F95">
        <w:t>aimed to examine SVL, clutch size, habitat breadth, and minimum elevation as potential correlates of extinction risk in North American and European amphibians. Some results corroborated past findings, while others departed from previous literature conclusions. Habitat breadth, minimum elevation, and clutch size all showed successful correlations for at lea</w:t>
      </w:r>
      <w:r w:rsidR="00D34A24">
        <w:t xml:space="preserve">st one </w:t>
      </w:r>
      <w:r w:rsidR="004E2F95">
        <w:t xml:space="preserve">of the amphibian groups I studied, but </w:t>
      </w:r>
      <w:r w:rsidR="00D34A24">
        <w:t>they</w:t>
      </w:r>
      <w:r w:rsidR="004E2F95">
        <w:t xml:space="preserve"> differed among groups</w:t>
      </w:r>
      <w:r w:rsidR="000D23BB">
        <w:t>.</w:t>
      </w:r>
      <w:r w:rsidR="00D34A24">
        <w:t xml:space="preserve"> </w:t>
      </w:r>
      <w:r w:rsidR="00962A15">
        <w:t>No traits</w:t>
      </w:r>
      <w:r w:rsidR="00D34A24">
        <w:t xml:space="preserve"> were found to </w:t>
      </w:r>
      <w:r w:rsidR="00962A15">
        <w:t xml:space="preserve">explain variation in threat status across </w:t>
      </w:r>
      <w:r w:rsidR="00D34A24">
        <w:t>all groups, indicating pote</w:t>
      </w:r>
      <w:r w:rsidR="00010287">
        <w:t>ntial geographic and taxonomic e</w:t>
      </w:r>
      <w:r w:rsidR="00D34A24">
        <w:t>ffects on extinction risk correlation.</w:t>
      </w:r>
    </w:p>
    <w:p w14:paraId="4A10BBC7" w14:textId="7C348D67" w:rsidR="00126FBD" w:rsidRDefault="00E777FC" w:rsidP="00431EDB">
      <w:pPr>
        <w:spacing w:line="480" w:lineRule="auto"/>
        <w:ind w:firstLine="720"/>
      </w:pPr>
      <w:r>
        <w:t>Large body size</w:t>
      </w:r>
      <w:r w:rsidR="00F97974">
        <w:t xml:space="preserve"> is one of the most common</w:t>
      </w:r>
      <w:r w:rsidR="002010E5">
        <w:t>ly cited</w:t>
      </w:r>
      <w:r w:rsidR="00F97974">
        <w:t xml:space="preserve"> extinction risk correlates for m</w:t>
      </w:r>
      <w:r>
        <w:t>any taxa such as mammals (</w:t>
      </w:r>
      <w:r w:rsidR="00F957B2">
        <w:t>Cardillo, 2003</w:t>
      </w:r>
      <w:r>
        <w:t xml:space="preserve">), </w:t>
      </w:r>
      <w:r w:rsidR="000A1823">
        <w:t>reptiles (Tingley et al.</w:t>
      </w:r>
      <w:r w:rsidR="002010E5">
        <w:t xml:space="preserve">, 2013), and </w:t>
      </w:r>
      <w:r>
        <w:t>fish (</w:t>
      </w:r>
      <w:r w:rsidR="000A1823">
        <w:rPr>
          <w:rFonts w:eastAsia="Times New Roman" w:cs="Arial"/>
          <w:color w:val="303030"/>
          <w:shd w:val="clear" w:color="auto" w:fill="FFFFFF"/>
        </w:rPr>
        <w:t>Reynolds et al.</w:t>
      </w:r>
      <w:r>
        <w:rPr>
          <w:rFonts w:eastAsia="Times New Roman" w:cs="Arial"/>
          <w:color w:val="303030"/>
          <w:shd w:val="clear" w:color="auto" w:fill="FFFFFF"/>
        </w:rPr>
        <w:t>, 2005</w:t>
      </w:r>
      <w:r>
        <w:t>)</w:t>
      </w:r>
      <w:r w:rsidR="00F957B2">
        <w:t xml:space="preserve">. </w:t>
      </w:r>
      <w:r w:rsidR="00126FBD">
        <w:t>Surprisingly</w:t>
      </w:r>
      <w:r w:rsidR="00671C1C">
        <w:t xml:space="preserve"> threat status was largely independent of </w:t>
      </w:r>
      <w:r w:rsidR="000D23BB">
        <w:t xml:space="preserve">snout-vent-length </w:t>
      </w:r>
      <w:r w:rsidR="00671C1C">
        <w:t xml:space="preserve">in </w:t>
      </w:r>
      <w:r w:rsidR="00F97974">
        <w:t>North American frogs, European frogs, or European salamanders</w:t>
      </w:r>
      <w:r w:rsidR="000D23BB">
        <w:t xml:space="preserve">. This contradicted previous findings that SVL is a </w:t>
      </w:r>
      <w:r w:rsidR="00126FBD">
        <w:t>correlate of extinction risk for amphibians in Central America (Lips et al., 2003), but agreed with other literature that found no correlation in Australian frogs (Murray &amp; Hose</w:t>
      </w:r>
      <w:r w:rsidR="002010E5">
        <w:t>, 2005</w:t>
      </w:r>
      <w:r w:rsidR="00126FBD">
        <w:t>). This indicates</w:t>
      </w:r>
      <w:r w:rsidR="00F97974">
        <w:t xml:space="preserve"> that body size might not impact amphibian threat</w:t>
      </w:r>
      <w:r w:rsidR="00B136FE">
        <w:t xml:space="preserve"> status</w:t>
      </w:r>
      <w:r w:rsidR="00F97974">
        <w:t xml:space="preserve">, </w:t>
      </w:r>
      <w:r w:rsidR="00B136FE">
        <w:t xml:space="preserve">or if it does the correlation could be </w:t>
      </w:r>
      <w:r w:rsidR="00431EDB">
        <w:t>regional and not global</w:t>
      </w:r>
      <w:r w:rsidR="00126FBD">
        <w:t xml:space="preserve">. Since many biological correlates of extinction risk are threat-specific, the </w:t>
      </w:r>
      <w:r w:rsidR="00B136FE">
        <w:t xml:space="preserve">Central American </w:t>
      </w:r>
      <w:r w:rsidR="00126FBD">
        <w:t xml:space="preserve">amphibians could be exposed to a particular threat that </w:t>
      </w:r>
      <w:r w:rsidR="00010287">
        <w:t>has a greater e</w:t>
      </w:r>
      <w:r w:rsidR="00B136FE">
        <w:t>ffect</w:t>
      </w:r>
      <w:r w:rsidR="00126FBD">
        <w:t xml:space="preserve"> </w:t>
      </w:r>
      <w:r w:rsidR="00B136FE">
        <w:t>on</w:t>
      </w:r>
      <w:r w:rsidR="00126FBD">
        <w:t xml:space="preserve"> larger amphibians. </w:t>
      </w:r>
    </w:p>
    <w:p w14:paraId="324389B8" w14:textId="58CB341D" w:rsidR="00B004C7" w:rsidRDefault="004E2F95" w:rsidP="0036483F">
      <w:pPr>
        <w:spacing w:line="480" w:lineRule="auto"/>
      </w:pPr>
      <w:r>
        <w:tab/>
      </w:r>
      <w:r w:rsidR="00D661C8">
        <w:t>Habitat specificity, measured by h</w:t>
      </w:r>
      <w:r>
        <w:t>a</w:t>
      </w:r>
      <w:r w:rsidR="00D661C8">
        <w:t xml:space="preserve">bitat breadth was found to </w:t>
      </w:r>
      <w:r w:rsidR="002E2282">
        <w:t>negatively</w:t>
      </w:r>
      <w:r w:rsidR="00D661C8">
        <w:t xml:space="preserve"> </w:t>
      </w:r>
      <w:r>
        <w:t xml:space="preserve">correlate </w:t>
      </w:r>
      <w:r w:rsidR="00D661C8">
        <w:t>with</w:t>
      </w:r>
      <w:r>
        <w:t xml:space="preserve"> </w:t>
      </w:r>
      <w:r w:rsidR="0021739A">
        <w:t>threat status</w:t>
      </w:r>
      <w:r>
        <w:t xml:space="preserve"> in North American frogs</w:t>
      </w:r>
      <w:r w:rsidR="0043524B">
        <w:t xml:space="preserve"> in both linear regression and paired </w:t>
      </w:r>
      <w:r w:rsidR="00212F96">
        <w:t xml:space="preserve">Wilcoxon </w:t>
      </w:r>
      <w:r w:rsidR="0043524B">
        <w:t>test analyses</w:t>
      </w:r>
      <w:r>
        <w:t>.</w:t>
      </w:r>
      <w:r w:rsidR="002E2282">
        <w:t xml:space="preserve"> This corroborates previous studies of amphibian extinction risk (</w:t>
      </w:r>
      <w:r w:rsidR="00A64EF8">
        <w:t>Cooper et al., 2008; Williams &amp; Hero, 1998</w:t>
      </w:r>
      <w:r w:rsidR="002E2282">
        <w:t xml:space="preserve">) as well as other </w:t>
      </w:r>
      <w:r w:rsidR="00A64EF8">
        <w:t>studies that</w:t>
      </w:r>
      <w:r w:rsidR="002E2282">
        <w:t xml:space="preserve"> found h</w:t>
      </w:r>
      <w:r w:rsidR="00D661C8">
        <w:t>abitat specialism</w:t>
      </w:r>
      <w:r w:rsidR="002E2282">
        <w:t xml:space="preserve"> to</w:t>
      </w:r>
      <w:r w:rsidR="008F597E">
        <w:t xml:space="preserve"> correlate with</w:t>
      </w:r>
      <w:r w:rsidR="00D661C8">
        <w:t xml:space="preserve"> </w:t>
      </w:r>
      <w:r w:rsidR="002E2282">
        <w:t>risk across</w:t>
      </w:r>
      <w:r w:rsidR="00D661C8">
        <w:t xml:space="preserve"> </w:t>
      </w:r>
      <w:r w:rsidR="00B136FE">
        <w:t>variable</w:t>
      </w:r>
      <w:r w:rsidR="00D661C8">
        <w:t xml:space="preserve"> </w:t>
      </w:r>
      <w:r w:rsidR="008B2C3E">
        <w:t xml:space="preserve">taxa </w:t>
      </w:r>
      <w:r w:rsidR="00E777FC">
        <w:t xml:space="preserve">such as </w:t>
      </w:r>
      <w:r w:rsidR="00D34A24">
        <w:t>butterflies</w:t>
      </w:r>
      <w:r w:rsidR="008B2C3E">
        <w:t xml:space="preserve"> (</w:t>
      </w:r>
      <w:r w:rsidR="008F597E">
        <w:t>Koh et al.</w:t>
      </w:r>
      <w:r w:rsidR="00E777FC">
        <w:t>, 2004) birds (O</w:t>
      </w:r>
      <w:r w:rsidR="008B2C3E">
        <w:t>wens &amp; Bennett</w:t>
      </w:r>
      <w:r w:rsidR="00FC51DD">
        <w:t>,</w:t>
      </w:r>
      <w:r w:rsidR="008B2C3E">
        <w:t xml:space="preserve"> 2000)</w:t>
      </w:r>
      <w:r w:rsidR="002010E5">
        <w:t xml:space="preserve">, </w:t>
      </w:r>
      <w:r w:rsidR="002E2282">
        <w:t xml:space="preserve">and </w:t>
      </w:r>
      <w:r w:rsidR="002010E5">
        <w:t>squamate reptiles (Tingley</w:t>
      </w:r>
      <w:r w:rsidR="00FC51DD">
        <w:t xml:space="preserve"> et al., 2013;</w:t>
      </w:r>
      <w:r w:rsidR="002010E5">
        <w:t xml:space="preserve"> </w:t>
      </w:r>
      <w:r w:rsidR="005419ED">
        <w:t>Bohm</w:t>
      </w:r>
      <w:r w:rsidR="00FC51DD">
        <w:t xml:space="preserve"> et al.</w:t>
      </w:r>
      <w:r w:rsidR="005419ED">
        <w:t>, 2016).</w:t>
      </w:r>
      <w:r w:rsidR="0021739A" w:rsidRPr="0021739A">
        <w:t xml:space="preserve"> </w:t>
      </w:r>
      <w:r w:rsidR="0021739A">
        <w:t>Species with small habitat breaths and thus high habitat specificity are more at risk. This follows the idea that having high habitat specificity makes it harder for species to withstand habitat modification (Purvis</w:t>
      </w:r>
      <w:r w:rsidR="00FC51DD">
        <w:t xml:space="preserve"> et al.,</w:t>
      </w:r>
      <w:r w:rsidR="0021739A">
        <w:t xml:space="preserve"> 2000) and they are thus more susceptible to habitat loss </w:t>
      </w:r>
      <w:r w:rsidR="00A436F9">
        <w:t>and climate change</w:t>
      </w:r>
      <w:r w:rsidR="0021739A">
        <w:t xml:space="preserve"> (Cooper et al., 2008).</w:t>
      </w:r>
      <w:r w:rsidR="00B004C7">
        <w:t xml:space="preserve"> </w:t>
      </w:r>
    </w:p>
    <w:p w14:paraId="2A72BBDF" w14:textId="07292D61" w:rsidR="00D34A24" w:rsidRDefault="00B004C7" w:rsidP="00B004C7">
      <w:pPr>
        <w:spacing w:line="480" w:lineRule="auto"/>
        <w:ind w:firstLine="720"/>
      </w:pPr>
      <w:r>
        <w:t>But the strength of this correlation between habitat specificity and risk could also be magnified due to the influence of geographic range size,</w:t>
      </w:r>
      <w:r w:rsidR="00010287">
        <w:t xml:space="preserve"> a commonly cited correlate of extinction risk</w:t>
      </w:r>
      <w:r>
        <w:t xml:space="preserve"> </w:t>
      </w:r>
      <w:r w:rsidR="00B136FE">
        <w:t xml:space="preserve">not directly </w:t>
      </w:r>
      <w:r>
        <w:t>include</w:t>
      </w:r>
      <w:r w:rsidR="00B136FE">
        <w:t>d</w:t>
      </w:r>
      <w:r>
        <w:t xml:space="preserve"> </w:t>
      </w:r>
      <w:r w:rsidR="008F597E">
        <w:t>in this study</w:t>
      </w:r>
      <w:r>
        <w:t>. Geographic range size has been well-documented as one of the most influential correlates of extinction risk across taxa</w:t>
      </w:r>
      <w:r w:rsidR="00CC1401">
        <w:t xml:space="preserve"> (Cooper et al., 2008; McKinney, 1997; Purvis et al., 2000; Hero &amp; Morrison, 2012; Jones</w:t>
      </w:r>
      <w:r w:rsidR="00010287">
        <w:t xml:space="preserve"> et al., </w:t>
      </w:r>
      <w:r w:rsidR="00CC1401">
        <w:t>2003)</w:t>
      </w:r>
      <w:r>
        <w:t xml:space="preserve">, </w:t>
      </w:r>
      <w:r w:rsidR="00CC1401">
        <w:t>and</w:t>
      </w:r>
      <w:r>
        <w:t xml:space="preserve"> has been shown to correlate with habitat specificity (</w:t>
      </w:r>
      <w:r w:rsidR="00010287">
        <w:t>Slayter et al.</w:t>
      </w:r>
      <w:r w:rsidR="00A436F9">
        <w:t>, 2013)</w:t>
      </w:r>
      <w:r>
        <w:t xml:space="preserve">. </w:t>
      </w:r>
      <w:r w:rsidR="00CC1401">
        <w:t xml:space="preserve">So the correlation between threat status and habitat breadth that I found in North American frogs, could be due to </w:t>
      </w:r>
      <w:r w:rsidR="00962A15">
        <w:t xml:space="preserve">a correlation between habitat breadth and </w:t>
      </w:r>
      <w:r w:rsidR="00CC1401">
        <w:t xml:space="preserve">geographic range size. In future research it would be beneficial to further analyze this relationship and </w:t>
      </w:r>
      <w:r w:rsidR="009E427B">
        <w:t xml:space="preserve">tease apart </w:t>
      </w:r>
      <w:r w:rsidR="00CC1401">
        <w:t xml:space="preserve">the impacts of both variables.  </w:t>
      </w:r>
    </w:p>
    <w:p w14:paraId="5959EA30" w14:textId="7AFDE52D" w:rsidR="00D661C8" w:rsidRDefault="002E2282" w:rsidP="00BD15BC">
      <w:pPr>
        <w:spacing w:line="480" w:lineRule="auto"/>
        <w:ind w:firstLine="720"/>
      </w:pPr>
      <w:r>
        <w:t>Although habitat breadth was found to negatively correlate with extinction risk in North American frogs, no correlation was found for</w:t>
      </w:r>
      <w:r w:rsidR="00BD15BC">
        <w:t xml:space="preserve"> European frogs or salamanders</w:t>
      </w:r>
      <w:r w:rsidR="00D661C8">
        <w:t>.</w:t>
      </w:r>
      <w:r w:rsidR="00B136FE">
        <w:t xml:space="preserve"> </w:t>
      </w:r>
      <w:r w:rsidR="00D661C8">
        <w:t xml:space="preserve">This could be a </w:t>
      </w:r>
      <w:r w:rsidR="0043524B">
        <w:t xml:space="preserve">sign of geographic variation’s influence on </w:t>
      </w:r>
      <w:r w:rsidR="00BD15BC">
        <w:t xml:space="preserve">the </w:t>
      </w:r>
      <w:r w:rsidR="0043524B">
        <w:t xml:space="preserve">correlation </w:t>
      </w:r>
      <w:r w:rsidR="00BD15BC">
        <w:t xml:space="preserve">between </w:t>
      </w:r>
      <w:r w:rsidR="0053497D">
        <w:t>habitat breadth</w:t>
      </w:r>
      <w:r w:rsidR="00BD15BC">
        <w:t xml:space="preserve"> and threat status</w:t>
      </w:r>
      <w:r w:rsidR="0043524B">
        <w:t xml:space="preserve">. </w:t>
      </w:r>
      <w:r w:rsidR="00B136FE">
        <w:t>As</w:t>
      </w:r>
      <w:r w:rsidR="0043524B">
        <w:t xml:space="preserve"> mentioned with </w:t>
      </w:r>
      <w:r w:rsidR="000A1F1D">
        <w:t>body size previously</w:t>
      </w:r>
      <w:r w:rsidR="0043524B">
        <w:t>,</w:t>
      </w:r>
      <w:r w:rsidR="000A1F1D">
        <w:t xml:space="preserve"> species declines are often threat-specific, and predominant threats in North America and Europe may differ. One source, Stuart et al. </w:t>
      </w:r>
      <w:r w:rsidR="004B29BE">
        <w:t>(</w:t>
      </w:r>
      <w:r w:rsidR="000A1F1D">
        <w:t>2014</w:t>
      </w:r>
      <w:r w:rsidR="004B29BE">
        <w:t>)</w:t>
      </w:r>
      <w:r w:rsidR="0043524B">
        <w:t xml:space="preserve"> </w:t>
      </w:r>
      <w:r w:rsidR="000A1F1D">
        <w:t>suggests the dominant cause for decline in the western U</w:t>
      </w:r>
      <w:r w:rsidR="004B29BE">
        <w:t>nited States is reduced habitat. R</w:t>
      </w:r>
      <w:r w:rsidR="000A1F1D">
        <w:t xml:space="preserve">educed habitat </w:t>
      </w:r>
      <w:r w:rsidR="004B29BE">
        <w:t>and</w:t>
      </w:r>
      <w:r w:rsidR="000A1F1D">
        <w:t xml:space="preserve"> enigmatic decline are common causes across North America (Stuart et al.</w:t>
      </w:r>
      <w:r w:rsidR="004B29BE">
        <w:t>,</w:t>
      </w:r>
      <w:r w:rsidR="000A1F1D">
        <w:t xml:space="preserve"> 2014). But, they also found that habitat reduction was also the predominant cause of amphibian decline in Europe, so this does not explain the variation in my results. </w:t>
      </w:r>
      <w:r w:rsidR="008C4ED4">
        <w:t xml:space="preserve"> It could be due to a difference in</w:t>
      </w:r>
      <w:r w:rsidR="0053497D">
        <w:t xml:space="preserve"> </w:t>
      </w:r>
      <w:r w:rsidR="008C4ED4">
        <w:t xml:space="preserve">the </w:t>
      </w:r>
      <w:r w:rsidR="0053497D">
        <w:t>time scale of human impacts on the environment be</w:t>
      </w:r>
      <w:r w:rsidR="002A542E">
        <w:t>tween Europe and North America.</w:t>
      </w:r>
      <w:r w:rsidR="008C4ED4">
        <w:t xml:space="preserve"> Impacts in North America have been concentrated into the last two centuries in comparison to Europe where it has been much more spread out over time.</w:t>
      </w:r>
      <w:r w:rsidR="0099629A" w:rsidRPr="0099629A">
        <w:t xml:space="preserve"> </w:t>
      </w:r>
      <w:r w:rsidR="008C4ED4">
        <w:t>Additionally</w:t>
      </w:r>
      <w:r w:rsidR="0099629A">
        <w:t xml:space="preserve"> threats not included in </w:t>
      </w:r>
      <w:r w:rsidR="008C4ED4">
        <w:t xml:space="preserve">Stuart and colleagues’ </w:t>
      </w:r>
      <w:r w:rsidR="0099629A">
        <w:t>study</w:t>
      </w:r>
      <w:r w:rsidR="008C4ED4">
        <w:t xml:space="preserve"> (2014)</w:t>
      </w:r>
      <w:r w:rsidR="0099629A">
        <w:t xml:space="preserve"> such as infectious disease and pollution </w:t>
      </w:r>
      <w:r w:rsidR="008C4ED4">
        <w:t>could be</w:t>
      </w:r>
      <w:r w:rsidR="0099629A">
        <w:t xml:space="preserve"> playing a larger role.  </w:t>
      </w:r>
    </w:p>
    <w:p w14:paraId="1CBC8E81" w14:textId="36EC7E6D" w:rsidR="003D4F8B" w:rsidRDefault="004E2F95" w:rsidP="0036483F">
      <w:pPr>
        <w:spacing w:line="480" w:lineRule="auto"/>
      </w:pPr>
      <w:r>
        <w:tab/>
        <w:t>Mi</w:t>
      </w:r>
      <w:r w:rsidR="003D4F8B">
        <w:t>nimum elevation was found to</w:t>
      </w:r>
      <w:r>
        <w:t xml:space="preserve"> </w:t>
      </w:r>
      <w:r w:rsidR="003D4F8B">
        <w:t xml:space="preserve">positively </w:t>
      </w:r>
      <w:r>
        <w:t xml:space="preserve">correlate </w:t>
      </w:r>
      <w:r w:rsidR="003D4F8B">
        <w:t xml:space="preserve">with threat status </w:t>
      </w:r>
      <w:r>
        <w:t>in</w:t>
      </w:r>
      <w:r w:rsidR="003D4F8B">
        <w:t xml:space="preserve"> both</w:t>
      </w:r>
      <w:r>
        <w:t xml:space="preserve"> North American and European frogs</w:t>
      </w:r>
      <w:r w:rsidR="003D4F8B">
        <w:t>.</w:t>
      </w:r>
      <w:r>
        <w:t xml:space="preserve"> </w:t>
      </w:r>
      <w:r w:rsidR="00962A15">
        <w:t>The paired Wilcoxon signed rank test</w:t>
      </w:r>
      <w:r w:rsidR="00D80D4B">
        <w:t xml:space="preserve"> in North American frogs </w:t>
      </w:r>
      <w:r w:rsidR="008C4ED4">
        <w:t>also found that minimum elevation was greater for threatened species than non-threatened species</w:t>
      </w:r>
      <w:r w:rsidR="00D80D4B">
        <w:t xml:space="preserve">. </w:t>
      </w:r>
      <w:r w:rsidR="003D4F8B">
        <w:t xml:space="preserve">This </w:t>
      </w:r>
      <w:r w:rsidR="00D80D4B">
        <w:t xml:space="preserve">correlation </w:t>
      </w:r>
      <w:r w:rsidR="003D4F8B">
        <w:t xml:space="preserve">agrees with previous findings </w:t>
      </w:r>
      <w:r w:rsidR="00D80D4B">
        <w:t>(</w:t>
      </w:r>
      <w:r w:rsidR="009E427B">
        <w:t xml:space="preserve">Lips et al., 2003; </w:t>
      </w:r>
      <w:r w:rsidR="00A25A0F">
        <w:t>Hero &amp; Morrison, 2012</w:t>
      </w:r>
      <w:r w:rsidR="00D80D4B">
        <w:t>)</w:t>
      </w:r>
      <w:r w:rsidR="00A25A0F">
        <w:t xml:space="preserve">. </w:t>
      </w:r>
      <w:r w:rsidR="003D4F8B">
        <w:t xml:space="preserve">Many other life history traits correlate with elevation and could be impacting this relationship. According to Hero and Morrison (2012) amphibians living at higher elevations tend to produce fewer clutches per year, have shorter breeding periods, and reach sexual maturity later.  These are all traits that make it harder for a species to bounce back from </w:t>
      </w:r>
      <w:r w:rsidR="00AB19D5">
        <w:t>mortality</w:t>
      </w:r>
      <w:r w:rsidR="003D4F8B">
        <w:t xml:space="preserve"> </w:t>
      </w:r>
      <w:r w:rsidR="00A25A0F">
        <w:t>increases (MacArthu</w:t>
      </w:r>
      <w:r w:rsidR="00AB19D5">
        <w:t xml:space="preserve">r &amp; Wilson, 1967). Once again though it is important to note the connection between minimum elevation and geographic range size. </w:t>
      </w:r>
      <w:r w:rsidR="00CB706F">
        <w:t xml:space="preserve">Higher minimum elevation suggests restricted range sizes (Davies et al., 2006) and small geographic range size is often correlated with amphibian threat status. It is impossible to </w:t>
      </w:r>
      <w:r w:rsidR="009E427B">
        <w:t>distinguish</w:t>
      </w:r>
      <w:r w:rsidR="00CB706F">
        <w:t xml:space="preserve"> the amount of correlation in my research actually due to elevation and that which is due to geographic range size.  This is something that should be addressed in future research.  </w:t>
      </w:r>
    </w:p>
    <w:p w14:paraId="26010380" w14:textId="4115976A" w:rsidR="00CB706F" w:rsidRDefault="00CB706F" w:rsidP="0036483F">
      <w:pPr>
        <w:spacing w:line="480" w:lineRule="auto"/>
      </w:pPr>
      <w:r>
        <w:tab/>
        <w:t xml:space="preserve">Although minimum elevation was positively correlated with extinction risk in European frogs, no correlation was found for European salamanders. Minimal salamander data has been included in previous amphibian extinction risk research, and never analyzed alone. So this result cannot be compared to previous literature. </w:t>
      </w:r>
      <w:r w:rsidR="00D80D4B">
        <w:t>The</w:t>
      </w:r>
      <w:r>
        <w:t xml:space="preserve"> </w:t>
      </w:r>
      <w:r w:rsidR="00C01601">
        <w:t>presence of a</w:t>
      </w:r>
      <w:r w:rsidR="00962A15">
        <w:t xml:space="preserve"> </w:t>
      </w:r>
      <w:r w:rsidR="00C01601">
        <w:t xml:space="preserve">correlation for frogs but not salamanders could be a sign of the taxonomic variation in the importance of elevation as a biological correlate.  Elevation and the life history traits correlated with </w:t>
      </w:r>
      <w:r w:rsidR="00A25A0F">
        <w:t>it</w:t>
      </w:r>
      <w:r w:rsidR="00C01601">
        <w:t xml:space="preserve"> could not have a major impact on the threats salamanders face. </w:t>
      </w:r>
    </w:p>
    <w:p w14:paraId="62528CE5" w14:textId="11E70EB8" w:rsidR="008B2C3E" w:rsidRDefault="004E2F95" w:rsidP="0036483F">
      <w:pPr>
        <w:spacing w:line="480" w:lineRule="auto"/>
      </w:pPr>
      <w:r>
        <w:tab/>
        <w:t>Clu</w:t>
      </w:r>
      <w:r w:rsidR="00BA0224">
        <w:t xml:space="preserve">tch size was only found to negatively correlate with </w:t>
      </w:r>
      <w:r>
        <w:t>extinction risk for European salamanders.</w:t>
      </w:r>
      <w:r w:rsidR="000D23BB">
        <w:t xml:space="preserve"> Due to lack of data, </w:t>
      </w:r>
      <w:r w:rsidR="00962A15">
        <w:t>it remains</w:t>
      </w:r>
      <w:r w:rsidR="000D23BB">
        <w:t xml:space="preserve"> unknown whether </w:t>
      </w:r>
      <w:r w:rsidR="00962A15">
        <w:t>the threat status of North American salamanders is correlated with</w:t>
      </w:r>
      <w:r w:rsidR="000D23BB">
        <w:t xml:space="preserve"> clutch size. </w:t>
      </w:r>
      <w:r w:rsidR="00BA0224">
        <w:t>Previously clutch size</w:t>
      </w:r>
      <w:r w:rsidR="008B2C3E">
        <w:t xml:space="preserve"> </w:t>
      </w:r>
      <w:r w:rsidR="00BA0224">
        <w:t>has been able</w:t>
      </w:r>
      <w:r w:rsidR="008B2C3E">
        <w:t xml:space="preserve"> to </w:t>
      </w:r>
      <w:r w:rsidR="00BA0224">
        <w:t xml:space="preserve">explain variation in threat status </w:t>
      </w:r>
      <w:r w:rsidR="008B2C3E">
        <w:t xml:space="preserve">in </w:t>
      </w:r>
      <w:r w:rsidR="00FA22E0">
        <w:t>various</w:t>
      </w:r>
      <w:r w:rsidR="008B2C3E">
        <w:t xml:space="preserve"> taxa such as mammals (Cardillo</w:t>
      </w:r>
      <w:r w:rsidR="002010E5">
        <w:t>,</w:t>
      </w:r>
      <w:r w:rsidR="008B2C3E">
        <w:t xml:space="preserve"> 2003</w:t>
      </w:r>
      <w:r w:rsidR="009E427B">
        <w:t>; Purvis et al., 2000</w:t>
      </w:r>
      <w:r w:rsidR="008B2C3E">
        <w:t>)</w:t>
      </w:r>
      <w:r w:rsidR="00FA22E0">
        <w:t xml:space="preserve"> and</w:t>
      </w:r>
      <w:r w:rsidR="009E427B">
        <w:t xml:space="preserve"> frogs </w:t>
      </w:r>
      <w:r w:rsidR="00FA22E0">
        <w:t xml:space="preserve">(Williams &amp; Hero, 1998). </w:t>
      </w:r>
      <w:r w:rsidR="00BA0224">
        <w:t xml:space="preserve">Clutch size as a biological correlate of extinction risk </w:t>
      </w:r>
      <w:r w:rsidR="00FA22E0">
        <w:t xml:space="preserve">makes sense as species with low fecundity have a harder time recovering from population declines (Hero &amp; Morrison, 2012) and </w:t>
      </w:r>
      <w:r w:rsidR="000F7756">
        <w:t xml:space="preserve">recently </w:t>
      </w:r>
      <w:r w:rsidR="00FA22E0">
        <w:t xml:space="preserve">infectious diseases such as </w:t>
      </w:r>
      <w:r w:rsidR="00FA22E0" w:rsidRPr="00FA22E0">
        <w:rPr>
          <w:i/>
          <w:iCs/>
        </w:rPr>
        <w:t>Batrachochytrium salamandrivorans</w:t>
      </w:r>
      <w:r w:rsidR="00FA22E0">
        <w:t xml:space="preserve"> have caused great declines</w:t>
      </w:r>
      <w:r w:rsidR="000F7756">
        <w:t xml:space="preserve"> in European salamander populations (Stegen et al., 2017).</w:t>
      </w:r>
      <w:r w:rsidR="00A73380">
        <w:t xml:space="preserve">  Once again, clutch size has been shown to correlate with geographic range size (Hero et al., 2005), and studies have even concluded that clutch size only impacts extinction risk indirectly through range size (Cooper et al., 2008). </w:t>
      </w:r>
    </w:p>
    <w:p w14:paraId="374AED20" w14:textId="5A4D5731" w:rsidR="00431EDB" w:rsidRDefault="008A2D8D" w:rsidP="0036483F">
      <w:pPr>
        <w:spacing w:line="480" w:lineRule="auto"/>
      </w:pPr>
      <w:r>
        <w:tab/>
        <w:t>Although not a direct variable in my analyses, geographic range size likely pl</w:t>
      </w:r>
      <w:r w:rsidR="00A73380">
        <w:t xml:space="preserve">ays a role in all of the </w:t>
      </w:r>
      <w:r>
        <w:t>correlations</w:t>
      </w:r>
      <w:r w:rsidR="00A73380">
        <w:t xml:space="preserve"> I found</w:t>
      </w:r>
      <w:r>
        <w:t>. Many previous studies have found it to be the most successful correlate of extinction</w:t>
      </w:r>
      <w:r w:rsidR="001746E5">
        <w:t xml:space="preserve"> risk (Bohm et al., 2016; </w:t>
      </w:r>
      <w:r w:rsidR="008B2C3E">
        <w:t xml:space="preserve">Purvis et al., 2000; </w:t>
      </w:r>
      <w:r w:rsidR="001746E5">
        <w:t>Cooper et al., 2008;</w:t>
      </w:r>
      <w:r w:rsidR="006F1E5C">
        <w:t xml:space="preserve"> Jones et al., 2003</w:t>
      </w:r>
      <w:r w:rsidR="00BB5434">
        <w:t xml:space="preserve">; McKinney, 1997; Hero &amp; Morrison, 2012). </w:t>
      </w:r>
      <w:r w:rsidR="006F1E5C">
        <w:t>Additionally it has been found to posit</w:t>
      </w:r>
      <w:r w:rsidR="00BA0224">
        <w:t>ively correlate with body size</w:t>
      </w:r>
      <w:r w:rsidR="009A1302">
        <w:t xml:space="preserve"> and </w:t>
      </w:r>
      <w:r w:rsidR="006F1E5C">
        <w:t>clutch size and negatively correlate with elevation (Hero &amp; Morrison, 2012).</w:t>
      </w:r>
      <w:r w:rsidR="00BB5434">
        <w:t xml:space="preserve"> </w:t>
      </w:r>
      <w:r w:rsidR="00A73380">
        <w:t xml:space="preserve">So further research is needed to tease apart </w:t>
      </w:r>
      <w:r w:rsidR="002925D3">
        <w:t>geographic range size influences from the habitat breadth, minimum elevation, and clutch size extinction risk correlations.</w:t>
      </w:r>
      <w:r w:rsidR="00BB5434">
        <w:t xml:space="preserve"> </w:t>
      </w:r>
      <w:r>
        <w:t xml:space="preserve">Geographic range size is also a </w:t>
      </w:r>
      <w:r w:rsidR="000D23BB">
        <w:t>criteria for critically endangered, endangered, and vulnerable threat status designations (IUCN, 2016), so this introduces the potential for circularity in my data analysis.</w:t>
      </w:r>
      <w:r w:rsidR="002925D3">
        <w:t xml:space="preserve"> In future analyses, if the dataset is large enough, removing threatened species listed due to the small range size designations could avoid this circularity.</w:t>
      </w:r>
    </w:p>
    <w:p w14:paraId="039E10B3" w14:textId="4440536D" w:rsidR="004E2F95" w:rsidRDefault="00431EDB" w:rsidP="00AF177A">
      <w:pPr>
        <w:spacing w:line="480" w:lineRule="auto"/>
      </w:pPr>
      <w:r>
        <w:tab/>
      </w:r>
      <w:r w:rsidR="00BB5434">
        <w:t xml:space="preserve">Future research could also benefit from larger sample sizes.  A large limiting factor in my research was data availability and quality.  More data needs to be collected on amphibians, especially salamanders. Current available data is concentrated in certain geographic areas such as North America, and of the available data a large portion of it is for least concern species. Less data is available for rare species. </w:t>
      </w:r>
      <w:r w:rsidR="00DF3312">
        <w:t xml:space="preserve">Once more data is available it makes it easier to perform phylogenetically independent analyses to avoid pseudoreplication. </w:t>
      </w:r>
      <w:r w:rsidR="009A1302">
        <w:t>F</w:t>
      </w:r>
      <w:r w:rsidR="00DF3312">
        <w:t xml:space="preserve">uture research </w:t>
      </w:r>
      <w:r w:rsidR="009A1302">
        <w:t>could also benefit from further subdividing</w:t>
      </w:r>
      <w:r w:rsidR="00DF3312">
        <w:t xml:space="preserve"> the species by threat type before performing these analyses, as many sources have suggested that certain correlates are threat-specific (Bohm et al.</w:t>
      </w:r>
      <w:r w:rsidR="005D3B4B">
        <w:t>,</w:t>
      </w:r>
      <w:r w:rsidR="00DF3312">
        <w:t xml:space="preserve"> 2016). But regardless, these results do provide valuable information that could improve ta</w:t>
      </w:r>
      <w:r w:rsidR="00AF177A">
        <w:t xml:space="preserve">rgeted conservation practices. </w:t>
      </w:r>
      <w:r w:rsidR="00D315D9">
        <w:t>My</w:t>
      </w:r>
      <w:r w:rsidR="00F44268">
        <w:t xml:space="preserve"> results </w:t>
      </w:r>
      <w:r w:rsidR="005D3B4B">
        <w:t>indicate</w:t>
      </w:r>
      <w:r w:rsidR="00F44268">
        <w:t xml:space="preserve"> that</w:t>
      </w:r>
      <w:r w:rsidR="005D3B4B">
        <w:t xml:space="preserve"> it could be beneficial for conservation efforts to focus on protecting areas containing</w:t>
      </w:r>
      <w:r w:rsidR="00D315D9">
        <w:t xml:space="preserve"> North American</w:t>
      </w:r>
      <w:r w:rsidR="005D3B4B">
        <w:t xml:space="preserve"> </w:t>
      </w:r>
      <w:r w:rsidR="00D315D9">
        <w:t>frog</w:t>
      </w:r>
      <w:r w:rsidR="005D3B4B">
        <w:t xml:space="preserve"> species with low habitat breadths and high minimum elevations</w:t>
      </w:r>
      <w:r w:rsidR="00D315D9">
        <w:t xml:space="preserve">, European frogs with high minimum elevations and European salamanders with small clutch sizes.  </w:t>
      </w:r>
      <w:r w:rsidR="005D3B4B">
        <w:t xml:space="preserve">Further research will only improve upon these assessments. </w:t>
      </w:r>
    </w:p>
    <w:p w14:paraId="72CD66C5" w14:textId="77777777" w:rsidR="00AF177A" w:rsidRDefault="00AF177A" w:rsidP="00AF177A">
      <w:pPr>
        <w:spacing w:line="480" w:lineRule="auto"/>
      </w:pPr>
    </w:p>
    <w:p w14:paraId="68F91B92" w14:textId="77777777" w:rsidR="00F36F02" w:rsidRPr="00C45FD1" w:rsidRDefault="00F36F02" w:rsidP="00AF177A">
      <w:pPr>
        <w:spacing w:line="480" w:lineRule="auto"/>
      </w:pPr>
    </w:p>
    <w:p w14:paraId="22C5F193" w14:textId="1ED15332" w:rsidR="0036483F" w:rsidRDefault="0036483F" w:rsidP="0036483F">
      <w:pPr>
        <w:spacing w:line="480" w:lineRule="auto"/>
        <w:rPr>
          <w:b/>
        </w:rPr>
      </w:pPr>
      <w:r>
        <w:rPr>
          <w:b/>
        </w:rPr>
        <w:t>REFERENCES</w:t>
      </w:r>
    </w:p>
    <w:p w14:paraId="07725648" w14:textId="32A22510" w:rsidR="00CC3CB9" w:rsidRDefault="00CC3CB9" w:rsidP="00CC3CB9">
      <w:r>
        <w:t>AmphibiaWeb</w:t>
      </w:r>
      <w:r w:rsidRPr="00CC3CB9">
        <w:t xml:space="preserve"> </w:t>
      </w:r>
      <w:r>
        <w:t>(</w:t>
      </w:r>
      <w:r w:rsidRPr="00CC3CB9">
        <w:t>2017</w:t>
      </w:r>
      <w:r>
        <w:t xml:space="preserve">). Retrieved from </w:t>
      </w:r>
      <w:r w:rsidRPr="00CC3CB9">
        <w:t>http://amphibiaweb.org</w:t>
      </w:r>
      <w:r>
        <w:t>.</w:t>
      </w:r>
      <w:r w:rsidRPr="00CC3CB9">
        <w:t xml:space="preserve"> University of California, Berkeley, CA, USA. </w:t>
      </w:r>
    </w:p>
    <w:p w14:paraId="1174B59A" w14:textId="77777777" w:rsidR="00CC3CB9" w:rsidRDefault="00CC3CB9" w:rsidP="00CC3CB9"/>
    <w:p w14:paraId="5F42D504" w14:textId="65B4E1E5" w:rsidR="00316EA9" w:rsidRPr="00316EA9" w:rsidRDefault="00316EA9" w:rsidP="00316EA9">
      <w:r w:rsidRPr="00316EA9">
        <w:t>Böhm, M., Williams, R., Bramhall, H. R., McMillan, K. M., Davidson, A. D., Garcia, A., Bland, L. M., Bi</w:t>
      </w:r>
      <w:r>
        <w:t xml:space="preserve">elby, J., &amp; Collen, B. (2016). </w:t>
      </w:r>
      <w:r w:rsidRPr="00316EA9">
        <w:t xml:space="preserve">Correlates of extinction risk in squamate reptiles: the relative importance of biology, geography, threat and range size. </w:t>
      </w:r>
      <w:r w:rsidRPr="00316EA9">
        <w:rPr>
          <w:i/>
        </w:rPr>
        <w:t>Global Ecology and Biogeography</w:t>
      </w:r>
      <w:r w:rsidRPr="00316EA9">
        <w:t>, 25: 391–405. doi:10.1111/geb.12419</w:t>
      </w:r>
    </w:p>
    <w:p w14:paraId="140D4F46" w14:textId="77777777" w:rsidR="00316EA9" w:rsidRPr="00CC3CB9" w:rsidRDefault="00316EA9" w:rsidP="00CC3CB9"/>
    <w:p w14:paraId="3FEEA1EF" w14:textId="33607565" w:rsidR="00516495" w:rsidRPr="00516495" w:rsidRDefault="00516495" w:rsidP="00516495">
      <w:r w:rsidRPr="00516495">
        <w:t>Cardillo, M. (2003)</w:t>
      </w:r>
      <w:r>
        <w:t>.</w:t>
      </w:r>
      <w:r w:rsidRPr="00516495">
        <w:t> Biological determinants of extinction risk: why are smaller species less vulnerable. </w:t>
      </w:r>
      <w:r w:rsidRPr="00516495">
        <w:rPr>
          <w:i/>
          <w:iCs/>
        </w:rPr>
        <w:t>Animal Conservation</w:t>
      </w:r>
      <w:r w:rsidRPr="00516495">
        <w:t>, </w:t>
      </w:r>
      <w:r w:rsidRPr="00516495">
        <w:rPr>
          <w:bCs/>
        </w:rPr>
        <w:t>6</w:t>
      </w:r>
      <w:r w:rsidRPr="00516495">
        <w:t>, 63–69.</w:t>
      </w:r>
    </w:p>
    <w:p w14:paraId="19E8E0E3" w14:textId="77777777" w:rsidR="00516495" w:rsidRDefault="00516495" w:rsidP="00257894"/>
    <w:p w14:paraId="60A9B0B1" w14:textId="748E538A" w:rsidR="00257894" w:rsidRPr="00807995" w:rsidRDefault="00257894" w:rsidP="00257894">
      <w:r w:rsidRPr="007D36B8">
        <w:t>Collins, J. P.</w:t>
      </w:r>
      <w:r w:rsidR="0099778B">
        <w:t>,</w:t>
      </w:r>
      <w:r w:rsidRPr="007D36B8">
        <w:t xml:space="preserve"> </w:t>
      </w:r>
      <w:r w:rsidR="0099778B">
        <w:t>&amp;</w:t>
      </w:r>
      <w:r w:rsidR="00516495">
        <w:t xml:space="preserve"> Storfer, A. (2003).</w:t>
      </w:r>
      <w:r w:rsidRPr="007D36B8">
        <w:t xml:space="preserve"> Global amphibian declines: sorting the hypotheses. </w:t>
      </w:r>
      <w:r w:rsidRPr="0099778B">
        <w:rPr>
          <w:i/>
        </w:rPr>
        <w:t>Diversity and Distributions</w:t>
      </w:r>
      <w:r w:rsidRPr="00807995">
        <w:t>, 9: 89–98. doi:10.1046/j.1472-4642.2003.00012.x</w:t>
      </w:r>
    </w:p>
    <w:p w14:paraId="11F90C97" w14:textId="77777777" w:rsidR="00E62F7F" w:rsidRPr="00807995" w:rsidRDefault="00E62F7F" w:rsidP="008C1528"/>
    <w:p w14:paraId="1AF9C350" w14:textId="799A9CB6" w:rsidR="00807995" w:rsidRPr="00807995" w:rsidRDefault="00807995" w:rsidP="008C1528">
      <w:pPr>
        <w:rPr>
          <w:rFonts w:eastAsia="Times New Roman" w:cs="Times New Roman"/>
        </w:rPr>
      </w:pPr>
      <w:r w:rsidRPr="00807995">
        <w:rPr>
          <w:rFonts w:eastAsia="Times New Roman" w:cs="Arial"/>
          <w:color w:val="333333"/>
          <w:shd w:val="clear" w:color="auto" w:fill="FFFFFF"/>
        </w:rPr>
        <w:t>Cooper, N., Bielby, J., Thomas, G. H.</w:t>
      </w:r>
      <w:r w:rsidR="0099778B">
        <w:rPr>
          <w:rFonts w:eastAsia="Times New Roman" w:cs="Arial"/>
          <w:color w:val="333333"/>
          <w:shd w:val="clear" w:color="auto" w:fill="FFFFFF"/>
        </w:rPr>
        <w:t>,</w:t>
      </w:r>
      <w:r w:rsidRPr="00807995">
        <w:rPr>
          <w:rFonts w:eastAsia="Times New Roman" w:cs="Arial"/>
          <w:color w:val="333333"/>
          <w:shd w:val="clear" w:color="auto" w:fill="FFFFFF"/>
        </w:rPr>
        <w:t xml:space="preserve"> </w:t>
      </w:r>
      <w:r w:rsidR="0099778B">
        <w:rPr>
          <w:rFonts w:eastAsia="Times New Roman" w:cs="Arial"/>
          <w:color w:val="333333"/>
          <w:shd w:val="clear" w:color="auto" w:fill="FFFFFF"/>
        </w:rPr>
        <w:t>&amp;</w:t>
      </w:r>
      <w:r w:rsidR="00516495">
        <w:rPr>
          <w:rFonts w:eastAsia="Times New Roman" w:cs="Arial"/>
          <w:color w:val="333333"/>
          <w:shd w:val="clear" w:color="auto" w:fill="FFFFFF"/>
        </w:rPr>
        <w:t xml:space="preserve"> Purvis, A. (2008).</w:t>
      </w:r>
      <w:r w:rsidRPr="00807995">
        <w:rPr>
          <w:rFonts w:eastAsia="Times New Roman" w:cs="Arial"/>
          <w:color w:val="333333"/>
          <w:shd w:val="clear" w:color="auto" w:fill="FFFFFF"/>
        </w:rPr>
        <w:t xml:space="preserve"> Macroecology and extinction risk correlates of frogs. </w:t>
      </w:r>
      <w:r w:rsidRPr="0099778B">
        <w:rPr>
          <w:rFonts w:eastAsia="Times New Roman" w:cs="Arial"/>
          <w:i/>
          <w:color w:val="333333"/>
          <w:shd w:val="clear" w:color="auto" w:fill="FFFFFF"/>
        </w:rPr>
        <w:t>Global Ecology and Biogeography</w:t>
      </w:r>
      <w:r w:rsidRPr="00807995">
        <w:rPr>
          <w:rFonts w:eastAsia="Times New Roman" w:cs="Arial"/>
          <w:color w:val="333333"/>
          <w:shd w:val="clear" w:color="auto" w:fill="FFFFFF"/>
        </w:rPr>
        <w:t>, 17: 211–221. doi:10.1111/j.1466-8238.2007.00355.x</w:t>
      </w:r>
    </w:p>
    <w:p w14:paraId="4AB495D1" w14:textId="77777777" w:rsidR="0099778B" w:rsidRDefault="0099778B" w:rsidP="008C1528"/>
    <w:p w14:paraId="7D5B5650" w14:textId="16F2DA03" w:rsidR="009B3A9C" w:rsidRDefault="009B3A9C" w:rsidP="009B3A9C">
      <w:r w:rsidRPr="009B3A9C">
        <w:t>Davies, R.G., Orme, C.D.L., Olson, V., Thomas, G.H., Ross, S.G., Ding, T.-S., Rasmussen, P.C., Stattersfield, A.J., Bennett, P.M.,Blackburn, T.M., Owens, I.P.F.</w:t>
      </w:r>
      <w:r>
        <w:t>,</w:t>
      </w:r>
      <w:r w:rsidRPr="009B3A9C">
        <w:t> &amp; Gaston, K.J. (2006)</w:t>
      </w:r>
      <w:r>
        <w:t>.</w:t>
      </w:r>
      <w:r w:rsidRPr="009B3A9C">
        <w:t> Human impacts and the global distribution of extinction risk. </w:t>
      </w:r>
      <w:r w:rsidRPr="009B3A9C">
        <w:rPr>
          <w:i/>
          <w:iCs/>
        </w:rPr>
        <w:t>Proceedings of the Royal Society B: Biological Sciences</w:t>
      </w:r>
      <w:r w:rsidRPr="009B3A9C">
        <w:t>, </w:t>
      </w:r>
      <w:r w:rsidRPr="009B3A9C">
        <w:rPr>
          <w:bCs/>
        </w:rPr>
        <w:t>273</w:t>
      </w:r>
      <w:r w:rsidRPr="009B3A9C">
        <w:t>, 2127–2133.</w:t>
      </w:r>
    </w:p>
    <w:p w14:paraId="3E9974BC" w14:textId="77777777" w:rsidR="00776B64" w:rsidRPr="009B3A9C" w:rsidRDefault="00776B64" w:rsidP="009B3A9C"/>
    <w:p w14:paraId="64420367" w14:textId="12EA9026" w:rsidR="00776B64" w:rsidRPr="00776B64" w:rsidRDefault="00776B64" w:rsidP="00776B64">
      <w:r w:rsidRPr="00776B64">
        <w:t>Fritz, S.A., Bininda-Emonds, O.R.P.</w:t>
      </w:r>
      <w:r>
        <w:t>,</w:t>
      </w:r>
      <w:r w:rsidRPr="00776B64">
        <w:t> &amp; Purvis, A. (2009)</w:t>
      </w:r>
      <w:r>
        <w:t>.</w:t>
      </w:r>
      <w:r w:rsidRPr="00776B64">
        <w:t> Geographical variation in predictors of mammalian extinction risk: big is bad, but only in the tropics. </w:t>
      </w:r>
      <w:r w:rsidRPr="00776B64">
        <w:rPr>
          <w:i/>
          <w:iCs/>
        </w:rPr>
        <w:t>Ecology Letters</w:t>
      </w:r>
      <w:r w:rsidRPr="00776B64">
        <w:t>, </w:t>
      </w:r>
      <w:r w:rsidRPr="00776B64">
        <w:rPr>
          <w:bCs/>
        </w:rPr>
        <w:t>12</w:t>
      </w:r>
      <w:r w:rsidRPr="00776B64">
        <w:t>, 538–549.</w:t>
      </w:r>
    </w:p>
    <w:p w14:paraId="1A8CE4E4" w14:textId="77777777" w:rsidR="009B3A9C" w:rsidRDefault="009B3A9C" w:rsidP="008C1528"/>
    <w:p w14:paraId="7BCF0586" w14:textId="653B0636" w:rsidR="009C5691" w:rsidRPr="009C5691" w:rsidRDefault="009C5691" w:rsidP="009C5691">
      <w:r w:rsidRPr="009C5691">
        <w:t>Harvey, P.H.</w:t>
      </w:r>
      <w:r>
        <w:t>,</w:t>
      </w:r>
      <w:r w:rsidRPr="009C5691">
        <w:t> &amp; Pagel, M. (1991)</w:t>
      </w:r>
      <w:r>
        <w:t>.</w:t>
      </w:r>
      <w:r w:rsidRPr="009C5691">
        <w:t> </w:t>
      </w:r>
      <w:r w:rsidRPr="009C5691">
        <w:rPr>
          <w:i/>
          <w:iCs/>
        </w:rPr>
        <w:t>The comparative method in evolutionary biology</w:t>
      </w:r>
      <w:r w:rsidRPr="009C5691">
        <w:t>. Oxford University Press, Oxford.</w:t>
      </w:r>
    </w:p>
    <w:p w14:paraId="5D5CE7FA" w14:textId="77777777" w:rsidR="009C5691" w:rsidRDefault="009C5691" w:rsidP="008C1528"/>
    <w:p w14:paraId="573C7C37" w14:textId="688BBF50" w:rsidR="00DB703F" w:rsidRPr="00DB703F" w:rsidRDefault="00DB703F" w:rsidP="00DB703F">
      <w:r w:rsidRPr="00DB703F">
        <w:t>Hedges</w:t>
      </w:r>
      <w:r>
        <w:t>,</w:t>
      </w:r>
      <w:r w:rsidRPr="00DB703F">
        <w:t xml:space="preserve"> S</w:t>
      </w:r>
      <w:r>
        <w:t>.</w:t>
      </w:r>
      <w:r w:rsidRPr="00DB703F">
        <w:t>B</w:t>
      </w:r>
      <w:r>
        <w:t>.</w:t>
      </w:r>
      <w:r w:rsidRPr="00DB703F">
        <w:t>, Marin</w:t>
      </w:r>
      <w:r>
        <w:t>,</w:t>
      </w:r>
      <w:r w:rsidRPr="00DB703F">
        <w:t xml:space="preserve"> J</w:t>
      </w:r>
      <w:r>
        <w:t>.</w:t>
      </w:r>
      <w:r w:rsidRPr="00DB703F">
        <w:t>, Suleski</w:t>
      </w:r>
      <w:r>
        <w:t>,</w:t>
      </w:r>
      <w:r w:rsidRPr="00DB703F">
        <w:t xml:space="preserve"> M</w:t>
      </w:r>
      <w:r>
        <w:t>.</w:t>
      </w:r>
      <w:r w:rsidRPr="00DB703F">
        <w:t>, Paymer</w:t>
      </w:r>
      <w:r>
        <w:t>,</w:t>
      </w:r>
      <w:r w:rsidRPr="00DB703F">
        <w:t xml:space="preserve"> M</w:t>
      </w:r>
      <w:r>
        <w:t>.,</w:t>
      </w:r>
      <w:r w:rsidRPr="00DB703F">
        <w:t xml:space="preserve"> &amp; Kumar</w:t>
      </w:r>
      <w:r>
        <w:t>,</w:t>
      </w:r>
      <w:r w:rsidRPr="00DB703F">
        <w:t xml:space="preserve"> S</w:t>
      </w:r>
      <w:r>
        <w:t>.</w:t>
      </w:r>
      <w:r w:rsidRPr="00DB703F">
        <w:t xml:space="preserve"> (2015)</w:t>
      </w:r>
      <w:r>
        <w:t>.</w:t>
      </w:r>
      <w:r w:rsidRPr="00DB703F">
        <w:t xml:space="preserve"> Tree of Life Reveals Clock-Like Speciation and Diversification. </w:t>
      </w:r>
      <w:r w:rsidRPr="00CC3CB9">
        <w:rPr>
          <w:i/>
        </w:rPr>
        <w:t>Molecular Biology</w:t>
      </w:r>
      <w:r w:rsidR="00CC3CB9" w:rsidRPr="00CC3CB9">
        <w:rPr>
          <w:i/>
        </w:rPr>
        <w:t xml:space="preserve"> and</w:t>
      </w:r>
      <w:r w:rsidRPr="00CC3CB9">
        <w:rPr>
          <w:i/>
        </w:rPr>
        <w:t xml:space="preserve"> Evol</w:t>
      </w:r>
      <w:r w:rsidR="00CC3CB9" w:rsidRPr="00CC3CB9">
        <w:rPr>
          <w:i/>
        </w:rPr>
        <w:t>ution</w:t>
      </w:r>
      <w:r w:rsidR="00CC3CB9">
        <w:t>, 32,</w:t>
      </w:r>
      <w:r w:rsidRPr="00DB703F">
        <w:t xml:space="preserve"> 835-845.</w:t>
      </w:r>
    </w:p>
    <w:p w14:paraId="683BB20E" w14:textId="77777777" w:rsidR="00DB703F" w:rsidRDefault="00DB703F" w:rsidP="008C1528"/>
    <w:p w14:paraId="610F8432" w14:textId="1D793E49" w:rsidR="0099778B" w:rsidRDefault="0099778B" w:rsidP="0099778B">
      <w:r>
        <w:t>Hero, J.M., &amp;</w:t>
      </w:r>
      <w:r w:rsidRPr="0099778B">
        <w:t xml:space="preserve"> Morrison, C. (2012). Life history correlates of extinction risk in amphibians. In H. Heatwole (Ed.),</w:t>
      </w:r>
      <w:r>
        <w:t xml:space="preserve"> </w:t>
      </w:r>
      <w:r w:rsidRPr="0099778B">
        <w:rPr>
          <w:i/>
          <w:iCs/>
        </w:rPr>
        <w:t>Amphibian Biology: Conservation and decline of amphibians: Ecological aspects, effect of humans, and management</w:t>
      </w:r>
      <w:r w:rsidRPr="0099778B">
        <w:t> (Vol. 10, pp. 3567–3576). Australia: Surrey Beatty and Sons.</w:t>
      </w:r>
    </w:p>
    <w:p w14:paraId="4F573768" w14:textId="77777777" w:rsidR="0099778B" w:rsidRDefault="0099778B" w:rsidP="0099778B"/>
    <w:p w14:paraId="430A626B" w14:textId="6388AE88" w:rsidR="0099778B" w:rsidRPr="0099778B" w:rsidRDefault="0099778B" w:rsidP="0099778B">
      <w:r w:rsidRPr="0099778B">
        <w:t>Hero, J.M., Williams, S.E.</w:t>
      </w:r>
      <w:r w:rsidR="009B3A9C">
        <w:t>,</w:t>
      </w:r>
      <w:r w:rsidRPr="0099778B">
        <w:t> &amp; Magnusson, W.E. (2005)</w:t>
      </w:r>
      <w:r w:rsidR="00516495">
        <w:t>.</w:t>
      </w:r>
      <w:r w:rsidRPr="0099778B">
        <w:t> Ecological traits of declining amphibians in upland areas of eastern Australia. </w:t>
      </w:r>
      <w:r w:rsidRPr="0099778B">
        <w:rPr>
          <w:i/>
          <w:iCs/>
        </w:rPr>
        <w:t>Journal of Zoology London</w:t>
      </w:r>
      <w:r w:rsidRPr="0099778B">
        <w:t>, </w:t>
      </w:r>
      <w:r w:rsidRPr="00516495">
        <w:rPr>
          <w:bCs/>
        </w:rPr>
        <w:t>267</w:t>
      </w:r>
      <w:r w:rsidRPr="0099778B">
        <w:t>, 221–232.</w:t>
      </w:r>
    </w:p>
    <w:p w14:paraId="75B5F73B" w14:textId="77777777" w:rsidR="0099778B" w:rsidRDefault="0099778B" w:rsidP="008C1528"/>
    <w:p w14:paraId="2252F380" w14:textId="4E05AE46" w:rsidR="008C1528" w:rsidRPr="008C1528" w:rsidRDefault="008C1528" w:rsidP="008C1528">
      <w:r w:rsidRPr="008C1528">
        <w:t xml:space="preserve">IUCN </w:t>
      </w:r>
      <w:r w:rsidR="00807995">
        <w:t>(</w:t>
      </w:r>
      <w:r w:rsidRPr="008C1528">
        <w:t>2016</w:t>
      </w:r>
      <w:r w:rsidR="00807995">
        <w:t>),</w:t>
      </w:r>
      <w:r w:rsidRPr="008C1528">
        <w:t> </w:t>
      </w:r>
      <w:r w:rsidRPr="008C1528">
        <w:rPr>
          <w:i/>
          <w:iCs/>
        </w:rPr>
        <w:t>The IUCN Red List of Threatened Species. Version 2016-3</w:t>
      </w:r>
      <w:r w:rsidR="00807995">
        <w:t xml:space="preserve">. Retrieved from </w:t>
      </w:r>
      <w:r w:rsidRPr="00807995">
        <w:t>http://www.iucnredlist.org</w:t>
      </w:r>
    </w:p>
    <w:p w14:paraId="2130EC7E" w14:textId="77777777" w:rsidR="007D36B8" w:rsidRDefault="007D36B8"/>
    <w:p w14:paraId="623DBD64" w14:textId="484CB300" w:rsidR="00316EA9" w:rsidRDefault="00316EA9" w:rsidP="00316EA9">
      <w:r>
        <w:t xml:space="preserve">Jones, K.E., Purvis, A., &amp; Gittleman, J.L. (2003). </w:t>
      </w:r>
      <w:r w:rsidRPr="00316EA9">
        <w:t>Biological Correlates of Extinction Risk in Bats</w:t>
      </w:r>
      <w:r>
        <w:t xml:space="preserve">. </w:t>
      </w:r>
      <w:r w:rsidRPr="00316EA9">
        <w:rPr>
          <w:i/>
          <w:iCs/>
        </w:rPr>
        <w:t>The American Naturalist</w:t>
      </w:r>
      <w:r>
        <w:rPr>
          <w:i/>
          <w:iCs/>
        </w:rPr>
        <w:t>,</w:t>
      </w:r>
      <w:r>
        <w:t xml:space="preserve"> 161(</w:t>
      </w:r>
      <w:r w:rsidRPr="00316EA9">
        <w:t>4</w:t>
      </w:r>
      <w:r>
        <w:t>),</w:t>
      </w:r>
      <w:r w:rsidRPr="00316EA9">
        <w:t xml:space="preserve"> 601-614</w:t>
      </w:r>
      <w:r>
        <w:t>.</w:t>
      </w:r>
    </w:p>
    <w:p w14:paraId="54B89575" w14:textId="77777777" w:rsidR="00180513" w:rsidRPr="00316EA9" w:rsidRDefault="00180513" w:rsidP="00316EA9"/>
    <w:p w14:paraId="595B93B8" w14:textId="6D4350D3" w:rsidR="00E777FC" w:rsidRPr="00E777FC" w:rsidRDefault="00E777FC" w:rsidP="00E777FC">
      <w:pPr>
        <w:rPr>
          <w:rFonts w:eastAsia="Times New Roman" w:cs="Times New Roman"/>
        </w:rPr>
      </w:pPr>
      <w:r>
        <w:rPr>
          <w:rFonts w:eastAsia="Times New Roman" w:cs="Arial"/>
          <w:color w:val="333333"/>
          <w:shd w:val="clear" w:color="auto" w:fill="FFFFFF"/>
        </w:rPr>
        <w:t>Koh, L.P., Sodhi, N.S., &amp; Brook, B.W. (2004).</w:t>
      </w:r>
      <w:r w:rsidRPr="00E777FC">
        <w:rPr>
          <w:rFonts w:eastAsia="Times New Roman" w:cs="Arial"/>
          <w:color w:val="333333"/>
          <w:shd w:val="clear" w:color="auto" w:fill="FFFFFF"/>
        </w:rPr>
        <w:t xml:space="preserve"> Ecological Correlates of Extinction Pro</w:t>
      </w:r>
      <w:r>
        <w:rPr>
          <w:rFonts w:eastAsia="Times New Roman" w:cs="Arial"/>
          <w:color w:val="333333"/>
          <w:shd w:val="clear" w:color="auto" w:fill="FFFFFF"/>
        </w:rPr>
        <w:t xml:space="preserve">neness in Tropical Butterflies. </w:t>
      </w:r>
      <w:r w:rsidRPr="00E777FC">
        <w:rPr>
          <w:rFonts w:eastAsia="Times New Roman" w:cs="Arial"/>
          <w:i/>
          <w:color w:val="333333"/>
          <w:shd w:val="clear" w:color="auto" w:fill="FFFFFF"/>
        </w:rPr>
        <w:t>Conservation Biology</w:t>
      </w:r>
      <w:r>
        <w:rPr>
          <w:rFonts w:eastAsia="Times New Roman" w:cs="Arial"/>
          <w:color w:val="333333"/>
          <w:shd w:val="clear" w:color="auto" w:fill="FFFFFF"/>
        </w:rPr>
        <w:t>, 18,</w:t>
      </w:r>
      <w:r w:rsidRPr="00E777FC">
        <w:rPr>
          <w:rFonts w:eastAsia="Times New Roman" w:cs="Arial"/>
          <w:color w:val="333333"/>
          <w:shd w:val="clear" w:color="auto" w:fill="FFFFFF"/>
        </w:rPr>
        <w:t xml:space="preserve"> 1571–1578. doi:10.1111/j.1523-1739.2004.00468.x</w:t>
      </w:r>
    </w:p>
    <w:p w14:paraId="5820E749" w14:textId="77777777" w:rsidR="00E777FC" w:rsidRDefault="00E777FC" w:rsidP="0099778B"/>
    <w:p w14:paraId="4BE329D6" w14:textId="148858AB" w:rsidR="0099778B" w:rsidRPr="0099778B" w:rsidRDefault="0099778B" w:rsidP="0099778B">
      <w:r w:rsidRPr="0099778B">
        <w:t>Lips, K.R., Reeve, J.D.</w:t>
      </w:r>
      <w:r w:rsidR="00642442">
        <w:t>,</w:t>
      </w:r>
      <w:r w:rsidRPr="0099778B">
        <w:t> &amp; Witters, L.R. (2003)</w:t>
      </w:r>
      <w:r w:rsidR="00516495">
        <w:t xml:space="preserve">. </w:t>
      </w:r>
      <w:r w:rsidRPr="0099778B">
        <w:t>Ecological traits predicting amphibian population declines in Central America. </w:t>
      </w:r>
      <w:r w:rsidRPr="0099778B">
        <w:rPr>
          <w:i/>
          <w:iCs/>
        </w:rPr>
        <w:t>Conservation Biology</w:t>
      </w:r>
      <w:r w:rsidRPr="0099778B">
        <w:t>, </w:t>
      </w:r>
      <w:r w:rsidRPr="00516495">
        <w:rPr>
          <w:bCs/>
        </w:rPr>
        <w:t>17</w:t>
      </w:r>
      <w:r w:rsidRPr="0099778B">
        <w:t>, 1078–1088.</w:t>
      </w:r>
    </w:p>
    <w:p w14:paraId="50144939" w14:textId="77777777" w:rsidR="007D36B8" w:rsidRDefault="007D36B8"/>
    <w:p w14:paraId="03119B9B" w14:textId="02CEB955" w:rsidR="009B3A9C" w:rsidRPr="009B3A9C" w:rsidRDefault="009B3A9C" w:rsidP="009B3A9C">
      <w:r w:rsidRPr="009B3A9C">
        <w:t>MacArthur, R.H.</w:t>
      </w:r>
      <w:r>
        <w:t>,</w:t>
      </w:r>
      <w:r w:rsidRPr="009B3A9C">
        <w:t> &amp; Wilson, E.O. (1967)</w:t>
      </w:r>
      <w:r>
        <w:t>.</w:t>
      </w:r>
      <w:r w:rsidRPr="009B3A9C">
        <w:t> </w:t>
      </w:r>
      <w:r w:rsidRPr="009B3A9C">
        <w:rPr>
          <w:i/>
          <w:iCs/>
        </w:rPr>
        <w:t>The theory of island biogeography</w:t>
      </w:r>
      <w:r w:rsidRPr="009B3A9C">
        <w:t>. Princeton University Press, Princeton, NJ.</w:t>
      </w:r>
    </w:p>
    <w:p w14:paraId="4E5C625C" w14:textId="77777777" w:rsidR="009B3A9C" w:rsidRDefault="009B3A9C" w:rsidP="00516495"/>
    <w:p w14:paraId="5D9A1DD1" w14:textId="4DBE5A22" w:rsidR="00516495" w:rsidRPr="00516495" w:rsidRDefault="00516495" w:rsidP="00516495">
      <w:r w:rsidRPr="00516495">
        <w:t>McKinney, M.L. (1997)</w:t>
      </w:r>
      <w:r>
        <w:t>.</w:t>
      </w:r>
      <w:r w:rsidRPr="00516495">
        <w:t> Extinction vulnerability and selectivity: combining ecological and paleontological views.</w:t>
      </w:r>
      <w:r>
        <w:t xml:space="preserve"> </w:t>
      </w:r>
      <w:r w:rsidRPr="00516495">
        <w:rPr>
          <w:i/>
          <w:iCs/>
        </w:rPr>
        <w:t>Annual Review of Ecology &amp; Systematics</w:t>
      </w:r>
      <w:r w:rsidRPr="00516495">
        <w:t>, </w:t>
      </w:r>
      <w:r w:rsidRPr="00516495">
        <w:rPr>
          <w:bCs/>
        </w:rPr>
        <w:t>28</w:t>
      </w:r>
      <w:r w:rsidRPr="00516495">
        <w:t>, 495–516.</w:t>
      </w:r>
    </w:p>
    <w:p w14:paraId="7077EEE0" w14:textId="77777777" w:rsidR="00516495" w:rsidRDefault="00516495"/>
    <w:p w14:paraId="43F88584" w14:textId="31FD7545" w:rsidR="00642442" w:rsidRPr="00642442" w:rsidRDefault="00642442" w:rsidP="00642442">
      <w:r w:rsidRPr="00642442">
        <w:t>Murray, B.R.</w:t>
      </w:r>
      <w:r w:rsidR="009B3A9C">
        <w:t>,</w:t>
      </w:r>
      <w:r w:rsidRPr="00642442">
        <w:t> &amp; Hose, G.C. (</w:t>
      </w:r>
      <w:r>
        <w:t>2005</w:t>
      </w:r>
      <w:r w:rsidRPr="00642442">
        <w:t>)</w:t>
      </w:r>
      <w:r w:rsidR="00516495">
        <w:t>.</w:t>
      </w:r>
      <w:r w:rsidRPr="00642442">
        <w:t> Life-history and ecological correlates of decline and extinction in the endemic Australian frog fauna. </w:t>
      </w:r>
      <w:r w:rsidRPr="00642442">
        <w:rPr>
          <w:i/>
          <w:iCs/>
        </w:rPr>
        <w:t>Austral Ecology</w:t>
      </w:r>
      <w:r w:rsidRPr="00642442">
        <w:t>, </w:t>
      </w:r>
      <w:r w:rsidRPr="00516495">
        <w:rPr>
          <w:bCs/>
        </w:rPr>
        <w:t>30</w:t>
      </w:r>
      <w:r w:rsidRPr="00642442">
        <w:t>, 564–571.</w:t>
      </w:r>
    </w:p>
    <w:p w14:paraId="1E88A6FB" w14:textId="77777777" w:rsidR="008C1528" w:rsidRDefault="008C1528"/>
    <w:p w14:paraId="02929CBF" w14:textId="197B1247" w:rsidR="009B3A9C" w:rsidRPr="009B3A9C" w:rsidRDefault="009B3A9C" w:rsidP="009B3A9C">
      <w:r w:rsidRPr="009B3A9C">
        <w:t>Owens, I.P.F.</w:t>
      </w:r>
      <w:r>
        <w:t>,</w:t>
      </w:r>
      <w:r w:rsidRPr="009B3A9C">
        <w:t> &amp; Bennett, P.M. (2000)</w:t>
      </w:r>
      <w:r>
        <w:t>.</w:t>
      </w:r>
      <w:r w:rsidRPr="009B3A9C">
        <w:t> Ecological basis of extinction risk in birds: Habitat loss versus human persecution and introduced predators. </w:t>
      </w:r>
      <w:r w:rsidRPr="009B3A9C">
        <w:rPr>
          <w:i/>
          <w:iCs/>
        </w:rPr>
        <w:t>Proceedings of the National Academy of Sciences USA</w:t>
      </w:r>
      <w:r w:rsidRPr="009B3A9C">
        <w:t>, </w:t>
      </w:r>
      <w:r w:rsidRPr="009B3A9C">
        <w:rPr>
          <w:bCs/>
        </w:rPr>
        <w:t>97</w:t>
      </w:r>
      <w:r w:rsidRPr="009B3A9C">
        <w:t>, 12144–12148.</w:t>
      </w:r>
    </w:p>
    <w:p w14:paraId="7A7F5F75" w14:textId="77777777" w:rsidR="009B3A9C" w:rsidRDefault="009B3A9C"/>
    <w:p w14:paraId="2D8A7D8D" w14:textId="370889D0" w:rsidR="00516495" w:rsidRPr="00516495" w:rsidRDefault="00516495" w:rsidP="00516495">
      <w:r w:rsidRPr="00516495">
        <w:t>Purvis, A., Gittleman, J.L., Cowlishaw, G.</w:t>
      </w:r>
      <w:r>
        <w:t>,</w:t>
      </w:r>
      <w:r w:rsidRPr="00516495">
        <w:t> &amp; Mace, G.M. (2000)</w:t>
      </w:r>
      <w:r>
        <w:t>.</w:t>
      </w:r>
      <w:r w:rsidRPr="00516495">
        <w:t> Predicting extinction risk in declining species.</w:t>
      </w:r>
      <w:r>
        <w:t xml:space="preserve"> </w:t>
      </w:r>
      <w:r w:rsidRPr="00516495">
        <w:rPr>
          <w:i/>
          <w:iCs/>
        </w:rPr>
        <w:t>Proceedings of the Royal Society B: Biological Sciences</w:t>
      </w:r>
      <w:r w:rsidRPr="00516495">
        <w:t>, </w:t>
      </w:r>
      <w:r w:rsidRPr="00516495">
        <w:rPr>
          <w:bCs/>
        </w:rPr>
        <w:t>267</w:t>
      </w:r>
      <w:r w:rsidRPr="00516495">
        <w:t>, 1947–1952.</w:t>
      </w:r>
    </w:p>
    <w:p w14:paraId="7B7A9B0F" w14:textId="77777777" w:rsidR="008C1528" w:rsidRDefault="008C1528"/>
    <w:p w14:paraId="08BE27AD" w14:textId="2D7160D9" w:rsidR="00AD1B6A" w:rsidRDefault="00AD1B6A" w:rsidP="00AD1B6A">
      <w:r w:rsidRPr="00AD1B6A">
        <w:t>Purvis, A., Cardillo, M., Grenyer, R.</w:t>
      </w:r>
      <w:r>
        <w:t>,</w:t>
      </w:r>
      <w:r w:rsidRPr="00AD1B6A">
        <w:t> &amp; Collen, B. (2005)</w:t>
      </w:r>
      <w:r>
        <w:t>.</w:t>
      </w:r>
      <w:r w:rsidRPr="00AD1B6A">
        <w:t> Correlates of extinction risk: phylogeny, biology, threat and scale. </w:t>
      </w:r>
      <w:r w:rsidRPr="00AD1B6A">
        <w:rPr>
          <w:i/>
          <w:iCs/>
        </w:rPr>
        <w:t>Phylogeny and conservation</w:t>
      </w:r>
      <w:r w:rsidRPr="00AD1B6A">
        <w:t> (ed. by A.Purvis, T.M.Brooks and J.L.Gittleman), pp. 295–316. Cambridge University Press, Cambridge.</w:t>
      </w:r>
    </w:p>
    <w:p w14:paraId="2CC776CF" w14:textId="77777777" w:rsidR="0069181C" w:rsidRPr="00E777FC" w:rsidRDefault="0069181C" w:rsidP="00AD1B6A"/>
    <w:p w14:paraId="3466D17F" w14:textId="77777777" w:rsidR="00E777FC" w:rsidRDefault="00E777FC" w:rsidP="00E777FC">
      <w:pPr>
        <w:rPr>
          <w:rFonts w:eastAsia="Times New Roman" w:cs="Arial"/>
          <w:color w:val="303030"/>
          <w:shd w:val="clear" w:color="auto" w:fill="FFFFFF"/>
        </w:rPr>
      </w:pPr>
      <w:r w:rsidRPr="00E777FC">
        <w:rPr>
          <w:rFonts w:eastAsia="Times New Roman" w:cs="Arial"/>
          <w:color w:val="303030"/>
          <w:shd w:val="clear" w:color="auto" w:fill="FFFFFF"/>
        </w:rPr>
        <w:t>Reynolds, J. D., Dulvy, N. K., Goodwin, N. B., &amp; Hutchings, J. A. (2005). Biology of extinction risk in marine fishes. </w:t>
      </w:r>
      <w:r w:rsidRPr="00E777FC">
        <w:rPr>
          <w:rFonts w:eastAsia="Times New Roman" w:cs="Arial"/>
          <w:i/>
          <w:iCs/>
          <w:color w:val="303030"/>
          <w:shd w:val="clear" w:color="auto" w:fill="FFFFFF"/>
        </w:rPr>
        <w:t>Proceedings of the Royal Society B: Biological Sciences</w:t>
      </w:r>
      <w:r w:rsidRPr="00E777FC">
        <w:rPr>
          <w:rFonts w:eastAsia="Times New Roman" w:cs="Arial"/>
          <w:color w:val="303030"/>
          <w:shd w:val="clear" w:color="auto" w:fill="FFFFFF"/>
        </w:rPr>
        <w:t>, </w:t>
      </w:r>
      <w:r w:rsidRPr="00E777FC">
        <w:rPr>
          <w:rFonts w:eastAsia="Times New Roman" w:cs="Arial"/>
          <w:i/>
          <w:iCs/>
          <w:color w:val="303030"/>
          <w:shd w:val="clear" w:color="auto" w:fill="FFFFFF"/>
        </w:rPr>
        <w:t>272</w:t>
      </w:r>
      <w:r w:rsidRPr="00E777FC">
        <w:rPr>
          <w:rFonts w:eastAsia="Times New Roman" w:cs="Arial"/>
          <w:color w:val="303030"/>
          <w:shd w:val="clear" w:color="auto" w:fill="FFFFFF"/>
        </w:rPr>
        <w:t>(1579), 2337–2344. http://doi.org/10.1098/rspb.2005.3281</w:t>
      </w:r>
    </w:p>
    <w:p w14:paraId="6833D594" w14:textId="77777777" w:rsidR="00A436F9" w:rsidRDefault="00A436F9" w:rsidP="00E777FC">
      <w:pPr>
        <w:rPr>
          <w:rFonts w:eastAsia="Times New Roman" w:cs="Times New Roman"/>
        </w:rPr>
      </w:pPr>
    </w:p>
    <w:p w14:paraId="2620EACF" w14:textId="77777777" w:rsidR="00E9092B" w:rsidRPr="00E9092B" w:rsidRDefault="00E9092B" w:rsidP="00E9092B">
      <w:pPr>
        <w:rPr>
          <w:rFonts w:eastAsia="Times New Roman" w:cs="Times New Roman"/>
        </w:rPr>
      </w:pPr>
      <w:r w:rsidRPr="00E9092B">
        <w:rPr>
          <w:rFonts w:eastAsia="Times New Roman" w:cs="Times New Roman"/>
        </w:rPr>
        <w:t>Van Rooij, P., Martel, A., Haesebrouck, F., &amp; Pasmans, F. (2015). Amphibian chytridiomycosis: a review with focus on fungus-host interactions. </w:t>
      </w:r>
      <w:r w:rsidRPr="00E9092B">
        <w:rPr>
          <w:rFonts w:eastAsia="Times New Roman" w:cs="Times New Roman"/>
          <w:i/>
          <w:iCs/>
        </w:rPr>
        <w:t>Veterinary Research</w:t>
      </w:r>
      <w:r w:rsidRPr="00E9092B">
        <w:rPr>
          <w:rFonts w:eastAsia="Times New Roman" w:cs="Times New Roman"/>
        </w:rPr>
        <w:t>, </w:t>
      </w:r>
      <w:r w:rsidRPr="00E9092B">
        <w:rPr>
          <w:rFonts w:eastAsia="Times New Roman" w:cs="Times New Roman"/>
          <w:iCs/>
        </w:rPr>
        <w:t>46</w:t>
      </w:r>
      <w:r w:rsidRPr="00E9092B">
        <w:rPr>
          <w:rFonts w:eastAsia="Times New Roman" w:cs="Times New Roman"/>
        </w:rPr>
        <w:t>, 137. http://doi.org/10.1186/s13567-015-0266-0</w:t>
      </w:r>
    </w:p>
    <w:p w14:paraId="1667D109" w14:textId="77777777" w:rsidR="00E9092B" w:rsidRPr="00E9092B" w:rsidRDefault="00E9092B" w:rsidP="00E777FC">
      <w:pPr>
        <w:rPr>
          <w:rFonts w:eastAsia="Times New Roman" w:cs="Times New Roman"/>
        </w:rPr>
      </w:pPr>
    </w:p>
    <w:p w14:paraId="18917A33" w14:textId="20E7B7D6" w:rsidR="00A436F9" w:rsidRPr="00A436F9" w:rsidRDefault="00A436F9" w:rsidP="00A436F9">
      <w:r w:rsidRPr="00A436F9">
        <w:t>Slayter, R.A., Hirst, M.</w:t>
      </w:r>
      <w:r>
        <w:t>,</w:t>
      </w:r>
      <w:r w:rsidRPr="00A436F9">
        <w:t> &amp; Sexton, J.P. (2013)</w:t>
      </w:r>
      <w:r>
        <w:t>.</w:t>
      </w:r>
      <w:r w:rsidRPr="00A436F9">
        <w:t> Niche breadth predicts geographical range size: a general ecological pattern. </w:t>
      </w:r>
      <w:r w:rsidRPr="00A436F9">
        <w:rPr>
          <w:i/>
          <w:iCs/>
        </w:rPr>
        <w:t>Ecology Letters</w:t>
      </w:r>
      <w:r w:rsidRPr="00A436F9">
        <w:t>, </w:t>
      </w:r>
      <w:r w:rsidRPr="00A436F9">
        <w:rPr>
          <w:bCs/>
        </w:rPr>
        <w:t>16</w:t>
      </w:r>
      <w:r w:rsidRPr="00A436F9">
        <w:t>, 1104–1114.</w:t>
      </w:r>
    </w:p>
    <w:p w14:paraId="132B7A8D" w14:textId="77777777" w:rsidR="000F7756" w:rsidRDefault="000F7756" w:rsidP="000F7756">
      <w:pPr>
        <w:rPr>
          <w:i/>
          <w:iCs/>
        </w:rPr>
      </w:pPr>
    </w:p>
    <w:p w14:paraId="0609352A" w14:textId="77777777" w:rsidR="000F7756" w:rsidRPr="000F7756" w:rsidRDefault="000F7756" w:rsidP="000F7756">
      <w:pPr>
        <w:rPr>
          <w:iCs/>
        </w:rPr>
      </w:pPr>
      <w:r>
        <w:rPr>
          <w:iCs/>
        </w:rPr>
        <w:t xml:space="preserve">Stegen, G., Pasmans, F., Schmidt, B.R., Rouffaer, L.O., Praet, S.V., Schaub, M., Canessa, S., Laudelout, A., Kinet, T., Adriaensen, C., Haesebrouck, F., Bert, W., Bossuyt, F., &amp; Martel, A. (2017). </w:t>
      </w:r>
      <w:r w:rsidRPr="000F7756">
        <w:rPr>
          <w:iCs/>
        </w:rPr>
        <w:t>Drivers of salamander extirpation mediated by</w:t>
      </w:r>
      <w:r>
        <w:rPr>
          <w:iCs/>
        </w:rPr>
        <w:t xml:space="preserve"> </w:t>
      </w:r>
      <w:r w:rsidRPr="000F7756">
        <w:rPr>
          <w:i/>
          <w:iCs/>
        </w:rPr>
        <w:t>Batrachochytrium salamandrivorans</w:t>
      </w:r>
      <w:r>
        <w:rPr>
          <w:i/>
          <w:iCs/>
        </w:rPr>
        <w:t>.</w:t>
      </w:r>
      <w:r>
        <w:rPr>
          <w:iCs/>
        </w:rPr>
        <w:t xml:space="preserve"> </w:t>
      </w:r>
      <w:r w:rsidRPr="000F7756">
        <w:rPr>
          <w:i/>
          <w:iCs/>
        </w:rPr>
        <w:t>Nature</w:t>
      </w:r>
      <w:r>
        <w:rPr>
          <w:i/>
          <w:iCs/>
        </w:rPr>
        <w:t xml:space="preserve">, </w:t>
      </w:r>
      <w:r w:rsidRPr="000F7756">
        <w:rPr>
          <w:bCs/>
        </w:rPr>
        <w:t>544</w:t>
      </w:r>
      <w:r w:rsidRPr="000F7756">
        <w:t>,</w:t>
      </w:r>
      <w:r w:rsidRPr="000F7756">
        <w:rPr>
          <w:iCs/>
        </w:rPr>
        <w:t xml:space="preserve"> </w:t>
      </w:r>
      <w:r w:rsidRPr="000F7756">
        <w:t>353–356</w:t>
      </w:r>
      <w:r>
        <w:t>.</w:t>
      </w:r>
    </w:p>
    <w:p w14:paraId="4F9B4824" w14:textId="77777777" w:rsidR="000F7756" w:rsidRDefault="000F7756" w:rsidP="00AD1B6A"/>
    <w:p w14:paraId="2DD11BDD" w14:textId="7095C8D0" w:rsidR="00B136FE" w:rsidRDefault="00B136FE" w:rsidP="00AD1B6A">
      <w:r>
        <w:t xml:space="preserve">Stuart, S.N., Chanson, J.S., Cox, N.A., Young, B.E., Rodrigues, A.S.L., </w:t>
      </w:r>
      <w:r w:rsidR="00FE42A7">
        <w:t xml:space="preserve">Fischman, D.L., &amp; Waller, R.W. (2005). Status and Trends of Amphibian Declines and Extinctions Worldwide. </w:t>
      </w:r>
      <w:r w:rsidR="00FE42A7" w:rsidRPr="00FE42A7">
        <w:rPr>
          <w:i/>
        </w:rPr>
        <w:t>Science</w:t>
      </w:r>
      <w:r w:rsidR="00FE42A7">
        <w:rPr>
          <w:i/>
        </w:rPr>
        <w:t>,</w:t>
      </w:r>
      <w:r w:rsidR="00FE42A7" w:rsidRPr="00FE42A7">
        <w:t xml:space="preserve"> </w:t>
      </w:r>
      <w:r w:rsidR="00FE42A7">
        <w:t>306(5702), 1783-1786.</w:t>
      </w:r>
    </w:p>
    <w:p w14:paraId="4A26B032" w14:textId="77777777" w:rsidR="00B136FE" w:rsidRDefault="00B136FE" w:rsidP="00AD1B6A"/>
    <w:p w14:paraId="4C19C693" w14:textId="60720B1A" w:rsidR="00F957B2" w:rsidRDefault="00F957B2" w:rsidP="00AD1B6A">
      <w:r>
        <w:t xml:space="preserve">Tingley, R., Hitchmough, R.A., &amp; Chapple, D.G. (2013). Life-history traits and extrinsic threats determine extinction risk in New Zealand lizards. </w:t>
      </w:r>
      <w:r w:rsidRPr="002010E5">
        <w:rPr>
          <w:i/>
        </w:rPr>
        <w:t>Biological Conservation</w:t>
      </w:r>
      <w:r>
        <w:t>, 165, 62-68.</w:t>
      </w:r>
    </w:p>
    <w:p w14:paraId="13E3C847" w14:textId="77777777" w:rsidR="00F957B2" w:rsidRDefault="00F957B2" w:rsidP="00AD1B6A"/>
    <w:p w14:paraId="3875B747" w14:textId="4E86C2A0" w:rsidR="00D33992" w:rsidRPr="00D33992" w:rsidRDefault="00D33992" w:rsidP="00AD1B6A">
      <w:pPr>
        <w:rPr>
          <w:b/>
          <w:bCs/>
        </w:rPr>
      </w:pPr>
      <w:r>
        <w:t xml:space="preserve">Whittaker, K. &amp; Vredenburg, V. (2011). An overview of </w:t>
      </w:r>
      <w:r w:rsidRPr="00D33992">
        <w:rPr>
          <w:bCs/>
        </w:rPr>
        <w:t>Chytridiomycosis</w:t>
      </w:r>
      <w:r>
        <w:rPr>
          <w:bCs/>
        </w:rPr>
        <w:t xml:space="preserve">. Retrieved from: </w:t>
      </w:r>
      <w:r w:rsidRPr="00D33992">
        <w:rPr>
          <w:bCs/>
        </w:rPr>
        <w:t>http://www.amphibiaweb.org/chytrid/chytridiomycosis.html#typekill</w:t>
      </w:r>
      <w:r>
        <w:rPr>
          <w:bCs/>
        </w:rPr>
        <w:t xml:space="preserve">. </w:t>
      </w:r>
      <w:r w:rsidRPr="00D33992">
        <w:rPr>
          <w:bCs/>
        </w:rPr>
        <w:t>AmphibiaWeb</w:t>
      </w:r>
      <w:r>
        <w:rPr>
          <w:bCs/>
        </w:rPr>
        <w:t xml:space="preserve">. </w:t>
      </w:r>
      <w:r w:rsidRPr="00D33992">
        <w:rPr>
          <w:bCs/>
        </w:rPr>
        <w:t>University of California, Berkeley, CA, USA. Accessed 27 Apr 2017</w:t>
      </w:r>
    </w:p>
    <w:p w14:paraId="1704F2A4" w14:textId="77777777" w:rsidR="00D33992" w:rsidRDefault="00D33992" w:rsidP="00AD1B6A"/>
    <w:p w14:paraId="2ED27BDE" w14:textId="54C84588" w:rsidR="00A64EF8" w:rsidRDefault="00A64EF8" w:rsidP="00AD1B6A">
      <w:r>
        <w:t>Williams, S.E. &amp; Hero, J.M. (1998). Rainforest frogs of the Australian wet tropics; Guild classification an</w:t>
      </w:r>
      <w:r w:rsidR="00D33992">
        <w:t>d</w:t>
      </w:r>
      <w:r>
        <w:t xml:space="preserve"> the ecological similarity of declining species. </w:t>
      </w:r>
      <w:r w:rsidRPr="00A64EF8">
        <w:rPr>
          <w:i/>
        </w:rPr>
        <w:t>Proc. R.</w:t>
      </w:r>
      <w:r>
        <w:rPr>
          <w:i/>
        </w:rPr>
        <w:t xml:space="preserve"> S</w:t>
      </w:r>
      <w:r w:rsidRPr="00A64EF8">
        <w:rPr>
          <w:i/>
        </w:rPr>
        <w:t>oc. Lond</w:t>
      </w:r>
      <w:r>
        <w:t>, 265, 597-602.</w:t>
      </w:r>
    </w:p>
    <w:p w14:paraId="42889F29" w14:textId="77777777" w:rsidR="00D33992" w:rsidRDefault="00D33992" w:rsidP="00AD1B6A"/>
    <w:p w14:paraId="0E4EB885" w14:textId="748BF653" w:rsidR="00D33992" w:rsidRPr="00D33992" w:rsidRDefault="00D33992" w:rsidP="00AD1B6A">
      <w:pPr>
        <w:rPr>
          <w:b/>
          <w:bCs/>
        </w:rPr>
      </w:pPr>
      <w:r>
        <w:t xml:space="preserve">Yap, T. &amp; Koo, K. (2016). </w:t>
      </w:r>
      <w:r w:rsidRPr="00D33992">
        <w:rPr>
          <w:bCs/>
          <w:i/>
          <w:iCs/>
        </w:rPr>
        <w:t>Batrachochytrium salamandrivorans</w:t>
      </w:r>
      <w:r w:rsidRPr="00D33992">
        <w:rPr>
          <w:bCs/>
        </w:rPr>
        <w:t>: Deadly fungal threat to salamanders</w:t>
      </w:r>
      <w:r>
        <w:rPr>
          <w:bCs/>
        </w:rPr>
        <w:t xml:space="preserve">. Retrieved from: </w:t>
      </w:r>
      <w:r w:rsidRPr="00D33992">
        <w:rPr>
          <w:bCs/>
        </w:rPr>
        <w:t>http://www.amphibiaweb.org/chytrid/Bsal.html</w:t>
      </w:r>
      <w:r>
        <w:rPr>
          <w:bCs/>
        </w:rPr>
        <w:t xml:space="preserve">. </w:t>
      </w:r>
      <w:r w:rsidRPr="00D33992">
        <w:rPr>
          <w:bCs/>
        </w:rPr>
        <w:t>AmphibiaWeb</w:t>
      </w:r>
      <w:r>
        <w:rPr>
          <w:bCs/>
        </w:rPr>
        <w:t xml:space="preserve">. </w:t>
      </w:r>
      <w:r w:rsidRPr="00D33992">
        <w:rPr>
          <w:bCs/>
        </w:rPr>
        <w:t>University of California, Berkeley, CA, USA. Accessed 27 Apr 2017</w:t>
      </w:r>
    </w:p>
    <w:p w14:paraId="5BE6CC70" w14:textId="77777777" w:rsidR="00A64EF8" w:rsidRDefault="00A64EF8" w:rsidP="00AD1B6A"/>
    <w:p w14:paraId="1E777DAD" w14:textId="2FAE7A72" w:rsidR="0069181C" w:rsidRPr="0069181C" w:rsidRDefault="0069181C" w:rsidP="0069181C">
      <w:r w:rsidRPr="0069181C">
        <w:t>Yuan</w:t>
      </w:r>
      <w:r>
        <w:t xml:space="preserve">, Z.Y., </w:t>
      </w:r>
      <w:r w:rsidRPr="0069181C">
        <w:t>Zhou</w:t>
      </w:r>
      <w:r>
        <w:t xml:space="preserve">, W.W., </w:t>
      </w:r>
      <w:r w:rsidRPr="0069181C">
        <w:t>Chen</w:t>
      </w:r>
      <w:r>
        <w:t xml:space="preserve">, X., Poyarkov, N.A. Jr., </w:t>
      </w:r>
      <w:r w:rsidRPr="0069181C">
        <w:t>Chen</w:t>
      </w:r>
      <w:r>
        <w:t xml:space="preserve">, H.M., </w:t>
      </w:r>
      <w:r w:rsidRPr="0069181C">
        <w:t>Jang-Liaw</w:t>
      </w:r>
      <w:r>
        <w:t>, N.H.,</w:t>
      </w:r>
      <w:r w:rsidRPr="0069181C">
        <w:t xml:space="preserve"> Chou</w:t>
      </w:r>
      <w:r>
        <w:t xml:space="preserve">, W.H., </w:t>
      </w:r>
      <w:r w:rsidRPr="0069181C">
        <w:t>Matzke</w:t>
      </w:r>
      <w:r>
        <w:t xml:space="preserve">, N.J., </w:t>
      </w:r>
      <w:r w:rsidRPr="0069181C">
        <w:t>Iizuka</w:t>
      </w:r>
      <w:r>
        <w:t xml:space="preserve">, K., </w:t>
      </w:r>
      <w:r w:rsidRPr="0069181C">
        <w:t>Min</w:t>
      </w:r>
      <w:r>
        <w:t xml:space="preserve">, M.S., </w:t>
      </w:r>
      <w:r w:rsidRPr="0069181C">
        <w:t>Kuzmin</w:t>
      </w:r>
      <w:r>
        <w:t xml:space="preserve">, S.L., </w:t>
      </w:r>
      <w:r w:rsidRPr="0069181C">
        <w:t>Zhang</w:t>
      </w:r>
      <w:r>
        <w:t xml:space="preserve">, Y.P., </w:t>
      </w:r>
      <w:r w:rsidRPr="0069181C">
        <w:t>Cannatella</w:t>
      </w:r>
      <w:r>
        <w:t xml:space="preserve">, D.C., </w:t>
      </w:r>
      <w:r w:rsidRPr="0069181C">
        <w:t>Hillis</w:t>
      </w:r>
      <w:r>
        <w:t>, D.M.,</w:t>
      </w:r>
      <w:r w:rsidRPr="0069181C">
        <w:t xml:space="preserve"> Che</w:t>
      </w:r>
      <w:r>
        <w:t>, J. (2016).</w:t>
      </w:r>
      <w:r w:rsidRPr="0069181C">
        <w:t xml:space="preserve"> Spatiotemporal Diversification of the True Frogs (Genus </w:t>
      </w:r>
      <w:r w:rsidRPr="0069181C">
        <w:rPr>
          <w:i/>
          <w:iCs/>
        </w:rPr>
        <w:t>Rana</w:t>
      </w:r>
      <w:r w:rsidRPr="0069181C">
        <w:t>): A Historical Framework for a Widely St</w:t>
      </w:r>
      <w:r>
        <w:t xml:space="preserve">udied Group of Model Organisms. </w:t>
      </w:r>
      <w:r>
        <w:rPr>
          <w:i/>
          <w:iCs/>
        </w:rPr>
        <w:t>Systematic</w:t>
      </w:r>
      <w:r w:rsidRPr="0069181C">
        <w:rPr>
          <w:i/>
          <w:iCs/>
        </w:rPr>
        <w:t xml:space="preserve"> Biol</w:t>
      </w:r>
      <w:r>
        <w:rPr>
          <w:i/>
          <w:iCs/>
        </w:rPr>
        <w:t>ogy,</w:t>
      </w:r>
      <w:r w:rsidRPr="0069181C">
        <w:t> </w:t>
      </w:r>
      <w:r>
        <w:t xml:space="preserve">65(5), </w:t>
      </w:r>
      <w:r w:rsidRPr="0069181C">
        <w:t>824-842. doi: 10.1093/sysbio/syw055</w:t>
      </w:r>
    </w:p>
    <w:p w14:paraId="42BB8462" w14:textId="77777777" w:rsidR="00A64EF8" w:rsidRDefault="00A64EF8"/>
    <w:p w14:paraId="53690F1A" w14:textId="77777777" w:rsidR="000F7756" w:rsidRDefault="000F7756"/>
    <w:p w14:paraId="0075465F" w14:textId="77777777" w:rsidR="000F7756" w:rsidRDefault="000F7756"/>
    <w:sectPr w:rsidR="000F7756" w:rsidSect="005F699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BA6AF" w14:textId="77777777" w:rsidR="001F2A02" w:rsidRDefault="001F2A02" w:rsidP="00761B44">
      <w:r>
        <w:separator/>
      </w:r>
    </w:p>
  </w:endnote>
  <w:endnote w:type="continuationSeparator" w:id="0">
    <w:p w14:paraId="443F6EB5" w14:textId="77777777" w:rsidR="001F2A02" w:rsidRDefault="001F2A02" w:rsidP="0076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791B8" w14:textId="77777777" w:rsidR="001F2A02" w:rsidRDefault="001F2A02" w:rsidP="00761B44">
      <w:r>
        <w:separator/>
      </w:r>
    </w:p>
  </w:footnote>
  <w:footnote w:type="continuationSeparator" w:id="0">
    <w:p w14:paraId="1CAE340A" w14:textId="77777777" w:rsidR="001F2A02" w:rsidRDefault="001F2A02" w:rsidP="0076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C2F44" w14:textId="45B59512" w:rsidR="001F2A02" w:rsidRDefault="001F2A02" w:rsidP="00761B44">
    <w:pPr>
      <w:pStyle w:val="Header"/>
      <w:jc w:val="right"/>
    </w:pPr>
    <w:r>
      <w:rPr>
        <w:rStyle w:val="PageNumber"/>
      </w:rPr>
      <w:t xml:space="preserve">Wood </w:t>
    </w:r>
    <w:r>
      <w:rPr>
        <w:rStyle w:val="PageNumber"/>
      </w:rPr>
      <w:fldChar w:fldCharType="begin"/>
    </w:r>
    <w:r>
      <w:rPr>
        <w:rStyle w:val="PageNumber"/>
      </w:rPr>
      <w:instrText xml:space="preserve"> PAGE </w:instrText>
    </w:r>
    <w:r>
      <w:rPr>
        <w:rStyle w:val="PageNumber"/>
      </w:rPr>
      <w:fldChar w:fldCharType="separate"/>
    </w:r>
    <w:r w:rsidR="00D422DD">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47255"/>
    <w:multiLevelType w:val="hybridMultilevel"/>
    <w:tmpl w:val="ED4E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DD"/>
    <w:rsid w:val="00010287"/>
    <w:rsid w:val="000147D6"/>
    <w:rsid w:val="00022291"/>
    <w:rsid w:val="00032DE8"/>
    <w:rsid w:val="0004065C"/>
    <w:rsid w:val="00051A4A"/>
    <w:rsid w:val="000540C5"/>
    <w:rsid w:val="00054D03"/>
    <w:rsid w:val="00072C48"/>
    <w:rsid w:val="0007350F"/>
    <w:rsid w:val="00091F1E"/>
    <w:rsid w:val="000A1823"/>
    <w:rsid w:val="000A1F1D"/>
    <w:rsid w:val="000C5676"/>
    <w:rsid w:val="000D23BB"/>
    <w:rsid w:val="000F7756"/>
    <w:rsid w:val="00126FBD"/>
    <w:rsid w:val="00130B8A"/>
    <w:rsid w:val="00136924"/>
    <w:rsid w:val="001571F8"/>
    <w:rsid w:val="001746E5"/>
    <w:rsid w:val="00180513"/>
    <w:rsid w:val="00192A56"/>
    <w:rsid w:val="001A05F9"/>
    <w:rsid w:val="001A3E98"/>
    <w:rsid w:val="001A5993"/>
    <w:rsid w:val="001A7596"/>
    <w:rsid w:val="001F10CD"/>
    <w:rsid w:val="001F2A02"/>
    <w:rsid w:val="002010E5"/>
    <w:rsid w:val="002023AD"/>
    <w:rsid w:val="00212F96"/>
    <w:rsid w:val="0021739A"/>
    <w:rsid w:val="0022510E"/>
    <w:rsid w:val="00225904"/>
    <w:rsid w:val="00226B3A"/>
    <w:rsid w:val="002333BB"/>
    <w:rsid w:val="002333C6"/>
    <w:rsid w:val="002375CB"/>
    <w:rsid w:val="00257894"/>
    <w:rsid w:val="00263EBC"/>
    <w:rsid w:val="00265823"/>
    <w:rsid w:val="0027153C"/>
    <w:rsid w:val="002719BA"/>
    <w:rsid w:val="0027362A"/>
    <w:rsid w:val="002925D3"/>
    <w:rsid w:val="002929D7"/>
    <w:rsid w:val="00295283"/>
    <w:rsid w:val="002970D7"/>
    <w:rsid w:val="002A542E"/>
    <w:rsid w:val="002A7EC9"/>
    <w:rsid w:val="002B6067"/>
    <w:rsid w:val="002C2E5F"/>
    <w:rsid w:val="002D237F"/>
    <w:rsid w:val="002D2E72"/>
    <w:rsid w:val="002D71AA"/>
    <w:rsid w:val="002E2282"/>
    <w:rsid w:val="002E6C7F"/>
    <w:rsid w:val="002F5C46"/>
    <w:rsid w:val="002F77F1"/>
    <w:rsid w:val="00302ECF"/>
    <w:rsid w:val="003034F0"/>
    <w:rsid w:val="003131D6"/>
    <w:rsid w:val="00316EA9"/>
    <w:rsid w:val="00324716"/>
    <w:rsid w:val="00325ABE"/>
    <w:rsid w:val="0033280C"/>
    <w:rsid w:val="0036483F"/>
    <w:rsid w:val="00372D31"/>
    <w:rsid w:val="00381F28"/>
    <w:rsid w:val="00382B05"/>
    <w:rsid w:val="003C4D27"/>
    <w:rsid w:val="003D4F8B"/>
    <w:rsid w:val="003E67DF"/>
    <w:rsid w:val="00404CF5"/>
    <w:rsid w:val="004128E4"/>
    <w:rsid w:val="00430CD9"/>
    <w:rsid w:val="00431EDB"/>
    <w:rsid w:val="0043524B"/>
    <w:rsid w:val="004442B3"/>
    <w:rsid w:val="00447D84"/>
    <w:rsid w:val="00463499"/>
    <w:rsid w:val="0047048C"/>
    <w:rsid w:val="00484561"/>
    <w:rsid w:val="00484862"/>
    <w:rsid w:val="004919ED"/>
    <w:rsid w:val="004B29BE"/>
    <w:rsid w:val="004C212C"/>
    <w:rsid w:val="004D5094"/>
    <w:rsid w:val="004E2F95"/>
    <w:rsid w:val="004F397A"/>
    <w:rsid w:val="004F67B6"/>
    <w:rsid w:val="00504106"/>
    <w:rsid w:val="00506F6B"/>
    <w:rsid w:val="00510ED8"/>
    <w:rsid w:val="00516495"/>
    <w:rsid w:val="0053497D"/>
    <w:rsid w:val="005419ED"/>
    <w:rsid w:val="0054531D"/>
    <w:rsid w:val="00550745"/>
    <w:rsid w:val="00561E41"/>
    <w:rsid w:val="00573743"/>
    <w:rsid w:val="0058180C"/>
    <w:rsid w:val="005924A3"/>
    <w:rsid w:val="00597F95"/>
    <w:rsid w:val="005C1171"/>
    <w:rsid w:val="005C28F4"/>
    <w:rsid w:val="005C6EA6"/>
    <w:rsid w:val="005D3B4B"/>
    <w:rsid w:val="005E4841"/>
    <w:rsid w:val="005F699E"/>
    <w:rsid w:val="006119FB"/>
    <w:rsid w:val="00622A99"/>
    <w:rsid w:val="00623B48"/>
    <w:rsid w:val="00631507"/>
    <w:rsid w:val="0063581E"/>
    <w:rsid w:val="00642442"/>
    <w:rsid w:val="00651D8A"/>
    <w:rsid w:val="00671C1C"/>
    <w:rsid w:val="006849DA"/>
    <w:rsid w:val="0069181C"/>
    <w:rsid w:val="00692CC9"/>
    <w:rsid w:val="006A6324"/>
    <w:rsid w:val="006E58A8"/>
    <w:rsid w:val="006E650E"/>
    <w:rsid w:val="006F0811"/>
    <w:rsid w:val="006F1E5C"/>
    <w:rsid w:val="006F5E90"/>
    <w:rsid w:val="006F7423"/>
    <w:rsid w:val="00721B71"/>
    <w:rsid w:val="00725F5F"/>
    <w:rsid w:val="00735953"/>
    <w:rsid w:val="00761B44"/>
    <w:rsid w:val="00763B2D"/>
    <w:rsid w:val="00770E88"/>
    <w:rsid w:val="00776B64"/>
    <w:rsid w:val="00777948"/>
    <w:rsid w:val="007803F8"/>
    <w:rsid w:val="007A10AE"/>
    <w:rsid w:val="007A5554"/>
    <w:rsid w:val="007C3EA5"/>
    <w:rsid w:val="007C4692"/>
    <w:rsid w:val="007C4F47"/>
    <w:rsid w:val="007C7F12"/>
    <w:rsid w:val="007D36B8"/>
    <w:rsid w:val="00807995"/>
    <w:rsid w:val="00833949"/>
    <w:rsid w:val="00840F55"/>
    <w:rsid w:val="00855073"/>
    <w:rsid w:val="00864554"/>
    <w:rsid w:val="008A1FB3"/>
    <w:rsid w:val="008A2D8D"/>
    <w:rsid w:val="008B2C3E"/>
    <w:rsid w:val="008C1528"/>
    <w:rsid w:val="008C4ED4"/>
    <w:rsid w:val="008F597E"/>
    <w:rsid w:val="00923C31"/>
    <w:rsid w:val="0092552F"/>
    <w:rsid w:val="00933BF7"/>
    <w:rsid w:val="0095572B"/>
    <w:rsid w:val="00962A15"/>
    <w:rsid w:val="00965C3D"/>
    <w:rsid w:val="009953F5"/>
    <w:rsid w:val="0099629A"/>
    <w:rsid w:val="0099778B"/>
    <w:rsid w:val="009A1302"/>
    <w:rsid w:val="009A44DD"/>
    <w:rsid w:val="009A5143"/>
    <w:rsid w:val="009B3A9C"/>
    <w:rsid w:val="009C5691"/>
    <w:rsid w:val="009D6163"/>
    <w:rsid w:val="009E427B"/>
    <w:rsid w:val="00A203DE"/>
    <w:rsid w:val="00A25A0F"/>
    <w:rsid w:val="00A27A0A"/>
    <w:rsid w:val="00A436F9"/>
    <w:rsid w:val="00A607F4"/>
    <w:rsid w:val="00A60C41"/>
    <w:rsid w:val="00A64EF8"/>
    <w:rsid w:val="00A73380"/>
    <w:rsid w:val="00AB19D5"/>
    <w:rsid w:val="00AC2F9C"/>
    <w:rsid w:val="00AD1B6A"/>
    <w:rsid w:val="00AD32C6"/>
    <w:rsid w:val="00AE2FD6"/>
    <w:rsid w:val="00AF052E"/>
    <w:rsid w:val="00AF177A"/>
    <w:rsid w:val="00AF3535"/>
    <w:rsid w:val="00B004C7"/>
    <w:rsid w:val="00B136FE"/>
    <w:rsid w:val="00B146DE"/>
    <w:rsid w:val="00B25C8D"/>
    <w:rsid w:val="00B61800"/>
    <w:rsid w:val="00B76819"/>
    <w:rsid w:val="00B816D3"/>
    <w:rsid w:val="00B839F7"/>
    <w:rsid w:val="00BA0224"/>
    <w:rsid w:val="00BB5434"/>
    <w:rsid w:val="00BD15BC"/>
    <w:rsid w:val="00BD1A20"/>
    <w:rsid w:val="00BD220F"/>
    <w:rsid w:val="00BF06E7"/>
    <w:rsid w:val="00C01601"/>
    <w:rsid w:val="00C26BF0"/>
    <w:rsid w:val="00C349F5"/>
    <w:rsid w:val="00C45FD1"/>
    <w:rsid w:val="00CB706F"/>
    <w:rsid w:val="00CC1401"/>
    <w:rsid w:val="00CC30D9"/>
    <w:rsid w:val="00CC3CB9"/>
    <w:rsid w:val="00CE3BB9"/>
    <w:rsid w:val="00CE7D36"/>
    <w:rsid w:val="00CF189E"/>
    <w:rsid w:val="00D227D8"/>
    <w:rsid w:val="00D262DE"/>
    <w:rsid w:val="00D315D9"/>
    <w:rsid w:val="00D33992"/>
    <w:rsid w:val="00D34A24"/>
    <w:rsid w:val="00D422DD"/>
    <w:rsid w:val="00D6082C"/>
    <w:rsid w:val="00D63B6D"/>
    <w:rsid w:val="00D63DFB"/>
    <w:rsid w:val="00D661C8"/>
    <w:rsid w:val="00D701E0"/>
    <w:rsid w:val="00D706A6"/>
    <w:rsid w:val="00D71315"/>
    <w:rsid w:val="00D726E8"/>
    <w:rsid w:val="00D80D4B"/>
    <w:rsid w:val="00D84730"/>
    <w:rsid w:val="00D9522F"/>
    <w:rsid w:val="00DA5EF9"/>
    <w:rsid w:val="00DB703F"/>
    <w:rsid w:val="00DC635E"/>
    <w:rsid w:val="00DD0D0B"/>
    <w:rsid w:val="00DF0BC9"/>
    <w:rsid w:val="00DF3312"/>
    <w:rsid w:val="00E40299"/>
    <w:rsid w:val="00E43C0B"/>
    <w:rsid w:val="00E4683C"/>
    <w:rsid w:val="00E515D4"/>
    <w:rsid w:val="00E548A7"/>
    <w:rsid w:val="00E62316"/>
    <w:rsid w:val="00E62F7F"/>
    <w:rsid w:val="00E64291"/>
    <w:rsid w:val="00E71EE0"/>
    <w:rsid w:val="00E7623E"/>
    <w:rsid w:val="00E777FC"/>
    <w:rsid w:val="00E9092B"/>
    <w:rsid w:val="00EA0164"/>
    <w:rsid w:val="00EA27CA"/>
    <w:rsid w:val="00EB7289"/>
    <w:rsid w:val="00ED5166"/>
    <w:rsid w:val="00EF6E91"/>
    <w:rsid w:val="00F01291"/>
    <w:rsid w:val="00F21EAB"/>
    <w:rsid w:val="00F232A8"/>
    <w:rsid w:val="00F36F02"/>
    <w:rsid w:val="00F44268"/>
    <w:rsid w:val="00F61834"/>
    <w:rsid w:val="00F71CDE"/>
    <w:rsid w:val="00F85A03"/>
    <w:rsid w:val="00F86C98"/>
    <w:rsid w:val="00F957B2"/>
    <w:rsid w:val="00F97974"/>
    <w:rsid w:val="00FA22E0"/>
    <w:rsid w:val="00FB313C"/>
    <w:rsid w:val="00FC094F"/>
    <w:rsid w:val="00FC3A3C"/>
    <w:rsid w:val="00FC51DD"/>
    <w:rsid w:val="00FE42A7"/>
    <w:rsid w:val="00FF1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4F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339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3399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339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339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2892">
      <w:bodyDiv w:val="1"/>
      <w:marLeft w:val="0"/>
      <w:marRight w:val="0"/>
      <w:marTop w:val="0"/>
      <w:marBottom w:val="0"/>
      <w:divBdr>
        <w:top w:val="none" w:sz="0" w:space="0" w:color="auto"/>
        <w:left w:val="none" w:sz="0" w:space="0" w:color="auto"/>
        <w:bottom w:val="none" w:sz="0" w:space="0" w:color="auto"/>
        <w:right w:val="none" w:sz="0" w:space="0" w:color="auto"/>
      </w:divBdr>
    </w:div>
    <w:div w:id="36587774">
      <w:bodyDiv w:val="1"/>
      <w:marLeft w:val="0"/>
      <w:marRight w:val="0"/>
      <w:marTop w:val="0"/>
      <w:marBottom w:val="0"/>
      <w:divBdr>
        <w:top w:val="none" w:sz="0" w:space="0" w:color="auto"/>
        <w:left w:val="none" w:sz="0" w:space="0" w:color="auto"/>
        <w:bottom w:val="none" w:sz="0" w:space="0" w:color="auto"/>
        <w:right w:val="none" w:sz="0" w:space="0" w:color="auto"/>
      </w:divBdr>
    </w:div>
    <w:div w:id="45104540">
      <w:bodyDiv w:val="1"/>
      <w:marLeft w:val="0"/>
      <w:marRight w:val="0"/>
      <w:marTop w:val="0"/>
      <w:marBottom w:val="0"/>
      <w:divBdr>
        <w:top w:val="none" w:sz="0" w:space="0" w:color="auto"/>
        <w:left w:val="none" w:sz="0" w:space="0" w:color="auto"/>
        <w:bottom w:val="none" w:sz="0" w:space="0" w:color="auto"/>
        <w:right w:val="none" w:sz="0" w:space="0" w:color="auto"/>
      </w:divBdr>
    </w:div>
    <w:div w:id="56362930">
      <w:bodyDiv w:val="1"/>
      <w:marLeft w:val="0"/>
      <w:marRight w:val="0"/>
      <w:marTop w:val="0"/>
      <w:marBottom w:val="0"/>
      <w:divBdr>
        <w:top w:val="none" w:sz="0" w:space="0" w:color="auto"/>
        <w:left w:val="none" w:sz="0" w:space="0" w:color="auto"/>
        <w:bottom w:val="none" w:sz="0" w:space="0" w:color="auto"/>
        <w:right w:val="none" w:sz="0" w:space="0" w:color="auto"/>
      </w:divBdr>
    </w:div>
    <w:div w:id="57672871">
      <w:bodyDiv w:val="1"/>
      <w:marLeft w:val="0"/>
      <w:marRight w:val="0"/>
      <w:marTop w:val="0"/>
      <w:marBottom w:val="0"/>
      <w:divBdr>
        <w:top w:val="none" w:sz="0" w:space="0" w:color="auto"/>
        <w:left w:val="none" w:sz="0" w:space="0" w:color="auto"/>
        <w:bottom w:val="none" w:sz="0" w:space="0" w:color="auto"/>
        <w:right w:val="none" w:sz="0" w:space="0" w:color="auto"/>
      </w:divBdr>
    </w:div>
    <w:div w:id="58332385">
      <w:bodyDiv w:val="1"/>
      <w:marLeft w:val="0"/>
      <w:marRight w:val="0"/>
      <w:marTop w:val="0"/>
      <w:marBottom w:val="0"/>
      <w:divBdr>
        <w:top w:val="none" w:sz="0" w:space="0" w:color="auto"/>
        <w:left w:val="none" w:sz="0" w:space="0" w:color="auto"/>
        <w:bottom w:val="none" w:sz="0" w:space="0" w:color="auto"/>
        <w:right w:val="none" w:sz="0" w:space="0" w:color="auto"/>
      </w:divBdr>
    </w:div>
    <w:div w:id="70543644">
      <w:bodyDiv w:val="1"/>
      <w:marLeft w:val="0"/>
      <w:marRight w:val="0"/>
      <w:marTop w:val="0"/>
      <w:marBottom w:val="0"/>
      <w:divBdr>
        <w:top w:val="none" w:sz="0" w:space="0" w:color="auto"/>
        <w:left w:val="none" w:sz="0" w:space="0" w:color="auto"/>
        <w:bottom w:val="none" w:sz="0" w:space="0" w:color="auto"/>
        <w:right w:val="none" w:sz="0" w:space="0" w:color="auto"/>
      </w:divBdr>
    </w:div>
    <w:div w:id="117335257">
      <w:bodyDiv w:val="1"/>
      <w:marLeft w:val="0"/>
      <w:marRight w:val="0"/>
      <w:marTop w:val="0"/>
      <w:marBottom w:val="0"/>
      <w:divBdr>
        <w:top w:val="none" w:sz="0" w:space="0" w:color="auto"/>
        <w:left w:val="none" w:sz="0" w:space="0" w:color="auto"/>
        <w:bottom w:val="none" w:sz="0" w:space="0" w:color="auto"/>
        <w:right w:val="none" w:sz="0" w:space="0" w:color="auto"/>
      </w:divBdr>
    </w:div>
    <w:div w:id="131681359">
      <w:bodyDiv w:val="1"/>
      <w:marLeft w:val="0"/>
      <w:marRight w:val="0"/>
      <w:marTop w:val="0"/>
      <w:marBottom w:val="0"/>
      <w:divBdr>
        <w:top w:val="none" w:sz="0" w:space="0" w:color="auto"/>
        <w:left w:val="none" w:sz="0" w:space="0" w:color="auto"/>
        <w:bottom w:val="none" w:sz="0" w:space="0" w:color="auto"/>
        <w:right w:val="none" w:sz="0" w:space="0" w:color="auto"/>
      </w:divBdr>
    </w:div>
    <w:div w:id="141318092">
      <w:bodyDiv w:val="1"/>
      <w:marLeft w:val="0"/>
      <w:marRight w:val="0"/>
      <w:marTop w:val="0"/>
      <w:marBottom w:val="0"/>
      <w:divBdr>
        <w:top w:val="none" w:sz="0" w:space="0" w:color="auto"/>
        <w:left w:val="none" w:sz="0" w:space="0" w:color="auto"/>
        <w:bottom w:val="none" w:sz="0" w:space="0" w:color="auto"/>
        <w:right w:val="none" w:sz="0" w:space="0" w:color="auto"/>
      </w:divBdr>
    </w:div>
    <w:div w:id="151066617">
      <w:bodyDiv w:val="1"/>
      <w:marLeft w:val="0"/>
      <w:marRight w:val="0"/>
      <w:marTop w:val="0"/>
      <w:marBottom w:val="0"/>
      <w:divBdr>
        <w:top w:val="none" w:sz="0" w:space="0" w:color="auto"/>
        <w:left w:val="none" w:sz="0" w:space="0" w:color="auto"/>
        <w:bottom w:val="none" w:sz="0" w:space="0" w:color="auto"/>
        <w:right w:val="none" w:sz="0" w:space="0" w:color="auto"/>
      </w:divBdr>
    </w:div>
    <w:div w:id="161700865">
      <w:bodyDiv w:val="1"/>
      <w:marLeft w:val="0"/>
      <w:marRight w:val="0"/>
      <w:marTop w:val="0"/>
      <w:marBottom w:val="0"/>
      <w:divBdr>
        <w:top w:val="none" w:sz="0" w:space="0" w:color="auto"/>
        <w:left w:val="none" w:sz="0" w:space="0" w:color="auto"/>
        <w:bottom w:val="none" w:sz="0" w:space="0" w:color="auto"/>
        <w:right w:val="none" w:sz="0" w:space="0" w:color="auto"/>
      </w:divBdr>
    </w:div>
    <w:div w:id="274025697">
      <w:bodyDiv w:val="1"/>
      <w:marLeft w:val="0"/>
      <w:marRight w:val="0"/>
      <w:marTop w:val="0"/>
      <w:marBottom w:val="0"/>
      <w:divBdr>
        <w:top w:val="none" w:sz="0" w:space="0" w:color="auto"/>
        <w:left w:val="none" w:sz="0" w:space="0" w:color="auto"/>
        <w:bottom w:val="none" w:sz="0" w:space="0" w:color="auto"/>
        <w:right w:val="none" w:sz="0" w:space="0" w:color="auto"/>
      </w:divBdr>
      <w:divsChild>
        <w:div w:id="1151940640">
          <w:marLeft w:val="0"/>
          <w:marRight w:val="0"/>
          <w:marTop w:val="0"/>
          <w:marBottom w:val="0"/>
          <w:divBdr>
            <w:top w:val="none" w:sz="0" w:space="0" w:color="auto"/>
            <w:left w:val="none" w:sz="0" w:space="0" w:color="auto"/>
            <w:bottom w:val="none" w:sz="0" w:space="0" w:color="auto"/>
            <w:right w:val="none" w:sz="0" w:space="0" w:color="auto"/>
          </w:divBdr>
        </w:div>
        <w:div w:id="1188562941">
          <w:marLeft w:val="0"/>
          <w:marRight w:val="0"/>
          <w:marTop w:val="0"/>
          <w:marBottom w:val="0"/>
          <w:divBdr>
            <w:top w:val="none" w:sz="0" w:space="0" w:color="auto"/>
            <w:left w:val="none" w:sz="0" w:space="0" w:color="auto"/>
            <w:bottom w:val="none" w:sz="0" w:space="0" w:color="auto"/>
            <w:right w:val="none" w:sz="0" w:space="0" w:color="auto"/>
          </w:divBdr>
        </w:div>
        <w:div w:id="1833372334">
          <w:marLeft w:val="0"/>
          <w:marRight w:val="0"/>
          <w:marTop w:val="0"/>
          <w:marBottom w:val="0"/>
          <w:divBdr>
            <w:top w:val="none" w:sz="0" w:space="0" w:color="auto"/>
            <w:left w:val="none" w:sz="0" w:space="0" w:color="auto"/>
            <w:bottom w:val="none" w:sz="0" w:space="0" w:color="auto"/>
            <w:right w:val="none" w:sz="0" w:space="0" w:color="auto"/>
          </w:divBdr>
        </w:div>
        <w:div w:id="824055880">
          <w:marLeft w:val="0"/>
          <w:marRight w:val="0"/>
          <w:marTop w:val="0"/>
          <w:marBottom w:val="0"/>
          <w:divBdr>
            <w:top w:val="none" w:sz="0" w:space="0" w:color="auto"/>
            <w:left w:val="none" w:sz="0" w:space="0" w:color="auto"/>
            <w:bottom w:val="none" w:sz="0" w:space="0" w:color="auto"/>
            <w:right w:val="none" w:sz="0" w:space="0" w:color="auto"/>
          </w:divBdr>
        </w:div>
        <w:div w:id="9990855">
          <w:marLeft w:val="0"/>
          <w:marRight w:val="0"/>
          <w:marTop w:val="0"/>
          <w:marBottom w:val="0"/>
          <w:divBdr>
            <w:top w:val="none" w:sz="0" w:space="0" w:color="auto"/>
            <w:left w:val="none" w:sz="0" w:space="0" w:color="auto"/>
            <w:bottom w:val="none" w:sz="0" w:space="0" w:color="auto"/>
            <w:right w:val="none" w:sz="0" w:space="0" w:color="auto"/>
          </w:divBdr>
        </w:div>
        <w:div w:id="1488401429">
          <w:marLeft w:val="0"/>
          <w:marRight w:val="0"/>
          <w:marTop w:val="0"/>
          <w:marBottom w:val="0"/>
          <w:divBdr>
            <w:top w:val="none" w:sz="0" w:space="0" w:color="auto"/>
            <w:left w:val="none" w:sz="0" w:space="0" w:color="auto"/>
            <w:bottom w:val="none" w:sz="0" w:space="0" w:color="auto"/>
            <w:right w:val="none" w:sz="0" w:space="0" w:color="auto"/>
          </w:divBdr>
        </w:div>
      </w:divsChild>
    </w:div>
    <w:div w:id="283386391">
      <w:bodyDiv w:val="1"/>
      <w:marLeft w:val="0"/>
      <w:marRight w:val="0"/>
      <w:marTop w:val="0"/>
      <w:marBottom w:val="0"/>
      <w:divBdr>
        <w:top w:val="none" w:sz="0" w:space="0" w:color="auto"/>
        <w:left w:val="none" w:sz="0" w:space="0" w:color="auto"/>
        <w:bottom w:val="none" w:sz="0" w:space="0" w:color="auto"/>
        <w:right w:val="none" w:sz="0" w:space="0" w:color="auto"/>
      </w:divBdr>
    </w:div>
    <w:div w:id="285744783">
      <w:bodyDiv w:val="1"/>
      <w:marLeft w:val="0"/>
      <w:marRight w:val="0"/>
      <w:marTop w:val="0"/>
      <w:marBottom w:val="0"/>
      <w:divBdr>
        <w:top w:val="none" w:sz="0" w:space="0" w:color="auto"/>
        <w:left w:val="none" w:sz="0" w:space="0" w:color="auto"/>
        <w:bottom w:val="none" w:sz="0" w:space="0" w:color="auto"/>
        <w:right w:val="none" w:sz="0" w:space="0" w:color="auto"/>
      </w:divBdr>
    </w:div>
    <w:div w:id="293369483">
      <w:bodyDiv w:val="1"/>
      <w:marLeft w:val="0"/>
      <w:marRight w:val="0"/>
      <w:marTop w:val="0"/>
      <w:marBottom w:val="0"/>
      <w:divBdr>
        <w:top w:val="none" w:sz="0" w:space="0" w:color="auto"/>
        <w:left w:val="none" w:sz="0" w:space="0" w:color="auto"/>
        <w:bottom w:val="none" w:sz="0" w:space="0" w:color="auto"/>
        <w:right w:val="none" w:sz="0" w:space="0" w:color="auto"/>
      </w:divBdr>
    </w:div>
    <w:div w:id="322704708">
      <w:bodyDiv w:val="1"/>
      <w:marLeft w:val="0"/>
      <w:marRight w:val="0"/>
      <w:marTop w:val="0"/>
      <w:marBottom w:val="0"/>
      <w:divBdr>
        <w:top w:val="none" w:sz="0" w:space="0" w:color="auto"/>
        <w:left w:val="none" w:sz="0" w:space="0" w:color="auto"/>
        <w:bottom w:val="none" w:sz="0" w:space="0" w:color="auto"/>
        <w:right w:val="none" w:sz="0" w:space="0" w:color="auto"/>
      </w:divBdr>
    </w:div>
    <w:div w:id="342519289">
      <w:bodyDiv w:val="1"/>
      <w:marLeft w:val="0"/>
      <w:marRight w:val="0"/>
      <w:marTop w:val="0"/>
      <w:marBottom w:val="0"/>
      <w:divBdr>
        <w:top w:val="none" w:sz="0" w:space="0" w:color="auto"/>
        <w:left w:val="none" w:sz="0" w:space="0" w:color="auto"/>
        <w:bottom w:val="none" w:sz="0" w:space="0" w:color="auto"/>
        <w:right w:val="none" w:sz="0" w:space="0" w:color="auto"/>
      </w:divBdr>
    </w:div>
    <w:div w:id="357700241">
      <w:bodyDiv w:val="1"/>
      <w:marLeft w:val="0"/>
      <w:marRight w:val="0"/>
      <w:marTop w:val="0"/>
      <w:marBottom w:val="0"/>
      <w:divBdr>
        <w:top w:val="none" w:sz="0" w:space="0" w:color="auto"/>
        <w:left w:val="none" w:sz="0" w:space="0" w:color="auto"/>
        <w:bottom w:val="none" w:sz="0" w:space="0" w:color="auto"/>
        <w:right w:val="none" w:sz="0" w:space="0" w:color="auto"/>
      </w:divBdr>
    </w:div>
    <w:div w:id="379785724">
      <w:bodyDiv w:val="1"/>
      <w:marLeft w:val="0"/>
      <w:marRight w:val="0"/>
      <w:marTop w:val="0"/>
      <w:marBottom w:val="0"/>
      <w:divBdr>
        <w:top w:val="none" w:sz="0" w:space="0" w:color="auto"/>
        <w:left w:val="none" w:sz="0" w:space="0" w:color="auto"/>
        <w:bottom w:val="none" w:sz="0" w:space="0" w:color="auto"/>
        <w:right w:val="none" w:sz="0" w:space="0" w:color="auto"/>
      </w:divBdr>
    </w:div>
    <w:div w:id="418987534">
      <w:bodyDiv w:val="1"/>
      <w:marLeft w:val="0"/>
      <w:marRight w:val="0"/>
      <w:marTop w:val="0"/>
      <w:marBottom w:val="0"/>
      <w:divBdr>
        <w:top w:val="none" w:sz="0" w:space="0" w:color="auto"/>
        <w:left w:val="none" w:sz="0" w:space="0" w:color="auto"/>
        <w:bottom w:val="none" w:sz="0" w:space="0" w:color="auto"/>
        <w:right w:val="none" w:sz="0" w:space="0" w:color="auto"/>
      </w:divBdr>
    </w:div>
    <w:div w:id="424620416">
      <w:bodyDiv w:val="1"/>
      <w:marLeft w:val="0"/>
      <w:marRight w:val="0"/>
      <w:marTop w:val="0"/>
      <w:marBottom w:val="0"/>
      <w:divBdr>
        <w:top w:val="none" w:sz="0" w:space="0" w:color="auto"/>
        <w:left w:val="none" w:sz="0" w:space="0" w:color="auto"/>
        <w:bottom w:val="none" w:sz="0" w:space="0" w:color="auto"/>
        <w:right w:val="none" w:sz="0" w:space="0" w:color="auto"/>
      </w:divBdr>
    </w:div>
    <w:div w:id="426116360">
      <w:bodyDiv w:val="1"/>
      <w:marLeft w:val="0"/>
      <w:marRight w:val="0"/>
      <w:marTop w:val="0"/>
      <w:marBottom w:val="0"/>
      <w:divBdr>
        <w:top w:val="none" w:sz="0" w:space="0" w:color="auto"/>
        <w:left w:val="none" w:sz="0" w:space="0" w:color="auto"/>
        <w:bottom w:val="none" w:sz="0" w:space="0" w:color="auto"/>
        <w:right w:val="none" w:sz="0" w:space="0" w:color="auto"/>
      </w:divBdr>
    </w:div>
    <w:div w:id="443311887">
      <w:bodyDiv w:val="1"/>
      <w:marLeft w:val="0"/>
      <w:marRight w:val="0"/>
      <w:marTop w:val="0"/>
      <w:marBottom w:val="0"/>
      <w:divBdr>
        <w:top w:val="none" w:sz="0" w:space="0" w:color="auto"/>
        <w:left w:val="none" w:sz="0" w:space="0" w:color="auto"/>
        <w:bottom w:val="none" w:sz="0" w:space="0" w:color="auto"/>
        <w:right w:val="none" w:sz="0" w:space="0" w:color="auto"/>
      </w:divBdr>
    </w:div>
    <w:div w:id="489711737">
      <w:bodyDiv w:val="1"/>
      <w:marLeft w:val="0"/>
      <w:marRight w:val="0"/>
      <w:marTop w:val="0"/>
      <w:marBottom w:val="0"/>
      <w:divBdr>
        <w:top w:val="none" w:sz="0" w:space="0" w:color="auto"/>
        <w:left w:val="none" w:sz="0" w:space="0" w:color="auto"/>
        <w:bottom w:val="none" w:sz="0" w:space="0" w:color="auto"/>
        <w:right w:val="none" w:sz="0" w:space="0" w:color="auto"/>
      </w:divBdr>
    </w:div>
    <w:div w:id="542060212">
      <w:bodyDiv w:val="1"/>
      <w:marLeft w:val="0"/>
      <w:marRight w:val="0"/>
      <w:marTop w:val="0"/>
      <w:marBottom w:val="0"/>
      <w:divBdr>
        <w:top w:val="none" w:sz="0" w:space="0" w:color="auto"/>
        <w:left w:val="none" w:sz="0" w:space="0" w:color="auto"/>
        <w:bottom w:val="none" w:sz="0" w:space="0" w:color="auto"/>
        <w:right w:val="none" w:sz="0" w:space="0" w:color="auto"/>
      </w:divBdr>
    </w:div>
    <w:div w:id="627786321">
      <w:bodyDiv w:val="1"/>
      <w:marLeft w:val="0"/>
      <w:marRight w:val="0"/>
      <w:marTop w:val="0"/>
      <w:marBottom w:val="0"/>
      <w:divBdr>
        <w:top w:val="none" w:sz="0" w:space="0" w:color="auto"/>
        <w:left w:val="none" w:sz="0" w:space="0" w:color="auto"/>
        <w:bottom w:val="none" w:sz="0" w:space="0" w:color="auto"/>
        <w:right w:val="none" w:sz="0" w:space="0" w:color="auto"/>
      </w:divBdr>
    </w:div>
    <w:div w:id="643001497">
      <w:bodyDiv w:val="1"/>
      <w:marLeft w:val="0"/>
      <w:marRight w:val="0"/>
      <w:marTop w:val="0"/>
      <w:marBottom w:val="0"/>
      <w:divBdr>
        <w:top w:val="none" w:sz="0" w:space="0" w:color="auto"/>
        <w:left w:val="none" w:sz="0" w:space="0" w:color="auto"/>
        <w:bottom w:val="none" w:sz="0" w:space="0" w:color="auto"/>
        <w:right w:val="none" w:sz="0" w:space="0" w:color="auto"/>
      </w:divBdr>
    </w:div>
    <w:div w:id="661274384">
      <w:bodyDiv w:val="1"/>
      <w:marLeft w:val="0"/>
      <w:marRight w:val="0"/>
      <w:marTop w:val="0"/>
      <w:marBottom w:val="0"/>
      <w:divBdr>
        <w:top w:val="none" w:sz="0" w:space="0" w:color="auto"/>
        <w:left w:val="none" w:sz="0" w:space="0" w:color="auto"/>
        <w:bottom w:val="none" w:sz="0" w:space="0" w:color="auto"/>
        <w:right w:val="none" w:sz="0" w:space="0" w:color="auto"/>
      </w:divBdr>
    </w:div>
    <w:div w:id="691105385">
      <w:bodyDiv w:val="1"/>
      <w:marLeft w:val="0"/>
      <w:marRight w:val="0"/>
      <w:marTop w:val="0"/>
      <w:marBottom w:val="0"/>
      <w:divBdr>
        <w:top w:val="none" w:sz="0" w:space="0" w:color="auto"/>
        <w:left w:val="none" w:sz="0" w:space="0" w:color="auto"/>
        <w:bottom w:val="none" w:sz="0" w:space="0" w:color="auto"/>
        <w:right w:val="none" w:sz="0" w:space="0" w:color="auto"/>
      </w:divBdr>
    </w:div>
    <w:div w:id="702366780">
      <w:bodyDiv w:val="1"/>
      <w:marLeft w:val="0"/>
      <w:marRight w:val="0"/>
      <w:marTop w:val="0"/>
      <w:marBottom w:val="0"/>
      <w:divBdr>
        <w:top w:val="none" w:sz="0" w:space="0" w:color="auto"/>
        <w:left w:val="none" w:sz="0" w:space="0" w:color="auto"/>
        <w:bottom w:val="none" w:sz="0" w:space="0" w:color="auto"/>
        <w:right w:val="none" w:sz="0" w:space="0" w:color="auto"/>
      </w:divBdr>
    </w:div>
    <w:div w:id="731194319">
      <w:bodyDiv w:val="1"/>
      <w:marLeft w:val="0"/>
      <w:marRight w:val="0"/>
      <w:marTop w:val="0"/>
      <w:marBottom w:val="0"/>
      <w:divBdr>
        <w:top w:val="none" w:sz="0" w:space="0" w:color="auto"/>
        <w:left w:val="none" w:sz="0" w:space="0" w:color="auto"/>
        <w:bottom w:val="none" w:sz="0" w:space="0" w:color="auto"/>
        <w:right w:val="none" w:sz="0" w:space="0" w:color="auto"/>
      </w:divBdr>
    </w:div>
    <w:div w:id="797377188">
      <w:bodyDiv w:val="1"/>
      <w:marLeft w:val="0"/>
      <w:marRight w:val="0"/>
      <w:marTop w:val="0"/>
      <w:marBottom w:val="0"/>
      <w:divBdr>
        <w:top w:val="none" w:sz="0" w:space="0" w:color="auto"/>
        <w:left w:val="none" w:sz="0" w:space="0" w:color="auto"/>
        <w:bottom w:val="none" w:sz="0" w:space="0" w:color="auto"/>
        <w:right w:val="none" w:sz="0" w:space="0" w:color="auto"/>
      </w:divBdr>
    </w:div>
    <w:div w:id="859855805">
      <w:bodyDiv w:val="1"/>
      <w:marLeft w:val="0"/>
      <w:marRight w:val="0"/>
      <w:marTop w:val="0"/>
      <w:marBottom w:val="0"/>
      <w:divBdr>
        <w:top w:val="none" w:sz="0" w:space="0" w:color="auto"/>
        <w:left w:val="none" w:sz="0" w:space="0" w:color="auto"/>
        <w:bottom w:val="none" w:sz="0" w:space="0" w:color="auto"/>
        <w:right w:val="none" w:sz="0" w:space="0" w:color="auto"/>
      </w:divBdr>
    </w:div>
    <w:div w:id="860437557">
      <w:bodyDiv w:val="1"/>
      <w:marLeft w:val="0"/>
      <w:marRight w:val="0"/>
      <w:marTop w:val="0"/>
      <w:marBottom w:val="0"/>
      <w:divBdr>
        <w:top w:val="none" w:sz="0" w:space="0" w:color="auto"/>
        <w:left w:val="none" w:sz="0" w:space="0" w:color="auto"/>
        <w:bottom w:val="none" w:sz="0" w:space="0" w:color="auto"/>
        <w:right w:val="none" w:sz="0" w:space="0" w:color="auto"/>
      </w:divBdr>
    </w:div>
    <w:div w:id="875317123">
      <w:bodyDiv w:val="1"/>
      <w:marLeft w:val="0"/>
      <w:marRight w:val="0"/>
      <w:marTop w:val="0"/>
      <w:marBottom w:val="0"/>
      <w:divBdr>
        <w:top w:val="none" w:sz="0" w:space="0" w:color="auto"/>
        <w:left w:val="none" w:sz="0" w:space="0" w:color="auto"/>
        <w:bottom w:val="none" w:sz="0" w:space="0" w:color="auto"/>
        <w:right w:val="none" w:sz="0" w:space="0" w:color="auto"/>
      </w:divBdr>
    </w:div>
    <w:div w:id="884680004">
      <w:bodyDiv w:val="1"/>
      <w:marLeft w:val="0"/>
      <w:marRight w:val="0"/>
      <w:marTop w:val="0"/>
      <w:marBottom w:val="0"/>
      <w:divBdr>
        <w:top w:val="none" w:sz="0" w:space="0" w:color="auto"/>
        <w:left w:val="none" w:sz="0" w:space="0" w:color="auto"/>
        <w:bottom w:val="none" w:sz="0" w:space="0" w:color="auto"/>
        <w:right w:val="none" w:sz="0" w:space="0" w:color="auto"/>
      </w:divBdr>
    </w:div>
    <w:div w:id="894505098">
      <w:bodyDiv w:val="1"/>
      <w:marLeft w:val="0"/>
      <w:marRight w:val="0"/>
      <w:marTop w:val="0"/>
      <w:marBottom w:val="0"/>
      <w:divBdr>
        <w:top w:val="none" w:sz="0" w:space="0" w:color="auto"/>
        <w:left w:val="none" w:sz="0" w:space="0" w:color="auto"/>
        <w:bottom w:val="none" w:sz="0" w:space="0" w:color="auto"/>
        <w:right w:val="none" w:sz="0" w:space="0" w:color="auto"/>
      </w:divBdr>
    </w:div>
    <w:div w:id="969750294">
      <w:bodyDiv w:val="1"/>
      <w:marLeft w:val="0"/>
      <w:marRight w:val="0"/>
      <w:marTop w:val="0"/>
      <w:marBottom w:val="0"/>
      <w:divBdr>
        <w:top w:val="none" w:sz="0" w:space="0" w:color="auto"/>
        <w:left w:val="none" w:sz="0" w:space="0" w:color="auto"/>
        <w:bottom w:val="none" w:sz="0" w:space="0" w:color="auto"/>
        <w:right w:val="none" w:sz="0" w:space="0" w:color="auto"/>
      </w:divBdr>
    </w:div>
    <w:div w:id="969826040">
      <w:bodyDiv w:val="1"/>
      <w:marLeft w:val="0"/>
      <w:marRight w:val="0"/>
      <w:marTop w:val="0"/>
      <w:marBottom w:val="0"/>
      <w:divBdr>
        <w:top w:val="none" w:sz="0" w:space="0" w:color="auto"/>
        <w:left w:val="none" w:sz="0" w:space="0" w:color="auto"/>
        <w:bottom w:val="none" w:sz="0" w:space="0" w:color="auto"/>
        <w:right w:val="none" w:sz="0" w:space="0" w:color="auto"/>
      </w:divBdr>
    </w:div>
    <w:div w:id="978069592">
      <w:bodyDiv w:val="1"/>
      <w:marLeft w:val="0"/>
      <w:marRight w:val="0"/>
      <w:marTop w:val="0"/>
      <w:marBottom w:val="0"/>
      <w:divBdr>
        <w:top w:val="none" w:sz="0" w:space="0" w:color="auto"/>
        <w:left w:val="none" w:sz="0" w:space="0" w:color="auto"/>
        <w:bottom w:val="none" w:sz="0" w:space="0" w:color="auto"/>
        <w:right w:val="none" w:sz="0" w:space="0" w:color="auto"/>
      </w:divBdr>
    </w:div>
    <w:div w:id="982395938">
      <w:bodyDiv w:val="1"/>
      <w:marLeft w:val="0"/>
      <w:marRight w:val="0"/>
      <w:marTop w:val="0"/>
      <w:marBottom w:val="0"/>
      <w:divBdr>
        <w:top w:val="none" w:sz="0" w:space="0" w:color="auto"/>
        <w:left w:val="none" w:sz="0" w:space="0" w:color="auto"/>
        <w:bottom w:val="none" w:sz="0" w:space="0" w:color="auto"/>
        <w:right w:val="none" w:sz="0" w:space="0" w:color="auto"/>
      </w:divBdr>
    </w:div>
    <w:div w:id="994723681">
      <w:bodyDiv w:val="1"/>
      <w:marLeft w:val="0"/>
      <w:marRight w:val="0"/>
      <w:marTop w:val="0"/>
      <w:marBottom w:val="0"/>
      <w:divBdr>
        <w:top w:val="none" w:sz="0" w:space="0" w:color="auto"/>
        <w:left w:val="none" w:sz="0" w:space="0" w:color="auto"/>
        <w:bottom w:val="none" w:sz="0" w:space="0" w:color="auto"/>
        <w:right w:val="none" w:sz="0" w:space="0" w:color="auto"/>
      </w:divBdr>
    </w:div>
    <w:div w:id="1014923067">
      <w:bodyDiv w:val="1"/>
      <w:marLeft w:val="0"/>
      <w:marRight w:val="0"/>
      <w:marTop w:val="0"/>
      <w:marBottom w:val="0"/>
      <w:divBdr>
        <w:top w:val="none" w:sz="0" w:space="0" w:color="auto"/>
        <w:left w:val="none" w:sz="0" w:space="0" w:color="auto"/>
        <w:bottom w:val="none" w:sz="0" w:space="0" w:color="auto"/>
        <w:right w:val="none" w:sz="0" w:space="0" w:color="auto"/>
      </w:divBdr>
    </w:div>
    <w:div w:id="1071342328">
      <w:bodyDiv w:val="1"/>
      <w:marLeft w:val="0"/>
      <w:marRight w:val="0"/>
      <w:marTop w:val="0"/>
      <w:marBottom w:val="0"/>
      <w:divBdr>
        <w:top w:val="none" w:sz="0" w:space="0" w:color="auto"/>
        <w:left w:val="none" w:sz="0" w:space="0" w:color="auto"/>
        <w:bottom w:val="none" w:sz="0" w:space="0" w:color="auto"/>
        <w:right w:val="none" w:sz="0" w:space="0" w:color="auto"/>
      </w:divBdr>
    </w:div>
    <w:div w:id="1077436714">
      <w:bodyDiv w:val="1"/>
      <w:marLeft w:val="0"/>
      <w:marRight w:val="0"/>
      <w:marTop w:val="0"/>
      <w:marBottom w:val="0"/>
      <w:divBdr>
        <w:top w:val="none" w:sz="0" w:space="0" w:color="auto"/>
        <w:left w:val="none" w:sz="0" w:space="0" w:color="auto"/>
        <w:bottom w:val="none" w:sz="0" w:space="0" w:color="auto"/>
        <w:right w:val="none" w:sz="0" w:space="0" w:color="auto"/>
      </w:divBdr>
    </w:div>
    <w:div w:id="1085111002">
      <w:bodyDiv w:val="1"/>
      <w:marLeft w:val="0"/>
      <w:marRight w:val="0"/>
      <w:marTop w:val="0"/>
      <w:marBottom w:val="0"/>
      <w:divBdr>
        <w:top w:val="none" w:sz="0" w:space="0" w:color="auto"/>
        <w:left w:val="none" w:sz="0" w:space="0" w:color="auto"/>
        <w:bottom w:val="none" w:sz="0" w:space="0" w:color="auto"/>
        <w:right w:val="none" w:sz="0" w:space="0" w:color="auto"/>
      </w:divBdr>
    </w:div>
    <w:div w:id="1091051602">
      <w:bodyDiv w:val="1"/>
      <w:marLeft w:val="0"/>
      <w:marRight w:val="0"/>
      <w:marTop w:val="0"/>
      <w:marBottom w:val="0"/>
      <w:divBdr>
        <w:top w:val="none" w:sz="0" w:space="0" w:color="auto"/>
        <w:left w:val="none" w:sz="0" w:space="0" w:color="auto"/>
        <w:bottom w:val="none" w:sz="0" w:space="0" w:color="auto"/>
        <w:right w:val="none" w:sz="0" w:space="0" w:color="auto"/>
      </w:divBdr>
    </w:div>
    <w:div w:id="1095708182">
      <w:bodyDiv w:val="1"/>
      <w:marLeft w:val="0"/>
      <w:marRight w:val="0"/>
      <w:marTop w:val="0"/>
      <w:marBottom w:val="0"/>
      <w:divBdr>
        <w:top w:val="none" w:sz="0" w:space="0" w:color="auto"/>
        <w:left w:val="none" w:sz="0" w:space="0" w:color="auto"/>
        <w:bottom w:val="none" w:sz="0" w:space="0" w:color="auto"/>
        <w:right w:val="none" w:sz="0" w:space="0" w:color="auto"/>
      </w:divBdr>
    </w:div>
    <w:div w:id="1111047608">
      <w:bodyDiv w:val="1"/>
      <w:marLeft w:val="0"/>
      <w:marRight w:val="0"/>
      <w:marTop w:val="0"/>
      <w:marBottom w:val="0"/>
      <w:divBdr>
        <w:top w:val="none" w:sz="0" w:space="0" w:color="auto"/>
        <w:left w:val="none" w:sz="0" w:space="0" w:color="auto"/>
        <w:bottom w:val="none" w:sz="0" w:space="0" w:color="auto"/>
        <w:right w:val="none" w:sz="0" w:space="0" w:color="auto"/>
      </w:divBdr>
    </w:div>
    <w:div w:id="1112867299">
      <w:bodyDiv w:val="1"/>
      <w:marLeft w:val="0"/>
      <w:marRight w:val="0"/>
      <w:marTop w:val="0"/>
      <w:marBottom w:val="0"/>
      <w:divBdr>
        <w:top w:val="none" w:sz="0" w:space="0" w:color="auto"/>
        <w:left w:val="none" w:sz="0" w:space="0" w:color="auto"/>
        <w:bottom w:val="none" w:sz="0" w:space="0" w:color="auto"/>
        <w:right w:val="none" w:sz="0" w:space="0" w:color="auto"/>
      </w:divBdr>
    </w:div>
    <w:div w:id="1135178362">
      <w:bodyDiv w:val="1"/>
      <w:marLeft w:val="0"/>
      <w:marRight w:val="0"/>
      <w:marTop w:val="0"/>
      <w:marBottom w:val="0"/>
      <w:divBdr>
        <w:top w:val="none" w:sz="0" w:space="0" w:color="auto"/>
        <w:left w:val="none" w:sz="0" w:space="0" w:color="auto"/>
        <w:bottom w:val="none" w:sz="0" w:space="0" w:color="auto"/>
        <w:right w:val="none" w:sz="0" w:space="0" w:color="auto"/>
      </w:divBdr>
    </w:div>
    <w:div w:id="1144157247">
      <w:bodyDiv w:val="1"/>
      <w:marLeft w:val="0"/>
      <w:marRight w:val="0"/>
      <w:marTop w:val="0"/>
      <w:marBottom w:val="0"/>
      <w:divBdr>
        <w:top w:val="none" w:sz="0" w:space="0" w:color="auto"/>
        <w:left w:val="none" w:sz="0" w:space="0" w:color="auto"/>
        <w:bottom w:val="none" w:sz="0" w:space="0" w:color="auto"/>
        <w:right w:val="none" w:sz="0" w:space="0" w:color="auto"/>
      </w:divBdr>
    </w:div>
    <w:div w:id="1178619120">
      <w:bodyDiv w:val="1"/>
      <w:marLeft w:val="0"/>
      <w:marRight w:val="0"/>
      <w:marTop w:val="0"/>
      <w:marBottom w:val="0"/>
      <w:divBdr>
        <w:top w:val="none" w:sz="0" w:space="0" w:color="auto"/>
        <w:left w:val="none" w:sz="0" w:space="0" w:color="auto"/>
        <w:bottom w:val="none" w:sz="0" w:space="0" w:color="auto"/>
        <w:right w:val="none" w:sz="0" w:space="0" w:color="auto"/>
      </w:divBdr>
    </w:div>
    <w:div w:id="1181116344">
      <w:bodyDiv w:val="1"/>
      <w:marLeft w:val="0"/>
      <w:marRight w:val="0"/>
      <w:marTop w:val="0"/>
      <w:marBottom w:val="0"/>
      <w:divBdr>
        <w:top w:val="none" w:sz="0" w:space="0" w:color="auto"/>
        <w:left w:val="none" w:sz="0" w:space="0" w:color="auto"/>
        <w:bottom w:val="none" w:sz="0" w:space="0" w:color="auto"/>
        <w:right w:val="none" w:sz="0" w:space="0" w:color="auto"/>
      </w:divBdr>
      <w:divsChild>
        <w:div w:id="1493134934">
          <w:marLeft w:val="0"/>
          <w:marRight w:val="0"/>
          <w:marTop w:val="0"/>
          <w:marBottom w:val="0"/>
          <w:divBdr>
            <w:top w:val="none" w:sz="0" w:space="0" w:color="auto"/>
            <w:left w:val="none" w:sz="0" w:space="0" w:color="auto"/>
            <w:bottom w:val="none" w:sz="0" w:space="0" w:color="auto"/>
            <w:right w:val="none" w:sz="0" w:space="0" w:color="auto"/>
          </w:divBdr>
        </w:div>
        <w:div w:id="2050491283">
          <w:marLeft w:val="0"/>
          <w:marRight w:val="0"/>
          <w:marTop w:val="0"/>
          <w:marBottom w:val="0"/>
          <w:divBdr>
            <w:top w:val="none" w:sz="0" w:space="0" w:color="auto"/>
            <w:left w:val="none" w:sz="0" w:space="0" w:color="auto"/>
            <w:bottom w:val="none" w:sz="0" w:space="0" w:color="auto"/>
            <w:right w:val="none" w:sz="0" w:space="0" w:color="auto"/>
          </w:divBdr>
        </w:div>
        <w:div w:id="896548346">
          <w:marLeft w:val="0"/>
          <w:marRight w:val="0"/>
          <w:marTop w:val="0"/>
          <w:marBottom w:val="0"/>
          <w:divBdr>
            <w:top w:val="none" w:sz="0" w:space="0" w:color="auto"/>
            <w:left w:val="none" w:sz="0" w:space="0" w:color="auto"/>
            <w:bottom w:val="none" w:sz="0" w:space="0" w:color="auto"/>
            <w:right w:val="none" w:sz="0" w:space="0" w:color="auto"/>
          </w:divBdr>
        </w:div>
      </w:divsChild>
    </w:div>
    <w:div w:id="1184706185">
      <w:bodyDiv w:val="1"/>
      <w:marLeft w:val="0"/>
      <w:marRight w:val="0"/>
      <w:marTop w:val="0"/>
      <w:marBottom w:val="0"/>
      <w:divBdr>
        <w:top w:val="none" w:sz="0" w:space="0" w:color="auto"/>
        <w:left w:val="none" w:sz="0" w:space="0" w:color="auto"/>
        <w:bottom w:val="none" w:sz="0" w:space="0" w:color="auto"/>
        <w:right w:val="none" w:sz="0" w:space="0" w:color="auto"/>
      </w:divBdr>
    </w:div>
    <w:div w:id="1222986587">
      <w:bodyDiv w:val="1"/>
      <w:marLeft w:val="0"/>
      <w:marRight w:val="0"/>
      <w:marTop w:val="0"/>
      <w:marBottom w:val="0"/>
      <w:divBdr>
        <w:top w:val="none" w:sz="0" w:space="0" w:color="auto"/>
        <w:left w:val="none" w:sz="0" w:space="0" w:color="auto"/>
        <w:bottom w:val="none" w:sz="0" w:space="0" w:color="auto"/>
        <w:right w:val="none" w:sz="0" w:space="0" w:color="auto"/>
      </w:divBdr>
    </w:div>
    <w:div w:id="1229268168">
      <w:bodyDiv w:val="1"/>
      <w:marLeft w:val="0"/>
      <w:marRight w:val="0"/>
      <w:marTop w:val="0"/>
      <w:marBottom w:val="0"/>
      <w:divBdr>
        <w:top w:val="none" w:sz="0" w:space="0" w:color="auto"/>
        <w:left w:val="none" w:sz="0" w:space="0" w:color="auto"/>
        <w:bottom w:val="none" w:sz="0" w:space="0" w:color="auto"/>
        <w:right w:val="none" w:sz="0" w:space="0" w:color="auto"/>
      </w:divBdr>
    </w:div>
    <w:div w:id="1276598962">
      <w:bodyDiv w:val="1"/>
      <w:marLeft w:val="0"/>
      <w:marRight w:val="0"/>
      <w:marTop w:val="0"/>
      <w:marBottom w:val="0"/>
      <w:divBdr>
        <w:top w:val="none" w:sz="0" w:space="0" w:color="auto"/>
        <w:left w:val="none" w:sz="0" w:space="0" w:color="auto"/>
        <w:bottom w:val="none" w:sz="0" w:space="0" w:color="auto"/>
        <w:right w:val="none" w:sz="0" w:space="0" w:color="auto"/>
      </w:divBdr>
    </w:div>
    <w:div w:id="1286153488">
      <w:bodyDiv w:val="1"/>
      <w:marLeft w:val="0"/>
      <w:marRight w:val="0"/>
      <w:marTop w:val="0"/>
      <w:marBottom w:val="0"/>
      <w:divBdr>
        <w:top w:val="none" w:sz="0" w:space="0" w:color="auto"/>
        <w:left w:val="none" w:sz="0" w:space="0" w:color="auto"/>
        <w:bottom w:val="none" w:sz="0" w:space="0" w:color="auto"/>
        <w:right w:val="none" w:sz="0" w:space="0" w:color="auto"/>
      </w:divBdr>
    </w:div>
    <w:div w:id="1312055859">
      <w:bodyDiv w:val="1"/>
      <w:marLeft w:val="0"/>
      <w:marRight w:val="0"/>
      <w:marTop w:val="0"/>
      <w:marBottom w:val="0"/>
      <w:divBdr>
        <w:top w:val="none" w:sz="0" w:space="0" w:color="auto"/>
        <w:left w:val="none" w:sz="0" w:space="0" w:color="auto"/>
        <w:bottom w:val="none" w:sz="0" w:space="0" w:color="auto"/>
        <w:right w:val="none" w:sz="0" w:space="0" w:color="auto"/>
      </w:divBdr>
    </w:div>
    <w:div w:id="1400328592">
      <w:bodyDiv w:val="1"/>
      <w:marLeft w:val="0"/>
      <w:marRight w:val="0"/>
      <w:marTop w:val="0"/>
      <w:marBottom w:val="0"/>
      <w:divBdr>
        <w:top w:val="none" w:sz="0" w:space="0" w:color="auto"/>
        <w:left w:val="none" w:sz="0" w:space="0" w:color="auto"/>
        <w:bottom w:val="none" w:sz="0" w:space="0" w:color="auto"/>
        <w:right w:val="none" w:sz="0" w:space="0" w:color="auto"/>
      </w:divBdr>
    </w:div>
    <w:div w:id="1406731746">
      <w:bodyDiv w:val="1"/>
      <w:marLeft w:val="0"/>
      <w:marRight w:val="0"/>
      <w:marTop w:val="0"/>
      <w:marBottom w:val="0"/>
      <w:divBdr>
        <w:top w:val="none" w:sz="0" w:space="0" w:color="auto"/>
        <w:left w:val="none" w:sz="0" w:space="0" w:color="auto"/>
        <w:bottom w:val="none" w:sz="0" w:space="0" w:color="auto"/>
        <w:right w:val="none" w:sz="0" w:space="0" w:color="auto"/>
      </w:divBdr>
    </w:div>
    <w:div w:id="1431195223">
      <w:bodyDiv w:val="1"/>
      <w:marLeft w:val="0"/>
      <w:marRight w:val="0"/>
      <w:marTop w:val="0"/>
      <w:marBottom w:val="0"/>
      <w:divBdr>
        <w:top w:val="none" w:sz="0" w:space="0" w:color="auto"/>
        <w:left w:val="none" w:sz="0" w:space="0" w:color="auto"/>
        <w:bottom w:val="none" w:sz="0" w:space="0" w:color="auto"/>
        <w:right w:val="none" w:sz="0" w:space="0" w:color="auto"/>
      </w:divBdr>
    </w:div>
    <w:div w:id="1451513705">
      <w:bodyDiv w:val="1"/>
      <w:marLeft w:val="0"/>
      <w:marRight w:val="0"/>
      <w:marTop w:val="0"/>
      <w:marBottom w:val="0"/>
      <w:divBdr>
        <w:top w:val="none" w:sz="0" w:space="0" w:color="auto"/>
        <w:left w:val="none" w:sz="0" w:space="0" w:color="auto"/>
        <w:bottom w:val="none" w:sz="0" w:space="0" w:color="auto"/>
        <w:right w:val="none" w:sz="0" w:space="0" w:color="auto"/>
      </w:divBdr>
    </w:div>
    <w:div w:id="1452820239">
      <w:bodyDiv w:val="1"/>
      <w:marLeft w:val="0"/>
      <w:marRight w:val="0"/>
      <w:marTop w:val="0"/>
      <w:marBottom w:val="0"/>
      <w:divBdr>
        <w:top w:val="none" w:sz="0" w:space="0" w:color="auto"/>
        <w:left w:val="none" w:sz="0" w:space="0" w:color="auto"/>
        <w:bottom w:val="none" w:sz="0" w:space="0" w:color="auto"/>
        <w:right w:val="none" w:sz="0" w:space="0" w:color="auto"/>
      </w:divBdr>
    </w:div>
    <w:div w:id="1482889546">
      <w:bodyDiv w:val="1"/>
      <w:marLeft w:val="0"/>
      <w:marRight w:val="0"/>
      <w:marTop w:val="0"/>
      <w:marBottom w:val="0"/>
      <w:divBdr>
        <w:top w:val="none" w:sz="0" w:space="0" w:color="auto"/>
        <w:left w:val="none" w:sz="0" w:space="0" w:color="auto"/>
        <w:bottom w:val="none" w:sz="0" w:space="0" w:color="auto"/>
        <w:right w:val="none" w:sz="0" w:space="0" w:color="auto"/>
      </w:divBdr>
    </w:div>
    <w:div w:id="1624576558">
      <w:bodyDiv w:val="1"/>
      <w:marLeft w:val="0"/>
      <w:marRight w:val="0"/>
      <w:marTop w:val="0"/>
      <w:marBottom w:val="0"/>
      <w:divBdr>
        <w:top w:val="none" w:sz="0" w:space="0" w:color="auto"/>
        <w:left w:val="none" w:sz="0" w:space="0" w:color="auto"/>
        <w:bottom w:val="none" w:sz="0" w:space="0" w:color="auto"/>
        <w:right w:val="none" w:sz="0" w:space="0" w:color="auto"/>
      </w:divBdr>
    </w:div>
    <w:div w:id="1647319938">
      <w:bodyDiv w:val="1"/>
      <w:marLeft w:val="0"/>
      <w:marRight w:val="0"/>
      <w:marTop w:val="0"/>
      <w:marBottom w:val="0"/>
      <w:divBdr>
        <w:top w:val="none" w:sz="0" w:space="0" w:color="auto"/>
        <w:left w:val="none" w:sz="0" w:space="0" w:color="auto"/>
        <w:bottom w:val="none" w:sz="0" w:space="0" w:color="auto"/>
        <w:right w:val="none" w:sz="0" w:space="0" w:color="auto"/>
      </w:divBdr>
    </w:div>
    <w:div w:id="1668559902">
      <w:bodyDiv w:val="1"/>
      <w:marLeft w:val="0"/>
      <w:marRight w:val="0"/>
      <w:marTop w:val="0"/>
      <w:marBottom w:val="0"/>
      <w:divBdr>
        <w:top w:val="none" w:sz="0" w:space="0" w:color="auto"/>
        <w:left w:val="none" w:sz="0" w:space="0" w:color="auto"/>
        <w:bottom w:val="none" w:sz="0" w:space="0" w:color="auto"/>
        <w:right w:val="none" w:sz="0" w:space="0" w:color="auto"/>
      </w:divBdr>
    </w:div>
    <w:div w:id="1741708328">
      <w:bodyDiv w:val="1"/>
      <w:marLeft w:val="0"/>
      <w:marRight w:val="0"/>
      <w:marTop w:val="0"/>
      <w:marBottom w:val="0"/>
      <w:divBdr>
        <w:top w:val="none" w:sz="0" w:space="0" w:color="auto"/>
        <w:left w:val="none" w:sz="0" w:space="0" w:color="auto"/>
        <w:bottom w:val="none" w:sz="0" w:space="0" w:color="auto"/>
        <w:right w:val="none" w:sz="0" w:space="0" w:color="auto"/>
      </w:divBdr>
    </w:div>
    <w:div w:id="1744529590">
      <w:bodyDiv w:val="1"/>
      <w:marLeft w:val="0"/>
      <w:marRight w:val="0"/>
      <w:marTop w:val="0"/>
      <w:marBottom w:val="0"/>
      <w:divBdr>
        <w:top w:val="none" w:sz="0" w:space="0" w:color="auto"/>
        <w:left w:val="none" w:sz="0" w:space="0" w:color="auto"/>
        <w:bottom w:val="none" w:sz="0" w:space="0" w:color="auto"/>
        <w:right w:val="none" w:sz="0" w:space="0" w:color="auto"/>
      </w:divBdr>
    </w:div>
    <w:div w:id="1828814013">
      <w:bodyDiv w:val="1"/>
      <w:marLeft w:val="0"/>
      <w:marRight w:val="0"/>
      <w:marTop w:val="0"/>
      <w:marBottom w:val="0"/>
      <w:divBdr>
        <w:top w:val="none" w:sz="0" w:space="0" w:color="auto"/>
        <w:left w:val="none" w:sz="0" w:space="0" w:color="auto"/>
        <w:bottom w:val="none" w:sz="0" w:space="0" w:color="auto"/>
        <w:right w:val="none" w:sz="0" w:space="0" w:color="auto"/>
      </w:divBdr>
    </w:div>
    <w:div w:id="1856265415">
      <w:bodyDiv w:val="1"/>
      <w:marLeft w:val="0"/>
      <w:marRight w:val="0"/>
      <w:marTop w:val="0"/>
      <w:marBottom w:val="0"/>
      <w:divBdr>
        <w:top w:val="none" w:sz="0" w:space="0" w:color="auto"/>
        <w:left w:val="none" w:sz="0" w:space="0" w:color="auto"/>
        <w:bottom w:val="none" w:sz="0" w:space="0" w:color="auto"/>
        <w:right w:val="none" w:sz="0" w:space="0" w:color="auto"/>
      </w:divBdr>
    </w:div>
    <w:div w:id="1944799252">
      <w:bodyDiv w:val="1"/>
      <w:marLeft w:val="0"/>
      <w:marRight w:val="0"/>
      <w:marTop w:val="0"/>
      <w:marBottom w:val="0"/>
      <w:divBdr>
        <w:top w:val="none" w:sz="0" w:space="0" w:color="auto"/>
        <w:left w:val="none" w:sz="0" w:space="0" w:color="auto"/>
        <w:bottom w:val="none" w:sz="0" w:space="0" w:color="auto"/>
        <w:right w:val="none" w:sz="0" w:space="0" w:color="auto"/>
      </w:divBdr>
    </w:div>
    <w:div w:id="1999308730">
      <w:bodyDiv w:val="1"/>
      <w:marLeft w:val="0"/>
      <w:marRight w:val="0"/>
      <w:marTop w:val="0"/>
      <w:marBottom w:val="0"/>
      <w:divBdr>
        <w:top w:val="none" w:sz="0" w:space="0" w:color="auto"/>
        <w:left w:val="none" w:sz="0" w:space="0" w:color="auto"/>
        <w:bottom w:val="none" w:sz="0" w:space="0" w:color="auto"/>
        <w:right w:val="none" w:sz="0" w:space="0" w:color="auto"/>
      </w:divBdr>
      <w:divsChild>
        <w:div w:id="2074502745">
          <w:marLeft w:val="0"/>
          <w:marRight w:val="0"/>
          <w:marTop w:val="0"/>
          <w:marBottom w:val="0"/>
          <w:divBdr>
            <w:top w:val="none" w:sz="0" w:space="0" w:color="auto"/>
            <w:left w:val="none" w:sz="0" w:space="0" w:color="auto"/>
            <w:bottom w:val="none" w:sz="0" w:space="0" w:color="auto"/>
            <w:right w:val="none" w:sz="0" w:space="0" w:color="auto"/>
          </w:divBdr>
        </w:div>
        <w:div w:id="69618906">
          <w:marLeft w:val="0"/>
          <w:marRight w:val="0"/>
          <w:marTop w:val="0"/>
          <w:marBottom w:val="0"/>
          <w:divBdr>
            <w:top w:val="none" w:sz="0" w:space="0" w:color="auto"/>
            <w:left w:val="none" w:sz="0" w:space="0" w:color="auto"/>
            <w:bottom w:val="none" w:sz="0" w:space="0" w:color="auto"/>
            <w:right w:val="none" w:sz="0" w:space="0" w:color="auto"/>
          </w:divBdr>
        </w:div>
        <w:div w:id="1396516042">
          <w:marLeft w:val="0"/>
          <w:marRight w:val="0"/>
          <w:marTop w:val="0"/>
          <w:marBottom w:val="0"/>
          <w:divBdr>
            <w:top w:val="none" w:sz="0" w:space="0" w:color="auto"/>
            <w:left w:val="none" w:sz="0" w:space="0" w:color="auto"/>
            <w:bottom w:val="none" w:sz="0" w:space="0" w:color="auto"/>
            <w:right w:val="none" w:sz="0" w:space="0" w:color="auto"/>
          </w:divBdr>
        </w:div>
      </w:divsChild>
    </w:div>
    <w:div w:id="2001999220">
      <w:bodyDiv w:val="1"/>
      <w:marLeft w:val="0"/>
      <w:marRight w:val="0"/>
      <w:marTop w:val="0"/>
      <w:marBottom w:val="0"/>
      <w:divBdr>
        <w:top w:val="none" w:sz="0" w:space="0" w:color="auto"/>
        <w:left w:val="none" w:sz="0" w:space="0" w:color="auto"/>
        <w:bottom w:val="none" w:sz="0" w:space="0" w:color="auto"/>
        <w:right w:val="none" w:sz="0" w:space="0" w:color="auto"/>
      </w:divBdr>
    </w:div>
    <w:div w:id="2004627919">
      <w:bodyDiv w:val="1"/>
      <w:marLeft w:val="0"/>
      <w:marRight w:val="0"/>
      <w:marTop w:val="0"/>
      <w:marBottom w:val="0"/>
      <w:divBdr>
        <w:top w:val="none" w:sz="0" w:space="0" w:color="auto"/>
        <w:left w:val="none" w:sz="0" w:space="0" w:color="auto"/>
        <w:bottom w:val="none" w:sz="0" w:space="0" w:color="auto"/>
        <w:right w:val="none" w:sz="0" w:space="0" w:color="auto"/>
      </w:divBdr>
    </w:div>
    <w:div w:id="2024670555">
      <w:bodyDiv w:val="1"/>
      <w:marLeft w:val="0"/>
      <w:marRight w:val="0"/>
      <w:marTop w:val="0"/>
      <w:marBottom w:val="0"/>
      <w:divBdr>
        <w:top w:val="none" w:sz="0" w:space="0" w:color="auto"/>
        <w:left w:val="none" w:sz="0" w:space="0" w:color="auto"/>
        <w:bottom w:val="none" w:sz="0" w:space="0" w:color="auto"/>
        <w:right w:val="none" w:sz="0" w:space="0" w:color="auto"/>
      </w:divBdr>
    </w:div>
    <w:div w:id="2061896921">
      <w:bodyDiv w:val="1"/>
      <w:marLeft w:val="0"/>
      <w:marRight w:val="0"/>
      <w:marTop w:val="0"/>
      <w:marBottom w:val="0"/>
      <w:divBdr>
        <w:top w:val="none" w:sz="0" w:space="0" w:color="auto"/>
        <w:left w:val="none" w:sz="0" w:space="0" w:color="auto"/>
        <w:bottom w:val="none" w:sz="0" w:space="0" w:color="auto"/>
        <w:right w:val="none" w:sz="0" w:space="0" w:color="auto"/>
      </w:divBdr>
    </w:div>
    <w:div w:id="2099400060">
      <w:bodyDiv w:val="1"/>
      <w:marLeft w:val="0"/>
      <w:marRight w:val="0"/>
      <w:marTop w:val="0"/>
      <w:marBottom w:val="0"/>
      <w:divBdr>
        <w:top w:val="none" w:sz="0" w:space="0" w:color="auto"/>
        <w:left w:val="none" w:sz="0" w:space="0" w:color="auto"/>
        <w:bottom w:val="none" w:sz="0" w:space="0" w:color="auto"/>
        <w:right w:val="none" w:sz="0" w:space="0" w:color="auto"/>
      </w:divBdr>
    </w:div>
    <w:div w:id="2110658901">
      <w:bodyDiv w:val="1"/>
      <w:marLeft w:val="0"/>
      <w:marRight w:val="0"/>
      <w:marTop w:val="0"/>
      <w:marBottom w:val="0"/>
      <w:divBdr>
        <w:top w:val="none" w:sz="0" w:space="0" w:color="auto"/>
        <w:left w:val="none" w:sz="0" w:space="0" w:color="auto"/>
        <w:bottom w:val="none" w:sz="0" w:space="0" w:color="auto"/>
        <w:right w:val="none" w:sz="0" w:space="0" w:color="auto"/>
      </w:divBdr>
    </w:div>
    <w:div w:id="2126266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TotalTime>
  <Pages>19</Pages>
  <Words>4976</Words>
  <Characters>28365</Characters>
  <Application>Microsoft Macintosh Word</Application>
  <DocSecurity>0</DocSecurity>
  <Lines>236</Lines>
  <Paragraphs>66</Paragraphs>
  <ScaleCrop>false</ScaleCrop>
  <Company/>
  <LinksUpToDate>false</LinksUpToDate>
  <CharactersWithSpaces>33275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Wood</dc:creator>
  <cp:keywords/>
  <dc:description/>
  <cp:lastModifiedBy>Alicia Wood</cp:lastModifiedBy>
  <cp:revision>67</cp:revision>
  <dcterms:created xsi:type="dcterms:W3CDTF">2017-04-08T18:28:00Z</dcterms:created>
  <dcterms:modified xsi:type="dcterms:W3CDTF">2017-04-28T13:48:00Z</dcterms:modified>
</cp:coreProperties>
</file>