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15:</w:t>
      </w:r>
      <w:r>
        <w:t xml:space="preserve"> </w:t>
      </w:r>
      <w:r>
        <w:t xml:space="preserve">Niche</w:t>
      </w:r>
      <w:r>
        <w:t xml:space="preserve"> </w:t>
      </w:r>
      <w:r>
        <w:t xml:space="preserve">versus</w:t>
      </w:r>
      <w:r>
        <w:t xml:space="preserve"> </w:t>
      </w:r>
      <w:r>
        <w:t xml:space="preserve">Distribution</w:t>
      </w:r>
      <w:r>
        <w:t xml:space="preserve"> </w:t>
      </w:r>
      <w:r>
        <w:t xml:space="preserve">Modeling</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For the past many years</w:t>
      </w:r>
      <w:r>
        <w:t xml:space="preserve"> </w:t>
      </w:r>
      <w:r>
        <w:rPr>
          <w:bCs/>
          <w:b/>
        </w:rPr>
        <w:t xml:space="preserve">species distribution modeling</w:t>
      </w:r>
      <w:r>
        <w:t xml:space="preserve"> </w:t>
      </w:r>
      <w:r>
        <w:t xml:space="preserve">has been synonymous with</w:t>
      </w:r>
      <w:r>
        <w:t xml:space="preserve"> </w:t>
      </w:r>
      <w:r>
        <w:rPr>
          <w:bCs/>
          <w:b/>
        </w:rPr>
        <w:t xml:space="preserve">ecological niche modeling</w:t>
      </w:r>
      <w:r>
        <w:t xml:space="preserve">, though there have been debates over which is the better term (</w:t>
      </w:r>
      <w:hyperlink r:id="rId20">
        <w:r>
          <w:rPr>
            <w:rStyle w:val="Hyperlink"/>
          </w:rPr>
          <w:t xml:space="preserve">Warren 2012</w:t>
        </w:r>
      </w:hyperlink>
      <w:r>
        <w:t xml:space="preserve">,</w:t>
      </w:r>
      <w:r>
        <w:t xml:space="preserve"> </w:t>
      </w:r>
      <w:hyperlink r:id="rId21">
        <w:r>
          <w:rPr>
            <w:rStyle w:val="Hyperlink"/>
          </w:rPr>
          <w:t xml:space="preserve">McInery &amp; Etienne 2013</w:t>
        </w:r>
      </w:hyperlink>
      <w:r>
        <w:t xml:space="preserve">,</w:t>
      </w:r>
      <w:r>
        <w:t xml:space="preserve"> </w:t>
      </w:r>
      <w:hyperlink r:id="rId22">
        <w:r>
          <w:rPr>
            <w:rStyle w:val="Hyperlink"/>
          </w:rPr>
          <w:t xml:space="preserve">Warren 2013</w:t>
        </w:r>
      </w:hyperlink>
      <w:r>
        <w:t xml:space="preserve">). However, concurrent with this debate is a parallel dialog that makes a working distinction between ecological niche models (ENMs) and species distribution models (SDMs;</w:t>
      </w:r>
      <w:r>
        <w:t xml:space="preserve"> </w:t>
      </w:r>
      <w:hyperlink r:id="rId23">
        <w:r>
          <w:rPr>
            <w:rStyle w:val="Hyperlink"/>
          </w:rPr>
          <w:t xml:space="preserve">Barve et al. 2011</w:t>
        </w:r>
      </w:hyperlink>
      <w:r>
        <w:t xml:space="preserve">;</w:t>
      </w:r>
      <w:r>
        <w:t xml:space="preserve"> </w:t>
      </w:r>
      <w:hyperlink r:id="rId24">
        <w:r>
          <w:rPr>
            <w:rStyle w:val="Hyperlink"/>
          </w:rPr>
          <w:t xml:space="preserve">Peterson et al. 2011</w:t>
        </w:r>
      </w:hyperlink>
      <w:r>
        <w:t xml:space="preserve">. Under this distinction, S</w:t>
      </w:r>
      <w:r>
        <w:rPr>
          <w:bCs/>
          <w:b/>
        </w:rPr>
        <w:t xml:space="preserve">D</w:t>
      </w:r>
      <w:r>
        <w:t xml:space="preserve">Ms model the</w:t>
      </w:r>
      <w:r>
        <w:t xml:space="preserve"> </w:t>
      </w:r>
      <w:r>
        <w:rPr>
          <w:iCs/>
          <w:i/>
        </w:rPr>
        <w:t xml:space="preserve">distribution</w:t>
      </w:r>
      <w:r>
        <w:t xml:space="preserve"> </w:t>
      </w:r>
      <w:r>
        <w:t xml:space="preserve">of a species, while E</w:t>
      </w:r>
      <w:r>
        <w:rPr>
          <w:bCs/>
          <w:b/>
        </w:rPr>
        <w:t xml:space="preserve">N</w:t>
      </w:r>
      <w:r>
        <w:t xml:space="preserve">Ms model the</w:t>
      </w:r>
      <w:r>
        <w:t xml:space="preserve"> </w:t>
      </w:r>
      <w:r>
        <w:rPr>
          <w:iCs/>
          <w:i/>
        </w:rPr>
        <w:t xml:space="preserve">niche</w:t>
      </w:r>
      <w:r>
        <w:t xml:space="preserve">. The two are related, but they are also fundamentally different for reasons that appear esoteric at first but have important consequences for modeling.</w:t>
      </w:r>
    </w:p>
    <w:p>
      <w:pPr>
        <w:pStyle w:val="BodyText"/>
      </w:pPr>
      <w:r>
        <w:t xml:space="preserve">Consider a species that only existed on the mainland:</w:t>
      </w:r>
    </w:p>
    <w:tbl>
      <w:tblPr>
        <w:tblStyle w:val="FigureTable"/>
        <w:tblW w:type="auto" w:w="0"/>
        <w:tblLook w:firstRow="0" w:lastRow="0" w:firstColumn="0" w:lastColumn="0"/>
        <w:jc w:val="center"/>
      </w:tblPr>
      <w:tblGrid>
        <w:gridCol w:w="7920"/>
      </w:tblGrid>
      <w:tr>
        <w:tc>
          <w:tcPr/>
          <w:p>
            <w:pPr>
              <w:pStyle w:val="Compact"/>
              <w:jc w:val="center"/>
            </w:pPr>
            <w:r>
              <w:t xml:space="preserve">No species is an island.</w:t>
            </w:r>
          </w:p>
        </w:tc>
      </w:tr>
    </w:tbl>
    <w:p>
      <w:pPr>
        <w:pStyle w:val="ImageCaption"/>
      </w:pPr>
      <w:r>
        <w:t xml:space="preserve">No species is an island.</w:t>
      </w:r>
    </w:p>
    <w:p>
      <w:pPr>
        <w:pStyle w:val="BodyText"/>
      </w:pPr>
      <w:r>
        <w:t xml:space="preserve">Suppose we wanted to model the distribution of a species that only occurred on the mainland. Should we include the island as part of the region from which we draw background sites? It depends! If we are interested in modeling the</w:t>
      </w:r>
      <w:r>
        <w:t xml:space="preserve"> </w:t>
      </w:r>
      <w:r>
        <w:rPr>
          <w:iCs/>
          <w:i/>
        </w:rPr>
        <w:t xml:space="preserve">distribution</w:t>
      </w:r>
      <w:r>
        <w:t xml:space="preserve"> </w:t>
      </w:r>
      <w:r>
        <w:t xml:space="preserve">of the species, including the island would inform the model that the island’s environment is available to the species but the species has been unable to inhabit it. Thus, the model would be more likely to predict the species is absent from the island. If we were interested in modeling the geographphic projection of the environmental</w:t>
      </w:r>
      <w:r>
        <w:t xml:space="preserve"> </w:t>
      </w:r>
      <w:r>
        <w:rPr>
          <w:iCs/>
          <w:i/>
        </w:rPr>
        <w:t xml:space="preserve">niche</w:t>
      </w:r>
      <w:r>
        <w:t xml:space="preserve"> </w:t>
      </w:r>
      <w:r>
        <w:t xml:space="preserve">of the species, then we should probably not include the island in the background set if the species has not been able to disperse there to</w:t>
      </w:r>
      <w:r>
        <w:t xml:space="preserve"> </w:t>
      </w:r>
      <w:r>
        <w:t xml:space="preserve">“</w:t>
      </w:r>
      <w:r>
        <w:t xml:space="preserve">sample</w:t>
      </w:r>
      <w:r>
        <w:t xml:space="preserve">”</w:t>
      </w:r>
      <w:r>
        <w:t xml:space="preserve"> </w:t>
      </w:r>
      <w:r>
        <w:t xml:space="preserve">its environment.</w:t>
      </w:r>
    </w:p>
    <w:p>
      <w:pPr>
        <w:pStyle w:val="BodyText"/>
      </w:pPr>
      <w:r>
        <w:t xml:space="preserve">Although I’ve illustrated the issue with and island/mainland situation, the same kind of situation can occur when non-insular/mainland systems–i.e., for</w:t>
      </w:r>
      <w:r>
        <w:t xml:space="preserve"> </w:t>
      </w:r>
      <w:r>
        <w:rPr>
          <w:iCs/>
          <w:i/>
        </w:rPr>
        <w:t xml:space="preserve">niche</w:t>
      </w:r>
      <w:r>
        <w:t xml:space="preserve"> </w:t>
      </w:r>
      <w:r>
        <w:t xml:space="preserve">models, sites should be considered in the background only if the species has been able to</w:t>
      </w:r>
      <w:r>
        <w:t xml:space="preserve"> </w:t>
      </w:r>
      <w:r>
        <w:t xml:space="preserve">“</w:t>
      </w:r>
      <w:r>
        <w:t xml:space="preserve">sample</w:t>
      </w:r>
      <w:r>
        <w:t xml:space="preserve">”</w:t>
      </w:r>
      <w:r>
        <w:t xml:space="preserve"> </w:t>
      </w:r>
      <w:r>
        <w:t xml:space="preserve">(through dispersal) their environments. Jorge Soberon has conceptualized this issue using what he calls the</w:t>
      </w:r>
      <w:r>
        <w:t xml:space="preserve"> </w:t>
      </w:r>
      <w:r>
        <w:rPr>
          <w:bCs/>
          <w:b/>
        </w:rPr>
        <w:t xml:space="preserve">biotic/abiotic/movement</w:t>
      </w:r>
      <w:r>
        <w:t xml:space="preserve"> </w:t>
      </w:r>
      <w:r>
        <w:t xml:space="preserve">or</w:t>
      </w:r>
      <w:r>
        <w:t xml:space="preserve"> </w:t>
      </w:r>
      <w:r>
        <w:rPr>
          <w:bCs/>
          <w:b/>
        </w:rPr>
        <w:t xml:space="preserve">BAM</w:t>
      </w:r>
      <w:r>
        <w:t xml:space="preserve"> </w:t>
      </w:r>
      <w:r>
        <w:t xml:space="preserve">diagram (</w:t>
      </w:r>
      <w:hyperlink r:id="rId25">
        <w:r>
          <w:rPr>
            <w:rStyle w:val="Hyperlink"/>
          </w:rPr>
          <w:t xml:space="preserve">Soberon 2007</w:t>
        </w:r>
      </w:hyperlink>
      <w:r>
        <w:t xml:space="preserve">;</w:t>
      </w:r>
      <w:r>
        <w:t xml:space="preserve"> </w:t>
      </w:r>
      <w:hyperlink r:id="rId26">
        <w:r>
          <w:rPr>
            <w:rStyle w:val="Hyperlink"/>
          </w:rPr>
          <w:t xml:space="preserve">Soberon &amp; Nakamura 2009</w:t>
        </w:r>
      </w:hyperlink>
      <w:r>
        <w:t xml:space="preserve">.</w:t>
      </w:r>
    </w:p>
    <w:p>
      <w:pPr>
        <w:pStyle w:val="CaptionedFigure"/>
      </w:pPr>
      <w:r>
        <w:drawing>
          <wp:inline>
            <wp:extent cx="5334000" cy="2787650"/>
            <wp:effectExtent b="0" l="0" r="0" t="0"/>
            <wp:docPr descr="BAM Diagram" title="" id="28" name="Picture"/>
            <a:graphic>
              <a:graphicData uri="http://schemas.openxmlformats.org/drawingml/2006/picture">
                <pic:pic>
                  <pic:nvPicPr>
                    <pic:cNvPr descr="../man/figures/bam_diagram.png" id="29" name="Picture"/>
                    <pic:cNvPicPr>
                      <a:picLocks noChangeArrowheads="1" noChangeAspect="1"/>
                    </pic:cNvPicPr>
                  </pic:nvPicPr>
                  <pic:blipFill>
                    <a:blip r:embed="rId27"/>
                    <a:stretch>
                      <a:fillRect/>
                    </a:stretch>
                  </pic:blipFill>
                  <pic:spPr bwMode="auto">
                    <a:xfrm>
                      <a:off x="0" y="0"/>
                      <a:ext cx="5334000" cy="2787650"/>
                    </a:xfrm>
                    <a:prstGeom prst="rect">
                      <a:avLst/>
                    </a:prstGeom>
                    <a:noFill/>
                    <a:ln w="9525">
                      <a:noFill/>
                      <a:headEnd/>
                      <a:tailEnd/>
                    </a:ln>
                  </pic:spPr>
                </pic:pic>
              </a:graphicData>
            </a:graphic>
          </wp:inline>
        </w:drawing>
      </w:r>
    </w:p>
    <w:p>
      <w:pPr>
        <w:pStyle w:val="ImageCaption"/>
      </w:pPr>
      <w:r>
        <w:t xml:space="preserve">BAM Diagram</w:t>
      </w:r>
    </w:p>
    <w:p>
      <w:pPr>
        <w:pStyle w:val="BodyText"/>
      </w:pPr>
      <w:r>
        <w:t xml:space="preserve">Here, each circle represents either 1) the</w:t>
      </w:r>
      <w:r>
        <w:t xml:space="preserve"> </w:t>
      </w:r>
      <w:r>
        <w:rPr>
          <w:bCs/>
          <w:b/>
        </w:rPr>
        <w:t xml:space="preserve">b</w:t>
      </w:r>
      <w:r>
        <w:t xml:space="preserve">iotic conditions under which the species can thrive; 2)</w:t>
      </w:r>
      <w:r>
        <w:t xml:space="preserve"> </w:t>
      </w:r>
      <w:r>
        <w:rPr>
          <w:bCs/>
          <w:b/>
        </w:rPr>
        <w:t xml:space="preserve">a</w:t>
      </w:r>
      <w:r>
        <w:t xml:space="preserve">biotic conditions under which it can thrive; or 3) the geographic areas to which the species has the capability of</w:t>
      </w:r>
      <w:r>
        <w:t xml:space="preserve"> </w:t>
      </w:r>
      <w:r>
        <w:rPr>
          <w:bCs/>
          <w:b/>
        </w:rPr>
        <w:t xml:space="preserve">m</w:t>
      </w:r>
      <w:r>
        <w:t xml:space="preserve">oving. The figure above is from</w:t>
      </w:r>
      <w:r>
        <w:t xml:space="preserve"> </w:t>
      </w:r>
      <w:hyperlink r:id="rId30">
        <w:r>
          <w:rPr>
            <w:rStyle w:val="Hyperlink"/>
          </w:rPr>
          <w:t xml:space="preserve">Sanin &amp; Anderson 2018</w:t>
        </w:r>
      </w:hyperlink>
      <w:r>
        <w:t xml:space="preserve">, where they focus on North American warblers, and map the biotic component based on vegetation types each species prefers, the abiotic components using ENMs with climatic predictors, and the movement component based on estimated dispersal distance.</w:t>
      </w:r>
    </w:p>
    <w:p>
      <w:pPr>
        <w:pStyle w:val="BodyText"/>
      </w:pPr>
      <w:r>
        <w:t xml:space="preserve">Although simple, this conceptualization has some deeply important aspects:</w:t>
      </w:r>
    </w:p>
    <w:p>
      <w:pPr>
        <w:numPr>
          <w:ilvl w:val="0"/>
          <w:numId w:val="1001"/>
        </w:numPr>
        <w:pStyle w:val="Compact"/>
      </w:pPr>
      <w:r>
        <w:t xml:space="preserve">The fundamental niche is represented by</w:t>
      </w:r>
      <w:r>
        <w:t xml:space="preserve"> </w:t>
      </w:r>
      <w:r>
        <w:rPr>
          <w:bCs/>
          <w:b/>
        </w:rPr>
        <w:t xml:space="preserve">A</w:t>
      </w:r>
      <w:r>
        <w:t xml:space="preserve">.</w:t>
      </w:r>
      <w:r>
        <w:br/>
      </w:r>
    </w:p>
    <w:p>
      <w:pPr>
        <w:numPr>
          <w:ilvl w:val="0"/>
          <w:numId w:val="1001"/>
        </w:numPr>
        <w:pStyle w:val="Compact"/>
      </w:pPr>
      <w:r>
        <w:t xml:space="preserve">The realized niche is represented by the intersection of</w:t>
      </w:r>
      <w:r>
        <w:t xml:space="preserve"> </w:t>
      </w:r>
      <w:r>
        <w:rPr>
          <w:bCs/>
          <w:b/>
        </w:rPr>
        <w:t xml:space="preserve">A</w:t>
      </w:r>
      <w:r>
        <w:t xml:space="preserve"> </w:t>
      </w:r>
      <w:r>
        <w:t xml:space="preserve">and</w:t>
      </w:r>
      <w:r>
        <w:t xml:space="preserve"> </w:t>
      </w:r>
      <w:r>
        <w:rPr>
          <w:bCs/>
          <w:b/>
        </w:rPr>
        <w:t xml:space="preserve">B</w:t>
      </w:r>
      <w:r>
        <w:t xml:space="preserve">.</w:t>
      </w:r>
    </w:p>
    <w:p>
      <w:pPr>
        <w:numPr>
          <w:ilvl w:val="0"/>
          <w:numId w:val="1001"/>
        </w:numPr>
        <w:pStyle w:val="Compact"/>
      </w:pPr>
      <w:r>
        <w:t xml:space="preserve">The place where one can actually find the species is represented by the intersection of</w:t>
      </w:r>
      <w:r>
        <w:t xml:space="preserve"> </w:t>
      </w:r>
      <w:r>
        <w:rPr>
          <w:bCs/>
          <w:b/>
        </w:rPr>
        <w:t xml:space="preserve">B</w:t>
      </w:r>
      <w:r>
        <w:t xml:space="preserve">,</w:t>
      </w:r>
      <w:r>
        <w:t xml:space="preserve"> </w:t>
      </w:r>
      <w:r>
        <w:rPr>
          <w:bCs/>
          <w:b/>
        </w:rPr>
        <w:t xml:space="preserve">A</w:t>
      </w:r>
      <w:r>
        <w:t xml:space="preserve">, and</w:t>
      </w:r>
      <w:r>
        <w:t xml:space="preserve"> </w:t>
      </w:r>
      <w:r>
        <w:rPr>
          <w:bCs/>
          <w:b/>
        </w:rPr>
        <w:t xml:space="preserve">M</w:t>
      </w:r>
      <w:r>
        <w:t xml:space="preserve">.</w:t>
      </w:r>
      <w:r>
        <w:br/>
      </w:r>
    </w:p>
    <w:p>
      <w:pPr>
        <w:numPr>
          <w:ilvl w:val="0"/>
          <w:numId w:val="1001"/>
        </w:numPr>
        <w:pStyle w:val="Compact"/>
      </w:pPr>
      <w:r>
        <w:t xml:space="preserve">The species could live in sink populations that are found within</w:t>
      </w:r>
      <w:r>
        <w:t xml:space="preserve"> </w:t>
      </w:r>
      <w:r>
        <w:rPr>
          <w:bCs/>
          <w:b/>
        </w:rPr>
        <w:t xml:space="preserve">M</w:t>
      </w:r>
      <w:r>
        <w:t xml:space="preserve"> </w:t>
      </w:r>
      <w:r>
        <w:t xml:space="preserve">but outside either</w:t>
      </w:r>
      <w:r>
        <w:t xml:space="preserve"> </w:t>
      </w:r>
      <w:r>
        <w:rPr>
          <w:bCs/>
          <w:b/>
        </w:rPr>
        <w:t xml:space="preserve">A</w:t>
      </w:r>
      <w:r>
        <w:t xml:space="preserve"> </w:t>
      </w:r>
      <w:r>
        <w:t xml:space="preserve">or</w:t>
      </w:r>
      <w:r>
        <w:t xml:space="preserve"> </w:t>
      </w:r>
      <w:r>
        <w:rPr>
          <w:bCs/>
          <w:b/>
        </w:rPr>
        <w:t xml:space="preserve">B</w:t>
      </w:r>
      <w:r>
        <w:t xml:space="preserve">.</w:t>
      </w:r>
    </w:p>
    <w:p>
      <w:pPr>
        <w:pStyle w:val="FirstParagraph"/>
      </w:pPr>
      <w:r>
        <w:t xml:space="preserve">ENMing/SDMing is all about estimating</w:t>
      </w:r>
      <w:r>
        <w:t xml:space="preserve"> </w:t>
      </w:r>
      <w:r>
        <w:rPr>
          <w:bCs/>
          <w:b/>
        </w:rPr>
        <w:t xml:space="preserve">A</w:t>
      </w:r>
      <w:r>
        <w:t xml:space="preserve">, the abiotic niche (though one could use biotic predictors to similtaneously or additionally estimate</w:t>
      </w:r>
      <w:r>
        <w:t xml:space="preserve"> </w:t>
      </w:r>
      <w:r>
        <w:rPr>
          <w:bCs/>
          <w:b/>
        </w:rPr>
        <w:t xml:space="preserve">B</w:t>
      </w:r>
      <w:r>
        <w:t xml:space="preserve">).</w:t>
      </w:r>
    </w:p>
    <w:p>
      <w:pPr>
        <w:pStyle w:val="BodyText"/>
      </w:pPr>
      <w:r>
        <w:t xml:space="preserve">What about</w:t>
      </w:r>
      <w:r>
        <w:t xml:space="preserve"> </w:t>
      </w:r>
      <w:r>
        <w:rPr>
          <w:bCs/>
          <w:b/>
        </w:rPr>
        <w:t xml:space="preserve">B</w:t>
      </w:r>
      <w:r>
        <w:t xml:space="preserve">, the conditions under which biotic conditions allow the species to exist. How do we account for this in our ENM/SDM? You could, for example, use the presence/absence of any other species with which your focal species interacts as a predictor layer–but this would require unequivocal knowledge the other species’ distributions, which are also generally unknown andf likely depend on their own</w:t>
      </w:r>
      <w:r>
        <w:t xml:space="preserve"> </w:t>
      </w:r>
      <w:r>
        <w:rPr>
          <w:bCs/>
          <w:b/>
        </w:rPr>
        <w:t xml:space="preserve">B</w:t>
      </w:r>
      <w:r>
        <w:t xml:space="preserve">’s (and</w:t>
      </w:r>
      <w:r>
        <w:t xml:space="preserve"> </w:t>
      </w:r>
      <w:r>
        <w:rPr>
          <w:bCs/>
          <w:b/>
        </w:rPr>
        <w:t xml:space="preserve">A</w:t>
      </w:r>
      <w:r>
        <w:t xml:space="preserve">s and</w:t>
      </w:r>
      <w:r>
        <w:t xml:space="preserve"> </w:t>
      </w:r>
      <w:r>
        <w:rPr>
          <w:bCs/>
          <w:b/>
        </w:rPr>
        <w:t xml:space="preserve">M</w:t>
      </w:r>
      <w:r>
        <w:t xml:space="preserve">s). Accounting for interspecific interactions is an evolving issue in distribution/niche modeling, and although a wide variety of papers have attempted to address the issue, to date there is no widely-applicable accepted method.</w:t>
      </w:r>
    </w:p>
    <w:p>
      <w:pPr>
        <w:pStyle w:val="BodyText"/>
      </w:pPr>
      <w:r>
        <w:t xml:space="preserve">Owing to the difficulty of the issue of estimating</w:t>
      </w:r>
      <w:r>
        <w:t xml:space="preserve"> </w:t>
      </w:r>
      <w:r>
        <w:rPr>
          <w:bCs/>
          <w:b/>
        </w:rPr>
        <w:t xml:space="preserve">B</w:t>
      </w:r>
      <w:r>
        <w:t xml:space="preserve">, most niche modeling is conducted on the basis of the</w:t>
      </w:r>
      <w:r>
        <w:t xml:space="preserve"> </w:t>
      </w:r>
      <w:r>
        <w:rPr>
          <w:bCs/>
          <w:b/>
        </w:rPr>
        <w:t xml:space="preserve">Eltonian noise hypothesis</w:t>
      </w:r>
      <w:r>
        <w:t xml:space="preserve">, which posits that biotic interactions determine whether a species is present at fine scales, but not coarse scales. The general reasoning is that within a large area a species can usually find some habitats that are not also occupied by a competitor/predator/parasite. As a result, across large areas, a species can persist and so be counted as</w:t>
      </w:r>
      <w:r>
        <w:t xml:space="preserve"> </w:t>
      </w:r>
      <w:r>
        <w:t xml:space="preserve">“</w:t>
      </w:r>
      <w:r>
        <w:t xml:space="preserve">present</w:t>
      </w:r>
      <w:r>
        <w:t xml:space="preserve">”</w:t>
      </w:r>
      <w:r>
        <w:t xml:space="preserve"> </w:t>
      </w:r>
      <w:r>
        <w:t xml:space="preserve">when the spatial grain of analysis is coarse. Obliviously this is a strong assumption!</w:t>
      </w:r>
    </w:p>
    <w:p>
      <w:pPr>
        <w:pStyle w:val="BodyText"/>
      </w:pPr>
      <w:r>
        <w:t xml:space="preserve">In the exercises so far we have been focused on modeling the</w:t>
      </w:r>
      <w:r>
        <w:t xml:space="preserve"> </w:t>
      </w:r>
      <w:r>
        <w:rPr>
          <w:iCs/>
          <w:i/>
        </w:rPr>
        <w:t xml:space="preserve">distribution</w:t>
      </w:r>
      <w:r>
        <w:t xml:space="preserve"> </w:t>
      </w:r>
      <w:r>
        <w:t xml:space="preserve">of our species–i.e., our focus has been on creating an SDM with a believable and well-performing spatial output. The niche of a species can also be expressed in geographic space since, after all, occupied areas (usually) have environmental conditions in which a species can thrive. Of course, we can make a distinction between the realized and fundamental niche, but in general we can assume that occupied places fall within both kinds of niches. So let’s see how our species’ SDM and ENM differ.</w:t>
      </w:r>
    </w:p>
    <w:bookmarkStart w:id="31"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(gecko)   </w:t>
      </w:r>
      <w:r>
        <w:rPr>
          <w:rStyle w:val="CommentTok"/>
        </w:rPr>
        <w:t xml:space="preserve"># GIS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(predicts)</w:t>
      </w:r>
      <w:r>
        <w:rPr>
          <w:rStyle w:val="CommentTok"/>
        </w:rPr>
        <w:t xml:space="preserve"># SDMing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(rgbif)   </w:t>
      </w:r>
      <w:r>
        <w:rPr>
          <w:rStyle w:val="CommentTok"/>
        </w:rPr>
        <w:t xml:space="preserve"># access GBIF biodiversity data</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p>
    <w:bookmarkEnd w:id="31"/>
    <w:bookmarkStart w:id="38" w:name="enm-versus-sdm"/>
    <w:p>
      <w:pPr>
        <w:pStyle w:val="Heading1"/>
      </w:pPr>
      <w:r>
        <w:rPr>
          <w:rStyle w:val="SectionNumber"/>
        </w:rPr>
        <w:t xml:space="preserve">2</w:t>
      </w:r>
      <w:r>
        <w:tab/>
      </w:r>
      <w:r>
        <w:t xml:space="preserve">ENM versus SDM</w:t>
      </w:r>
    </w:p>
    <w:p>
      <w:pPr>
        <w:pStyle w:val="FirstParagraph"/>
      </w:pPr>
      <w:r>
        <w:t xml:space="preserve">Recall that the practical distinction between an ENM and a SDM is that the former only includes background sites within the geographic space defined by</w:t>
      </w:r>
      <w:r>
        <w:t xml:space="preserve"> </w:t>
      </w:r>
      <w:r>
        <w:rPr>
          <w:bCs/>
          <w:b/>
        </w:rPr>
        <w:t xml:space="preserve">M</w:t>
      </w:r>
      <w:r>
        <w:t xml:space="preserve"> </w:t>
      </w:r>
      <w:r>
        <w:t xml:space="preserve">from the BAM diagram. Thus, we need to know to where the species has (and has had) the ability to disperse. How do we do that? In general there is no shortcut since every species has its own mode of dispersal. However, you could choose background sites from:</w:t>
      </w:r>
    </w:p>
    <w:p>
      <w:pPr>
        <w:numPr>
          <w:ilvl w:val="0"/>
          <w:numId w:val="1002"/>
        </w:numPr>
        <w:pStyle w:val="Compact"/>
      </w:pPr>
      <w:r>
        <w:t xml:space="preserve">An area defined by a buffer of a set distance from each known presence. This is what we did to define our study region.</w:t>
      </w:r>
    </w:p>
    <w:p>
      <w:pPr>
        <w:numPr>
          <w:ilvl w:val="0"/>
          <w:numId w:val="1002"/>
        </w:numPr>
        <w:pStyle w:val="Compact"/>
      </w:pPr>
      <w:r>
        <w:t xml:space="preserve">All ecoregions known to be occupied by the species.</w:t>
      </w:r>
      <w:r>
        <w:br/>
      </w:r>
    </w:p>
    <w:p>
      <w:pPr>
        <w:numPr>
          <w:ilvl w:val="0"/>
          <w:numId w:val="1002"/>
        </w:numPr>
        <w:pStyle w:val="Compact"/>
      </w:pPr>
      <w:r>
        <w:t xml:space="preserve">An area defined by the known presences of the species plus sister species which presumably share niche characteristics of the focal species (e.g.,</w:t>
      </w:r>
      <w:r>
        <w:t xml:space="preserve"> </w:t>
      </w:r>
      <w:hyperlink r:id="rId32">
        <w:r>
          <w:rPr>
            <w:rStyle w:val="Hyperlink"/>
          </w:rPr>
          <w:t xml:space="preserve">Qiao et al. 2017</w:t>
        </w:r>
      </w:hyperlink>
      <w:r>
        <w:t xml:space="preserve">).</w:t>
      </w:r>
    </w:p>
    <w:p>
      <w:pPr>
        <w:numPr>
          <w:ilvl w:val="0"/>
          <w:numId w:val="1002"/>
        </w:numPr>
        <w:pStyle w:val="Compact"/>
      </w:pPr>
      <w:r>
        <w:t xml:space="preserve">An area defined by a dispersal-based model (e.g.,</w:t>
      </w:r>
      <w:r>
        <w:t xml:space="preserve"> </w:t>
      </w:r>
      <w:hyperlink r:id="rId33">
        <w:r>
          <w:rPr>
            <w:rStyle w:val="Hyperlink"/>
          </w:rPr>
          <w:t xml:space="preserve">Machado-Stredel et al. 2021</w:t>
        </w:r>
      </w:hyperlink>
      <w:r>
        <w:t xml:space="preserve">).</w:t>
      </w:r>
    </w:p>
    <w:p>
      <w:pPr>
        <w:pStyle w:val="FirstParagraph"/>
      </w:pPr>
      <w:r>
        <w:t xml:space="preserve">For simplicity, let’s explore the first option some more. In Exercise 2, we defined our study region by creating a buffer of 200 km around the range map. If we take the assertion that niche models should only use environments the species has been able to access through dispersal, this is an assertion that our species has been able to disperse (but not necessarily colonize) up to 200 km away from it’s current range. This is quite a trek for such a small animal, awesome though it may be!</w:t>
      </w:r>
    </w:p>
    <w:p>
      <w:pPr>
        <w:pStyle w:val="BodyText"/>
      </w:pPr>
      <w:r>
        <w:t xml:space="preserve">Let’s build some alternative models where we vary the size of the buffer used to delineate the area from which we draw background sites. If you are doing this in a study, I suggest using powers of 2; i.e., 20 km, 40 km, 80 km, 160 km, etc., because smaller gradations will typically not yield as noticable differences.</w:t>
      </w:r>
    </w:p>
    <w:p>
      <w:pPr>
        <w:pStyle w:val="SourceCode"/>
      </w:pPr>
      <w:r>
        <w:rPr>
          <w:rStyle w:val="CommentTok"/>
        </w:rPr>
        <w:t xml:space="preserve"># buffer sizes</w:t>
      </w:r>
      <w:r>
        <w:br/>
      </w:r>
      <w:r>
        <w:rPr>
          <w:rStyle w:val="NormalTok"/>
        </w:rPr>
        <w:t xml:space="preserve">bufferSizes_km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40</w:t>
      </w:r>
      <w:r>
        <w:rPr>
          <w:rStyle w:val="NormalTok"/>
        </w:rPr>
        <w:t xml:space="preserve">, </w:t>
      </w:r>
      <w:r>
        <w:rPr>
          <w:rStyle w:val="DecValTok"/>
        </w:rPr>
        <w:t xml:space="preserve">80</w:t>
      </w:r>
      <w:r>
        <w:rPr>
          <w:rStyle w:val="NormalTok"/>
        </w:rPr>
        <w:t xml:space="preserve">, </w:t>
      </w:r>
      <w:r>
        <w:rPr>
          <w:rStyle w:val="DecValTok"/>
        </w:rPr>
        <w:t xml:space="preserve">160</w:t>
      </w:r>
      <w:r>
        <w:rPr>
          <w:rStyle w:val="NormalTok"/>
        </w:rPr>
        <w:t xml:space="preserve">)</w:t>
      </w:r>
      <w:r>
        <w:br/>
      </w:r>
      <w:r>
        <w:br/>
      </w:r>
      <w:r>
        <w:rPr>
          <w:rStyle w:val="CommentTok"/>
        </w:rPr>
        <w:t xml:space="preserve"># convert occurrences to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(recordsEnv)</w:t>
      </w:r>
      <w:r>
        <w:br/>
      </w:r>
      <w:r>
        <w:rPr>
          <w:rStyle w:val="NormalTok"/>
        </w:rPr>
        <w:t xml:space="preserve">recordsEnv </w:t>
      </w:r>
      <w:r>
        <w:rPr>
          <w:rStyle w:val="OtherTok"/>
        </w:rPr>
        <w:t xml:space="preserve">&lt;-</w:t>
      </w:r>
      <w:r>
        <w:rPr>
          <w:rStyle w:val="NormalTok"/>
        </w:rPr>
        <w:t xml:space="preserve"> recordsEnv[ , predictors]</w:t>
      </w:r>
      <w:r>
        <w:br/>
      </w:r>
      <w:r>
        <w:br/>
      </w:r>
      <w:r>
        <w:rPr>
          <w:rStyle w:val="CommentTok"/>
        </w:rPr>
        <w:t xml:space="preserve"># pre-define variables to store output</w:t>
      </w:r>
      <w:r>
        <w:br/>
      </w:r>
      <w:r>
        <w:rPr>
          <w:rStyle w:val="NormalTok"/>
        </w:rPr>
        <w:t xml:space="preserve">buffers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stores buffer vector polygons</w:t>
      </w:r>
      <w:r>
        <w:br/>
      </w:r>
      <w:r>
        <w:rPr>
          <w:rStyle w:val="NormalTok"/>
        </w:rPr>
        <w:t xml:space="preserve">predictions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stores prediction rasters</w:t>
      </w:r>
      <w:r>
        <w:br/>
      </w:r>
      <w:r>
        <w:br/>
      </w:r>
      <w:r>
        <w:rPr>
          <w:rStyle w:val="CommentTok"/>
        </w:rPr>
        <w:t xml:space="preserve"># for each buffer size...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(bufferSizes_km)) {</w:t>
      </w:r>
      <w:r>
        <w:br/>
      </w:r>
      <w:r>
        <w:rPr>
          <w:rStyle w:val="NormalTok"/>
        </w:rPr>
        <w:t xml:space="preserve">    </w:t>
      </w:r>
      <w:r>
        <w:br/>
      </w:r>
      <w:r>
        <w:rPr>
          <w:rStyle w:val="NormalTok"/>
        </w:rPr>
        <w:t xml:space="preserve">    bufferSize_km </w:t>
      </w:r>
      <w:r>
        <w:rPr>
          <w:rStyle w:val="OtherTok"/>
        </w:rPr>
        <w:t xml:space="preserve">&lt;-</w:t>
      </w:r>
      <w:r>
        <w:rPr>
          <w:rStyle w:val="NormalTok"/>
        </w:rPr>
        <w:t xml:space="preserve"> bufferSizes_km[i]</w:t>
      </w:r>
      <w:r>
        <w:br/>
      </w:r>
      <w:r>
        <w:rPr>
          <w:rStyle w:val="NormalTok"/>
        </w:rPr>
        <w:t xml:space="preserve">    </w:t>
      </w:r>
      <w:r>
        <w:br/>
      </w:r>
      <w:r>
        <w:rPr>
          <w:rStyle w:val="NormalTok"/>
        </w:rPr>
        <w:t xml:space="preserve">    </w:t>
      </w:r>
      <w:r>
        <w:rPr>
          <w:rStyle w:val="FunctionTok"/>
        </w:rPr>
        <w:t xml:space="preserve">say</w:t>
      </w:r>
      <w:r>
        <w:rPr>
          <w:rStyle w:val="NormalTok"/>
        </w:rPr>
        <w:t xml:space="preserve">(</w:t>
      </w:r>
      <w:r>
        <w:rPr>
          <w:rStyle w:val="StringTok"/>
        </w:rPr>
        <w:t xml:space="preserve">'Modeling with buffer of '</w:t>
      </w:r>
      <w:r>
        <w:rPr>
          <w:rStyle w:val="NormalTok"/>
        </w:rPr>
        <w:t xml:space="preserve">, bufferSize_km, </w:t>
      </w:r>
      <w:r>
        <w:rPr>
          <w:rStyle w:val="StringTok"/>
        </w:rPr>
        <w:t xml:space="preserve">' km...'</w:t>
      </w:r>
      <w:r>
        <w:rPr>
          <w:rStyle w:val="NormalTok"/>
        </w:rPr>
        <w:t xml:space="preserve">)</w:t>
      </w:r>
      <w:r>
        <w:br/>
      </w:r>
      <w:r>
        <w:br/>
      </w:r>
      <w:r>
        <w:rPr>
          <w:rStyle w:val="NormalTok"/>
        </w:rPr>
        <w:t xml:space="preserve">    </w:t>
      </w:r>
      <w:r>
        <w:rPr>
          <w:rStyle w:val="CommentTok"/>
        </w:rPr>
        <w:t xml:space="preserve"># create buffer </w:t>
      </w:r>
      <w:r>
        <w:br/>
      </w:r>
      <w:r>
        <w:rPr>
          <w:rStyle w:val="NormalTok"/>
        </w:rPr>
        <w:t xml:space="preserve">    thisBuffer </w:t>
      </w:r>
      <w:r>
        <w:rPr>
          <w:rStyle w:val="OtherTok"/>
        </w:rPr>
        <w:t xml:space="preserve">&lt;-</w:t>
      </w:r>
      <w:r>
        <w:rPr>
          <w:rStyle w:val="NormalTok"/>
        </w:rPr>
        <w:t xml:space="preserve"> </w:t>
      </w:r>
      <w:r>
        <w:rPr>
          <w:rStyle w:val="FunctionTok"/>
        </w:rPr>
        <w:t xml:space="preserve">buffer</w:t>
      </w:r>
      <w:r>
        <w:rPr>
          <w:rStyle w:val="NormalTok"/>
        </w:rPr>
        <w:t xml:space="preserve">(rangeMap, bufferSize_km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remember buffer</w:t>
      </w:r>
      <w:r>
        <w:br/>
      </w:r>
      <w:r>
        <w:rPr>
          <w:rStyle w:val="NormalTok"/>
        </w:rPr>
        <w:t xml:space="preserve">    buffers[[i]] </w:t>
      </w:r>
      <w:r>
        <w:rPr>
          <w:rStyle w:val="OtherTok"/>
        </w:rPr>
        <w:t xml:space="preserve">&lt;-</w:t>
      </w:r>
      <w:r>
        <w:rPr>
          <w:rStyle w:val="NormalTok"/>
        </w:rPr>
        <w:t xml:space="preserve"> thisBuffer</w:t>
      </w:r>
      <w:r>
        <w:br/>
      </w:r>
      <w:r>
        <w:rPr>
          <w:rStyle w:val="NormalTok"/>
        </w:rPr>
        <w:t xml:space="preserve">    </w:t>
      </w:r>
      <w:r>
        <w:br/>
      </w:r>
      <w:r>
        <w:rPr>
          <w:rStyle w:val="NormalTok"/>
        </w:rPr>
        <w:t xml:space="preserve">    </w:t>
      </w:r>
      <w:r>
        <w:rPr>
          <w:rStyle w:val="CommentTok"/>
        </w:rPr>
        <w:t xml:space="preserve"># draw background sites</w:t>
      </w:r>
      <w:r>
        <w:br/>
      </w:r>
      <w:r>
        <w:rPr>
          <w:rStyle w:val="NormalTok"/>
        </w:rPr>
        <w:t xml:space="preserve">    bgSites </w:t>
      </w:r>
      <w:r>
        <w:rPr>
          <w:rStyle w:val="OtherTok"/>
        </w:rPr>
        <w:t xml:space="preserve">&lt;-</w:t>
      </w:r>
      <w:r>
        <w:rPr>
          <w:rStyle w:val="NormalTok"/>
        </w:rPr>
        <w:t xml:space="preserve"> </w:t>
      </w:r>
      <w:r>
        <w:rPr>
          <w:rStyle w:val="FunctionTok"/>
        </w:rPr>
        <w:t xml:space="preserve">spatSample</w:t>
      </w:r>
      <w:r>
        <w:rPr>
          <w:rStyle w:val="NormalTok"/>
        </w:rPr>
        <w:t xml:space="preserve">(thisBuffer, </w:t>
      </w:r>
      <w:r>
        <w:rPr>
          <w:rStyle w:val="DecValTok"/>
        </w:rPr>
        <w:t xml:space="preserve">12000</w:t>
      </w:r>
      <w:r>
        <w:rPr>
          <w:rStyle w:val="NormalTok"/>
        </w:rPr>
        <w:t xml:space="preserve">)</w:t>
      </w:r>
      <w:r>
        <w:br/>
      </w:r>
      <w:r>
        <w:rPr>
          <w:rStyle w:val="NormalTok"/>
        </w:rPr>
        <w:t xml:space="preserve">    </w:t>
      </w:r>
      <w:r>
        <w:br/>
      </w:r>
      <w:r>
        <w:rPr>
          <w:rStyle w:val="NormalTok"/>
        </w:rPr>
        <w:t xml:space="preserve">    </w:t>
      </w:r>
      <w:r>
        <w:rPr>
          <w:rStyle w:val="CommentTok"/>
        </w:rPr>
        <w:t xml:space="preserve"># extract climate</w:t>
      </w:r>
      <w:r>
        <w:br/>
      </w:r>
      <w:r>
        <w:rPr>
          <w:rStyle w:val="NormalTok"/>
        </w:rPr>
        <w:t xml:space="preserve">    bgEnv </w:t>
      </w:r>
      <w:r>
        <w:rPr>
          <w:rStyle w:val="OtherTok"/>
        </w:rPr>
        <w:t xml:space="preserve">&lt;-</w:t>
      </w:r>
      <w:r>
        <w:rPr>
          <w:rStyle w:val="NormalTok"/>
        </w:rPr>
        <w:t xml:space="preserve"> </w:t>
      </w:r>
      <w:r>
        <w:rPr>
          <w:rStyle w:val="FunctionTok"/>
        </w:rPr>
        <w:t xml:space="preserve">extract</w:t>
      </w:r>
      <w:r>
        <w:rPr>
          <w:rStyle w:val="NormalTok"/>
        </w:rPr>
        <w:t xml:space="preserve">(currentClim[[predictors]], bgSites, </w:t>
      </w:r>
      <w:r>
        <w:rPr>
          <w:rStyle w:val="AttributeTok"/>
        </w:rPr>
        <w:t xml:space="preserve">ID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remove NAs</w:t>
      </w:r>
      <w:r>
        <w:br/>
      </w:r>
      <w:r>
        <w:rPr>
          <w:rStyle w:val="NormalTok"/>
        </w:rPr>
        <w:t xml:space="preserve">    bgEnv </w:t>
      </w:r>
      <w:r>
        <w:rPr>
          <w:rStyle w:val="OtherTok"/>
        </w:rPr>
        <w:t xml:space="preserve">&lt;-</w:t>
      </w:r>
      <w:r>
        <w:rPr>
          <w:rStyle w:val="NormalTok"/>
        </w:rPr>
        <w:t xml:space="preserve"> bgEnv[</w:t>
      </w:r>
      <w:r>
        <w:rPr>
          <w:rStyle w:val="FunctionTok"/>
        </w:rPr>
        <w:t xml:space="preserve">complete.cases</w:t>
      </w:r>
      <w:r>
        <w:rPr>
          <w:rStyle w:val="NormalTok"/>
        </w:rPr>
        <w:t xml:space="preserve">(bgEnv),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(bgEnv) </w:t>
      </w:r>
      <w:r>
        <w:rPr>
          <w:rStyle w:val="SpecialCharTok"/>
        </w:rPr>
        <w:t xml:space="preserve">&gt;</w:t>
      </w:r>
      <w:r>
        <w:rPr>
          <w:rStyle w:val="NormalTok"/>
        </w:rPr>
        <w:t xml:space="preserve"> </w:t>
      </w:r>
      <w:r>
        <w:rPr>
          <w:rStyle w:val="DecValTok"/>
        </w:rPr>
        <w:t xml:space="preserve">10000</w:t>
      </w:r>
      <w:r>
        <w:rPr>
          <w:rStyle w:val="NormalTok"/>
        </w:rPr>
        <w:t xml:space="preserve">) bgEnv </w:t>
      </w:r>
      <w:r>
        <w:rPr>
          <w:rStyle w:val="OtherTok"/>
        </w:rPr>
        <w:t xml:space="preserve">&lt;-</w:t>
      </w:r>
      <w:r>
        <w:rPr>
          <w:rStyle w:val="NormalTok"/>
        </w:rPr>
        <w:t xml:space="preserve"> bgEnv[</w:t>
      </w:r>
      <w:r>
        <w:rPr>
          <w:rStyle w:val="FunctionTok"/>
        </w:rPr>
        <w:t xml:space="preserve">sample</w:t>
      </w:r>
      <w:r>
        <w:rPr>
          <w:rStyle w:val="NormalTok"/>
        </w:rPr>
        <w:t xml:space="preserve">(</w:t>
      </w:r>
      <w:r>
        <w:rPr>
          <w:rStyle w:val="DecValTok"/>
        </w:rPr>
        <w:t xml:space="preserve">10000</w:t>
      </w:r>
      <w:r>
        <w:rPr>
          <w:rStyle w:val="NormalTok"/>
        </w:rPr>
        <w:t xml:space="preserve">), ]</w:t>
      </w:r>
      <w:r>
        <w:br/>
      </w:r>
      <w:r>
        <w:rPr>
          <w:rStyle w:val="NormalTok"/>
        </w:rPr>
        <w:t xml:space="preserve">    </w:t>
      </w:r>
      <w:r>
        <w:br/>
      </w:r>
      <w:r>
        <w:rPr>
          <w:rStyle w:val="NormalTok"/>
        </w:rPr>
        <w:t xml:space="preserve">    </w:t>
      </w:r>
      <w:r>
        <w:rPr>
          <w:rStyle w:val="CommentTok"/>
        </w:rPr>
        <w:t xml:space="preserve"># merge occurrences and background sites</w:t>
      </w:r>
      <w:r>
        <w:br/>
      </w:r>
      <w:r>
        <w:rPr>
          <w:rStyle w:val="NormalTok"/>
        </w:rPr>
        <w:t xml:space="preserve">    trainData </w:t>
      </w:r>
      <w:r>
        <w:rPr>
          <w:rStyle w:val="OtherTok"/>
        </w:rPr>
        <w:t xml:space="preserve">&lt;-</w:t>
      </w:r>
      <w:r>
        <w:rPr>
          <w:rStyle w:val="NormalTok"/>
        </w:rPr>
        <w:t xml:space="preserve"> </w:t>
      </w:r>
      <w:r>
        <w:rPr>
          <w:rStyle w:val="FunctionTok"/>
        </w:rPr>
        <w:t xml:space="preserve">rbind</w:t>
      </w:r>
      <w:r>
        <w:rPr>
          <w:rStyle w:val="NormalTok"/>
        </w:rPr>
        <w:t xml:space="preserve">(recordsEnv, bgEnv)</w:t>
      </w:r>
      <w:r>
        <w:br/>
      </w:r>
      <w:r>
        <w:rPr>
          <w:rStyle w:val="NormalTok"/>
        </w:rPr>
        <w:t xml:space="preserve">    </w:t>
      </w:r>
      <w:r>
        <w:br/>
      </w:r>
      <w:r>
        <w:rPr>
          <w:rStyle w:val="NormalTok"/>
        </w:rPr>
        <w:t xml:space="preserve">    </w:t>
      </w:r>
      <w:r>
        <w:rPr>
          <w:rStyle w:val="CommentTok"/>
        </w:rPr>
        <w:t xml:space="preserve"># add 1/0 vector for presence/background</w:t>
      </w:r>
      <w:r>
        <w:br/>
      </w:r>
      <w:r>
        <w:rPr>
          <w:rStyle w:val="NormalTok"/>
        </w:rPr>
        <w:t xml:space="preserve">    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(recordsEnv)),</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(bgEnv))</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trainData </w:t>
      </w:r>
      <w:r>
        <w:rPr>
          <w:rStyle w:val="OtherTok"/>
        </w:rPr>
        <w:t xml:space="preserve">&lt;-</w:t>
      </w:r>
      <w:r>
        <w:rPr>
          <w:rStyle w:val="NormalTok"/>
        </w:rPr>
        <w:t xml:space="preserve"> </w:t>
      </w:r>
      <w:r>
        <w:rPr>
          <w:rStyle w:val="FunctionTok"/>
        </w:rPr>
        <w:t xml:space="preserve">cbind</w:t>
      </w:r>
      <w:r>
        <w:rPr>
          <w:rStyle w:val="NormalTok"/>
        </w:rPr>
        <w:t xml:space="preserve">(presBg, trainData)</w:t>
      </w:r>
      <w:r>
        <w:br/>
      </w:r>
      <w:r>
        <w:rPr>
          <w:rStyle w:val="NormalTok"/>
        </w:rPr>
        <w:t xml:space="preserve">    </w:t>
      </w:r>
      <w:r>
        <w:br/>
      </w:r>
      <w:r>
        <w:rPr>
          <w:rStyle w:val="NormalTok"/>
        </w:rPr>
        <w:t xml:space="preserve">    </w:t>
      </w:r>
      <w:r>
        <w:rPr>
          <w:rStyle w:val="CommentTok"/>
        </w:rPr>
        <w:t xml:space="preserve"># using regularization multipler of 1 for expediency</w:t>
      </w:r>
      <w:r>
        <w:br/>
      </w:r>
      <w:r>
        <w:rPr>
          <w:rStyle w:val="NormalTok"/>
        </w:rPr>
        <w:t xml:space="preserve">    </w:t>
      </w:r>
      <w:r>
        <w:rPr>
          <w:rStyle w:val="CommentTok"/>
        </w:rPr>
        <w:t xml:space="preserve"># using linear, product, quadratic features for expediency</w:t>
      </w:r>
      <w:r>
        <w:br/>
      </w:r>
      <w:r>
        <w:rPr>
          <w:rStyle w:val="NormalTok"/>
        </w:rPr>
        <w:t xml:space="preserve">    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trainData,</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classes =</w:t>
      </w:r>
      <w:r>
        <w:rPr>
          <w:rStyle w:val="NormalTok"/>
        </w:rPr>
        <w:t xml:space="preserve"> </w:t>
      </w:r>
      <w:r>
        <w:rPr>
          <w:rStyle w:val="StringTok"/>
        </w:rPr>
        <w:t xml:space="preserve">'lpq'</w:t>
      </w:r>
      <w:r>
        <w:br/>
      </w:r>
      <w:r>
        <w:rPr>
          <w:rStyle w:val="NormalTok"/>
        </w:rPr>
        <w:t xml:space="preserve">    )</w:t>
      </w:r>
      <w:r>
        <w:br/>
      </w:r>
      <w:r>
        <w:rPr>
          <w:rStyle w:val="NormalTok"/>
        </w:rPr>
        <w:t xml:space="preserve">    </w:t>
      </w:r>
      <w:r>
        <w:br/>
      </w:r>
      <w:r>
        <w:rPr>
          <w:rStyle w:val="NormalTok"/>
        </w:rPr>
        <w:t xml:space="preserve">    </w:t>
      </w:r>
      <w:r>
        <w:rPr>
          <w:rStyle w:val="CommentTok"/>
        </w:rPr>
        <w:t xml:space="preserve"># burn raster</w:t>
      </w:r>
      <w:r>
        <w:br/>
      </w:r>
      <w:r>
        <w:rPr>
          <w:rStyle w:val="NormalTok"/>
        </w:rPr>
        <w:t xml:space="preserve">    prediction </w:t>
      </w:r>
      <w:r>
        <w:rPr>
          <w:rStyle w:val="OtherTok"/>
        </w:rPr>
        <w:t xml:space="preserve">&lt;-</w:t>
      </w:r>
      <w:r>
        <w:rPr>
          <w:rStyle w:val="NormalTok"/>
        </w:rPr>
        <w:t xml:space="preserve"> </w:t>
      </w:r>
      <w:r>
        <w:rPr>
          <w:rStyle w:val="FunctionTok"/>
        </w:rPr>
        <w:t xml:space="preserve">predictEnmSdm</w:t>
      </w:r>
      <w:r>
        <w:rPr>
          <w:rStyle w:val="NormalTok"/>
        </w:rPr>
        <w:t xml:space="preserve">(model, currentClim)</w:t>
      </w:r>
      <w:r>
        <w:br/>
      </w:r>
      <w:r>
        <w:rPr>
          <w:rStyle w:val="NormalTok"/>
        </w:rPr>
        <w:t xml:space="preserve">    </w:t>
      </w:r>
      <w:r>
        <w:rPr>
          <w:rStyle w:val="FunctionTok"/>
        </w:rPr>
        <w:t xml:space="preserve">names</w:t>
      </w:r>
      <w:r>
        <w:rPr>
          <w:rStyle w:val="NormalTok"/>
        </w:rPr>
        <w:t xml:space="preserve">(prediction)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'buffer_'</w:t>
      </w:r>
      <w:r>
        <w:rPr>
          <w:rStyle w:val="NormalTok"/>
        </w:rPr>
        <w:t xml:space="preserve">, bufferSize_km, </w:t>
      </w:r>
      <w:r>
        <w:rPr>
          <w:rStyle w:val="StringTok"/>
        </w:rPr>
        <w:t xml:space="preserve">'_km'</w:t>
      </w:r>
      <w:r>
        <w:rPr>
          <w:rStyle w:val="NormalTok"/>
        </w:rPr>
        <w:t xml:space="preserve">)</w:t>
      </w:r>
      <w:r>
        <w:br/>
      </w:r>
      <w:r>
        <w:rPr>
          <w:rStyle w:val="NormalTok"/>
        </w:rPr>
        <w:t xml:space="preserve">    </w:t>
      </w:r>
      <w:r>
        <w:br/>
      </w:r>
      <w:r>
        <w:rPr>
          <w:rStyle w:val="NormalTok"/>
        </w:rPr>
        <w:t xml:space="preserve">    </w:t>
      </w:r>
      <w:r>
        <w:rPr>
          <w:rStyle w:val="CommentTok"/>
        </w:rPr>
        <w:t xml:space="preserve"># remember</w:t>
      </w:r>
      <w:r>
        <w:br/>
      </w:r>
      <w:r>
        <w:rPr>
          <w:rStyle w:val="NormalTok"/>
        </w:rPr>
        <w:t xml:space="preserve">    predictions[[i]] </w:t>
      </w:r>
      <w:r>
        <w:rPr>
          <w:rStyle w:val="OtherTok"/>
        </w:rPr>
        <w:t xml:space="preserve">&lt;-</w:t>
      </w:r>
      <w:r>
        <w:rPr>
          <w:rStyle w:val="NormalTok"/>
        </w:rPr>
        <w:t xml:space="preserve"> prediction</w:t>
      </w:r>
      <w:r>
        <w:br/>
      </w:r>
      <w:r>
        <w:rPr>
          <w:rStyle w:val="NormalTok"/>
        </w:rPr>
        <w:t xml:space="preserve">    </w:t>
      </w:r>
      <w:r>
        <w:br/>
      </w:r>
      <w:r>
        <w:br/>
      </w:r>
      <w:r>
        <w:rPr>
          <w:rStyle w:val="NormalTok"/>
        </w:rPr>
        <w:t xml:space="preserve">}</w:t>
      </w:r>
    </w:p>
    <w:p>
      <w:pPr>
        <w:pStyle w:val="SourceCode"/>
      </w:pPr>
      <w:r>
        <w:rPr>
          <w:rStyle w:val="VerbatimChar"/>
        </w:rPr>
        <w:t xml:space="preserve">##  Modeling with buffer of 20 km...</w:t>
      </w:r>
      <w:r>
        <w:br/>
      </w:r>
      <w:r>
        <w:rPr>
          <w:rStyle w:val="VerbatimChar"/>
        </w:rPr>
        <w:t xml:space="preserve">##  Modeling with buffer of 40 km...</w:t>
      </w:r>
      <w:r>
        <w:br/>
      </w:r>
      <w:r>
        <w:rPr>
          <w:rStyle w:val="VerbatimChar"/>
        </w:rPr>
        <w:t xml:space="preserve">##  Modeling with buffer of 80 km...</w:t>
      </w:r>
      <w:r>
        <w:br/>
      </w:r>
      <w:r>
        <w:rPr>
          <w:rStyle w:val="VerbatimChar"/>
        </w:rPr>
        <w:t xml:space="preserve">##  Modeling with buffer of 160 km...</w:t>
      </w:r>
    </w:p>
    <w:p>
      <w:pPr>
        <w:pStyle w:val="FirstParagraph"/>
      </w:pPr>
      <w:r>
        <w:t xml:space="preserve">Now, let’s examine the maps.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(bufferSizes_km)) {</w:t>
      </w:r>
      <w:r>
        <w:br/>
      </w:r>
      <w:r>
        <w:rPr>
          <w:rStyle w:val="NormalTok"/>
        </w:rPr>
        <w:t xml:space="preserve">    </w:t>
      </w:r>
      <w:r>
        <w:br/>
      </w:r>
      <w:r>
        <w:rPr>
          <w:rStyle w:val="NormalTok"/>
        </w:rPr>
        <w:t xml:space="preserve">    bufferSize_km </w:t>
      </w:r>
      <w:r>
        <w:rPr>
          <w:rStyle w:val="OtherTok"/>
        </w:rPr>
        <w:t xml:space="preserve">&lt;-</w:t>
      </w:r>
      <w:r>
        <w:rPr>
          <w:rStyle w:val="NormalTok"/>
        </w:rPr>
        <w:t xml:space="preserve"> bufferSizes_km[i]</w:t>
      </w:r>
      <w:r>
        <w:br/>
      </w:r>
      <w:r>
        <w:rPr>
          <w:rStyle w:val="NormalTok"/>
        </w:rPr>
        <w:t xml:space="preserve">    </w:t>
      </w:r>
      <w:r>
        <w:br/>
      </w:r>
      <w:r>
        <w:rPr>
          <w:rStyle w:val="NormalTok"/>
        </w:rPr>
        <w:t xml:space="preserve">    main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'Buffer '</w:t>
      </w:r>
      <w:r>
        <w:rPr>
          <w:rStyle w:val="NormalTok"/>
        </w:rPr>
        <w:t xml:space="preserve">, bufferSize_km, </w:t>
      </w:r>
      <w:r>
        <w:rPr>
          <w:rStyle w:val="StringTok"/>
        </w:rPr>
        <w:t xml:space="preserve">' km'</w:t>
      </w:r>
      <w:r>
        <w:rPr>
          <w:rStyle w:val="NormalTok"/>
        </w:rPr>
        <w:t xml:space="preserve">)</w:t>
      </w:r>
      <w:r>
        <w:br/>
      </w:r>
      <w:r>
        <w:rPr>
          <w:rStyle w:val="NormalTok"/>
        </w:rPr>
        <w:t xml:space="preserve">    </w:t>
      </w:r>
      <w:r>
        <w:rPr>
          <w:rStyle w:val="FunctionTok"/>
        </w:rPr>
        <w:t xml:space="preserve">plot</w:t>
      </w:r>
      <w:r>
        <w:rPr>
          <w:rStyle w:val="NormalTok"/>
        </w:rPr>
        <w:t xml:space="preserve">(predictions[[i]],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main)</w:t>
      </w:r>
      <w:r>
        <w:br/>
      </w:r>
      <w:r>
        <w:rPr>
          <w:rStyle w:val="NormalTok"/>
        </w:rPr>
        <w:t xml:space="preserve">    </w:t>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drawing>
          <wp:inline>
            <wp:extent cx="3733800" cy="2987040"/>
            <wp:effectExtent b="0" l="0" r="0" t="0"/>
            <wp:docPr descr="" title="" id="35" name="Picture"/>
            <a:graphic>
              <a:graphicData uri="http://schemas.openxmlformats.org/drawingml/2006/picture">
                <pic:pic>
                  <pic:nvPicPr>
                    <pic:cNvPr descr="15_niche_vs_distribution_modeling_files/figure-docx/unnamed-chunk-19-1.png" id="36" name="Picture"/>
                    <pic:cNvPicPr>
                      <a:picLocks noChangeArrowheads="1" noChangeAspect="1"/>
                    </pic:cNvPicPr>
                  </pic:nvPicPr>
                  <pic:blipFill>
                    <a:blip r:embed="rId3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that the extent of the areas from which we draw background sites affects the model predictions. Namely, smaller buffers seem to allow the model to predict high suitability outside of the range. Why? This likely happens because there are no background sites far from the range to act as absences and thus dissuade the model from predicting high levels of suitability there.</w:t>
      </w:r>
    </w:p>
    <w:p>
      <w:pPr>
        <w:pStyle w:val="BodyText"/>
      </w:pPr>
      <w:r>
        <w:t xml:space="preserve">But is this</w:t>
      </w:r>
      <w:r>
        <w:t xml:space="preserve"> </w:t>
      </w:r>
      <w:r>
        <w:t xml:space="preserve">“</w:t>
      </w:r>
      <w:r>
        <w:t xml:space="preserve">wrong</w:t>
      </w:r>
      <w:r>
        <w:t xml:space="preserve">”</w:t>
      </w:r>
      <w:r>
        <w:t xml:space="preserve">? Not necessarily–remember that the goal of ENMs is to estimate the species’ niche, not its distribution. It seems possible the species could live at least somewhat outside of its current range, but perhaps is restricted from doing so by other species (or niche axes we did not include in our model).</w:t>
      </w:r>
    </w:p>
    <w:bookmarkStart w:id="37" w:name="reflection"/>
    <w:p>
      <w:pPr>
        <w:pStyle w:val="Heading2"/>
      </w:pPr>
      <w:r>
        <w:rPr>
          <w:rStyle w:val="SectionNumber"/>
        </w:rPr>
        <w:t xml:space="preserve">2.1</w:t>
      </w:r>
      <w:r>
        <w:tab/>
      </w:r>
      <w:r>
        <w:t xml:space="preserve">Reflection</w:t>
      </w:r>
    </w:p>
    <w:p>
      <w:pPr>
        <w:numPr>
          <w:ilvl w:val="0"/>
          <w:numId w:val="1003"/>
        </w:numPr>
        <w:pStyle w:val="Compact"/>
      </w:pPr>
      <w:r>
        <w:t xml:space="preserve">If you were projecting a species’ response to climate change, which model type (SDM or ENM) should you use?</w:t>
      </w:r>
      <w:r>
        <w:br/>
      </w:r>
    </w:p>
    <w:p>
      <w:pPr>
        <w:numPr>
          <w:ilvl w:val="0"/>
          <w:numId w:val="1003"/>
        </w:numPr>
        <w:pStyle w:val="Compact"/>
      </w:pPr>
      <w:r>
        <w:t xml:space="preserve">How might you estimate</w:t>
      </w:r>
      <w:r>
        <w:t xml:space="preserve"> </w:t>
      </w:r>
      <w:r>
        <w:rPr>
          <w:bCs/>
          <w:b/>
        </w:rPr>
        <w:t xml:space="preserve">M</w:t>
      </w:r>
      <w:r>
        <w:t xml:space="preserve"> </w:t>
      </w:r>
      <w:r>
        <w:t xml:space="preserve">(in the BAM diagram)? Do you think it is possible to estimate</w:t>
      </w:r>
      <w:r>
        <w:t xml:space="preserve"> </w:t>
      </w:r>
      <w:r>
        <w:rPr>
          <w:bCs/>
          <w:b/>
        </w:rPr>
        <w:t xml:space="preserve">A</w:t>
      </w:r>
      <w: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21" Target="http://dx.doi.org/10.1016/j.tree.2013.01.007" TargetMode="External" /><Relationship Type="http://schemas.openxmlformats.org/officeDocument/2006/relationships/hyperlink" Id="rId22" Target="http://dx.doi.org/10.1016/j.tree.2013.02.003" TargetMode="External" /><Relationship Type="http://schemas.openxmlformats.org/officeDocument/2006/relationships/hyperlink" Id="rId24" Target="http://press.princeton.edu/titles/9641.html%5D" TargetMode="External" /><Relationship Type="http://schemas.openxmlformats.org/officeDocument/2006/relationships/hyperlink" Id="rId23" Target="http://www.dx.doi.org/10.1016/j.ecolmodel.2011.02.011" TargetMode="External" /><Relationship Type="http://schemas.openxmlformats.org/officeDocument/2006/relationships/hyperlink" Id="rId26" Target="http://www.dx.doi.org/10.1073/pnas.0901637106" TargetMode="External" /><Relationship Type="http://schemas.openxmlformats.org/officeDocument/2006/relationships/hyperlink" Id="rId25" Target="http://www.dx.doi.org/10.1111/j.1461-0248.2007.01107.x" TargetMode="External" /><Relationship Type="http://schemas.openxmlformats.org/officeDocument/2006/relationships/hyperlink" Id="rId20" Target="http://www.dx.doi/org/10.1016/j.tree.2012.03.010" TargetMode="External" /><Relationship Type="http://schemas.openxmlformats.org/officeDocument/2006/relationships/hyperlink" Id="rId30" Target="https://doi.org/10.1086/697537" TargetMode="External" /><Relationship Type="http://schemas.openxmlformats.org/officeDocument/2006/relationships/hyperlink" Id="rId32" Target="https://doi.org/10.1111/2041-210X.12832" TargetMode="External" /><Relationship Type="http://schemas.openxmlformats.org/officeDocument/2006/relationships/hyperlink" Id="rId33" Target="https://doi.org/10.21425/F5FBG48814" TargetMode="External" /></Relationships>
</file>

<file path=word/_rels/footnotes.xml.rels><?xml version="1.0" encoding="UTF-8"?><Relationships xmlns="http://schemas.openxmlformats.org/package/2006/relationships"><Relationship Type="http://schemas.openxmlformats.org/officeDocument/2006/relationships/hyperlink" Id="rId21" Target="http://dx.doi.org/10.1016/j.tree.2013.01.007" TargetMode="External" /><Relationship Type="http://schemas.openxmlformats.org/officeDocument/2006/relationships/hyperlink" Id="rId22" Target="http://dx.doi.org/10.1016/j.tree.2013.02.003" TargetMode="External" /><Relationship Type="http://schemas.openxmlformats.org/officeDocument/2006/relationships/hyperlink" Id="rId24" Target="http://press.princeton.edu/titles/9641.html%5D" TargetMode="External" /><Relationship Type="http://schemas.openxmlformats.org/officeDocument/2006/relationships/hyperlink" Id="rId23" Target="http://www.dx.doi.org/10.1016/j.ecolmodel.2011.02.011" TargetMode="External" /><Relationship Type="http://schemas.openxmlformats.org/officeDocument/2006/relationships/hyperlink" Id="rId26" Target="http://www.dx.doi.org/10.1073/pnas.0901637106" TargetMode="External" /><Relationship Type="http://schemas.openxmlformats.org/officeDocument/2006/relationships/hyperlink" Id="rId25" Target="http://www.dx.doi.org/10.1111/j.1461-0248.2007.01107.x" TargetMode="External" /><Relationship Type="http://schemas.openxmlformats.org/officeDocument/2006/relationships/hyperlink" Id="rId20" Target="http://www.dx.doi/org/10.1016/j.tree.2012.03.010" TargetMode="External" /><Relationship Type="http://schemas.openxmlformats.org/officeDocument/2006/relationships/hyperlink" Id="rId30" Target="https://doi.org/10.1086/697537" TargetMode="External" /><Relationship Type="http://schemas.openxmlformats.org/officeDocument/2006/relationships/hyperlink" Id="rId32" Target="https://doi.org/10.1111/2041-210X.12832" TargetMode="External" /><Relationship Type="http://schemas.openxmlformats.org/officeDocument/2006/relationships/hyperlink" Id="rId33" Target="https://doi.org/10.21425/F5FBG488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15: Niche versus Distribution Modeling</dc:title>
  <dc:creator>Adam B. Smith | Missouri Botanical Garden</dc:creator>
  <cp:keywords/>
  <dcterms:created xsi:type="dcterms:W3CDTF">2025-02-01T04:36:20Z</dcterms:created>
  <dcterms:modified xsi:type="dcterms:W3CDTF">2025-02-01T04:36:20Z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