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A46B" w14:textId="77777777" w:rsidR="00D7522C" w:rsidRPr="00E85BEC" w:rsidRDefault="00E85BEC" w:rsidP="00E85BEC">
      <w:pPr>
        <w:pStyle w:val="papertitle"/>
        <w:spacing w:before="100" w:beforeAutospacing="1" w:after="100" w:afterAutospacing="1"/>
      </w:pPr>
      <w:r>
        <w:t>GlassCasino: Secure, fair iGaming in a decentralized age</w:t>
      </w:r>
    </w:p>
    <w:p w14:paraId="3577A1B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83EBA1" w14:textId="77777777" w:rsidR="00447BB9" w:rsidRPr="00E85BEC" w:rsidRDefault="00BD670B" w:rsidP="00E85BEC">
      <w:pPr>
        <w:pStyle w:val="Author"/>
        <w:spacing w:before="100" w:beforeAutospacing="1"/>
        <w:rPr>
          <w:sz w:val="18"/>
          <w:szCs w:val="18"/>
        </w:rPr>
      </w:pPr>
      <w:r>
        <w:rPr>
          <w:sz w:val="18"/>
          <w:szCs w:val="18"/>
        </w:rPr>
        <w:br w:type="column"/>
      </w:r>
      <w:r w:rsidR="00E85BEC">
        <w:rPr>
          <w:sz w:val="18"/>
          <w:szCs w:val="18"/>
        </w:rPr>
        <w:t>Adam Hodson</w:t>
      </w:r>
      <w:r w:rsidR="001A3B3D" w:rsidRPr="00F847A6">
        <w:rPr>
          <w:sz w:val="18"/>
          <w:szCs w:val="18"/>
        </w:rPr>
        <w:br/>
      </w:r>
      <w:r w:rsidR="00E85BEC">
        <w:rPr>
          <w:sz w:val="18"/>
          <w:szCs w:val="18"/>
        </w:rPr>
        <w:t>L3 BSc Computer Science Project</w:t>
      </w:r>
      <w:r w:rsidR="001A3B3D" w:rsidRPr="00F847A6">
        <w:rPr>
          <w:i/>
          <w:sz w:val="18"/>
          <w:szCs w:val="18"/>
        </w:rPr>
        <w:br/>
      </w:r>
      <w:r w:rsidR="00E85BEC">
        <w:rPr>
          <w:sz w:val="18"/>
          <w:szCs w:val="18"/>
        </w:rPr>
        <w:t>Durham Univeristy, UK</w:t>
      </w:r>
      <w:r w:rsidR="001A3B3D" w:rsidRPr="00F847A6">
        <w:rPr>
          <w:sz w:val="18"/>
          <w:szCs w:val="18"/>
        </w:rPr>
        <w:br/>
      </w:r>
      <w:r w:rsidR="00E85BEC">
        <w:rPr>
          <w:sz w:val="18"/>
          <w:szCs w:val="18"/>
        </w:rPr>
        <w:t>qvhf99@durham.ac.uk</w:t>
      </w:r>
    </w:p>
    <w:p w14:paraId="64F36CE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9A4FB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94EA949" w14:textId="77777777" w:rsidR="009303D9" w:rsidRPr="002919AC" w:rsidRDefault="009303D9" w:rsidP="00DB01A0">
      <w:pPr>
        <w:pStyle w:val="Abstract"/>
        <w:rPr>
          <w:sz w:val="20"/>
          <w:szCs w:val="20"/>
        </w:rPr>
      </w:pPr>
      <w:r w:rsidRPr="002919AC">
        <w:rPr>
          <w:i/>
          <w:iCs/>
          <w:sz w:val="20"/>
          <w:szCs w:val="20"/>
        </w:rPr>
        <w:t>Abstract</w:t>
      </w:r>
      <w:r w:rsidR="00DB01A0" w:rsidRPr="002919AC">
        <w:rPr>
          <w:i/>
          <w:iCs/>
          <w:sz w:val="20"/>
          <w:szCs w:val="20"/>
        </w:rPr>
        <w:t xml:space="preserve"> </w:t>
      </w:r>
      <w:r w:rsidRPr="002919AC">
        <w:rPr>
          <w:sz w:val="20"/>
          <w:szCs w:val="20"/>
        </w:rPr>
        <w:t>—</w:t>
      </w:r>
    </w:p>
    <w:p w14:paraId="59C15F29" w14:textId="77777777" w:rsidR="00DB01A0" w:rsidRPr="002919AC" w:rsidRDefault="00DB01A0" w:rsidP="00DB01A0">
      <w:pPr>
        <w:pStyle w:val="Abstract"/>
        <w:rPr>
          <w:b w:val="0"/>
          <w:bCs w:val="0"/>
          <w:sz w:val="20"/>
          <w:szCs w:val="20"/>
        </w:rPr>
      </w:pPr>
      <w:r w:rsidRPr="002919AC">
        <w:rPr>
          <w:sz w:val="20"/>
          <w:szCs w:val="20"/>
        </w:rPr>
        <w:t xml:space="preserve">Background: </w:t>
      </w:r>
      <w:r w:rsidRPr="002919AC">
        <w:rPr>
          <w:b w:val="0"/>
          <w:bCs w:val="0"/>
          <w:sz w:val="20"/>
          <w:szCs w:val="20"/>
        </w:rPr>
        <w:t>-</w:t>
      </w:r>
    </w:p>
    <w:p w14:paraId="6A6C9BA8" w14:textId="77777777" w:rsidR="00DB01A0" w:rsidRPr="002919AC" w:rsidRDefault="00DB01A0" w:rsidP="00DB01A0">
      <w:pPr>
        <w:pStyle w:val="Abstract"/>
        <w:rPr>
          <w:b w:val="0"/>
          <w:bCs w:val="0"/>
          <w:sz w:val="20"/>
          <w:szCs w:val="20"/>
        </w:rPr>
      </w:pPr>
      <w:r w:rsidRPr="002919AC">
        <w:rPr>
          <w:sz w:val="20"/>
          <w:szCs w:val="20"/>
        </w:rPr>
        <w:t xml:space="preserve">Aims: </w:t>
      </w:r>
      <w:r w:rsidRPr="002919AC">
        <w:rPr>
          <w:b w:val="0"/>
          <w:bCs w:val="0"/>
          <w:sz w:val="20"/>
          <w:szCs w:val="20"/>
        </w:rPr>
        <w:t>-</w:t>
      </w:r>
    </w:p>
    <w:p w14:paraId="639C6E38" w14:textId="77777777" w:rsidR="00DB01A0" w:rsidRPr="002919AC" w:rsidRDefault="00DB01A0" w:rsidP="00DB01A0">
      <w:pPr>
        <w:pStyle w:val="Abstract"/>
        <w:rPr>
          <w:b w:val="0"/>
          <w:bCs w:val="0"/>
          <w:sz w:val="20"/>
          <w:szCs w:val="20"/>
        </w:rPr>
      </w:pPr>
      <w:r w:rsidRPr="002919AC">
        <w:rPr>
          <w:sz w:val="20"/>
          <w:szCs w:val="20"/>
        </w:rPr>
        <w:t xml:space="preserve">Method: </w:t>
      </w:r>
      <w:r w:rsidRPr="002919AC">
        <w:rPr>
          <w:b w:val="0"/>
          <w:bCs w:val="0"/>
          <w:sz w:val="20"/>
          <w:szCs w:val="20"/>
        </w:rPr>
        <w:t>-</w:t>
      </w:r>
    </w:p>
    <w:p w14:paraId="033D53A8" w14:textId="77777777" w:rsidR="00DB01A0" w:rsidRPr="002919AC" w:rsidRDefault="00DB01A0" w:rsidP="00DB01A0">
      <w:pPr>
        <w:pStyle w:val="Abstract"/>
        <w:rPr>
          <w:b w:val="0"/>
          <w:bCs w:val="0"/>
          <w:sz w:val="20"/>
          <w:szCs w:val="20"/>
        </w:rPr>
      </w:pPr>
      <w:r w:rsidRPr="002919AC">
        <w:rPr>
          <w:sz w:val="20"/>
          <w:szCs w:val="20"/>
        </w:rPr>
        <w:t xml:space="preserve">Results: </w:t>
      </w:r>
      <w:r w:rsidRPr="002919AC">
        <w:rPr>
          <w:b w:val="0"/>
          <w:bCs w:val="0"/>
          <w:sz w:val="20"/>
          <w:szCs w:val="20"/>
        </w:rPr>
        <w:t>-</w:t>
      </w:r>
    </w:p>
    <w:p w14:paraId="62BF0A6D" w14:textId="77777777" w:rsidR="00DB01A0" w:rsidRDefault="00DB01A0" w:rsidP="00DB01A0">
      <w:pPr>
        <w:pStyle w:val="Abstract"/>
        <w:rPr>
          <w:b w:val="0"/>
          <w:bCs w:val="0"/>
          <w:sz w:val="20"/>
          <w:szCs w:val="20"/>
        </w:rPr>
      </w:pPr>
      <w:r w:rsidRPr="002919AC">
        <w:rPr>
          <w:sz w:val="20"/>
          <w:szCs w:val="20"/>
        </w:rPr>
        <w:t xml:space="preserve">Conclusions: </w:t>
      </w:r>
      <w:r w:rsidRPr="002919AC">
        <w:rPr>
          <w:b w:val="0"/>
          <w:bCs w:val="0"/>
          <w:sz w:val="20"/>
          <w:szCs w:val="20"/>
        </w:rPr>
        <w:t>-</w:t>
      </w:r>
    </w:p>
    <w:p w14:paraId="55FFF2DB" w14:textId="77777777" w:rsidR="00B96C50" w:rsidRPr="00B96C50" w:rsidRDefault="00B96C50" w:rsidP="00B96C50">
      <w:pPr>
        <w:pStyle w:val="Abstract"/>
        <w:rPr>
          <w:b w:val="0"/>
          <w:bCs w:val="0"/>
          <w:sz w:val="20"/>
          <w:szCs w:val="20"/>
        </w:rPr>
      </w:pPr>
      <w:r>
        <w:rPr>
          <w:i/>
          <w:iCs/>
          <w:sz w:val="20"/>
          <w:szCs w:val="20"/>
        </w:rPr>
        <w:t>Keywords</w:t>
      </w:r>
      <w:r w:rsidRPr="002919AC">
        <w:rPr>
          <w:i/>
          <w:iCs/>
          <w:sz w:val="20"/>
          <w:szCs w:val="20"/>
        </w:rPr>
        <w:t xml:space="preserve"> </w:t>
      </w:r>
      <w:r w:rsidRPr="002919AC">
        <w:rPr>
          <w:sz w:val="20"/>
          <w:szCs w:val="20"/>
        </w:rPr>
        <w:t>—</w:t>
      </w:r>
      <w:r>
        <w:rPr>
          <w:sz w:val="20"/>
          <w:szCs w:val="20"/>
        </w:rPr>
        <w:t xml:space="preserve"> </w:t>
      </w:r>
      <w:r>
        <w:rPr>
          <w:b w:val="0"/>
          <w:bCs w:val="0"/>
          <w:sz w:val="20"/>
          <w:szCs w:val="20"/>
        </w:rPr>
        <w:t>Blockchain,</w:t>
      </w:r>
      <w:r w:rsidR="008E6EF0">
        <w:rPr>
          <w:b w:val="0"/>
          <w:bCs w:val="0"/>
          <w:sz w:val="20"/>
          <w:szCs w:val="20"/>
        </w:rPr>
        <w:t xml:space="preserve"> Ethereum, Smart Contracts, MATIC, iGaming, gambling, Web3, Vue, Solidity</w:t>
      </w:r>
    </w:p>
    <w:p w14:paraId="5714A4AF" w14:textId="77777777" w:rsidR="009303D9" w:rsidRDefault="009303D9" w:rsidP="005B520E">
      <w:pPr>
        <w:pStyle w:val="Heading1"/>
        <w:rPr>
          <w:b/>
          <w:bCs/>
        </w:rPr>
      </w:pPr>
      <w:r w:rsidRPr="00DB01A0">
        <w:rPr>
          <w:b/>
          <w:bCs/>
        </w:rPr>
        <w:t>Introduction</w:t>
      </w:r>
    </w:p>
    <w:p w14:paraId="4DFEA158" w14:textId="4FFDA227" w:rsidR="002919AC" w:rsidRDefault="00B33A11" w:rsidP="00B33A11">
      <w:pPr>
        <w:ind w:firstLine="720"/>
        <w:jc w:val="both"/>
      </w:pPr>
      <w:r>
        <w:t>In recent years, blockchain technologies have exploded in popularity. Particularly during the 2020-2021 COVID-19 pandemic where we saw a sharp rise in interest in these technologies; largely credited to NFTs</w:t>
      </w:r>
      <w:r w:rsidR="0020521D">
        <w:t xml:space="preserve"> </w:t>
      </w:r>
      <w:sdt>
        <w:sdtPr>
          <w:rPr>
            <w:color w:val="000000"/>
          </w:rPr>
          <w:tag w:val="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
          <w:id w:val="1163892804"/>
          <w:placeholder>
            <w:docPart w:val="DefaultPlaceholder_-1854013440"/>
          </w:placeholder>
        </w:sdtPr>
        <w:sdtContent>
          <w:r w:rsidR="00B04D1B" w:rsidRPr="00B04D1B">
            <w:rPr>
              <w:color w:val="000000"/>
            </w:rPr>
            <w:t>(Dowling, 2021)</w:t>
          </w:r>
        </w:sdtContent>
      </w:sdt>
      <w:r>
        <w:t xml:space="preserve">. The industry is now far beyond scope of an “electronic cash system” proposed in </w:t>
      </w:r>
      <w:r w:rsidR="00A66DD1">
        <w:t>the</w:t>
      </w:r>
      <w:r>
        <w:t xml:space="preserve"> seminal paper</w:t>
      </w:r>
      <w:r w:rsidR="00A66DD1">
        <w:t xml:space="preserve"> </w:t>
      </w:r>
      <w:r w:rsidR="00A66DD1">
        <w:t xml:space="preserve">on blockchain </w:t>
      </w:r>
      <w:sdt>
        <w:sdtPr>
          <w:rPr>
            <w:color w:val="000000"/>
          </w:rPr>
          <w:tag w:val="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
          <w:id w:val="294265267"/>
          <w:placeholder>
            <w:docPart w:val="DefaultPlaceholder_-1854013440"/>
          </w:placeholder>
        </w:sdtPr>
        <w:sdtContent>
          <w:r w:rsidR="00B04D1B" w:rsidRPr="00B04D1B">
            <w:rPr>
              <w:color w:val="000000"/>
            </w:rPr>
            <w:t>(Nakamoto, 2008)</w:t>
          </w:r>
        </w:sdtContent>
      </w:sdt>
      <w:r w:rsidR="005E65A3">
        <w:rPr>
          <w:color w:val="000000"/>
        </w:rPr>
        <w:t xml:space="preserve"> </w:t>
      </w:r>
      <w:r>
        <w:t>as</w:t>
      </w:r>
      <w:r w:rsidR="005260D4">
        <w:t xml:space="preserve"> recently</w:t>
      </w:r>
      <w:r>
        <w:t xml:space="preserve"> interest</w:t>
      </w:r>
      <w:r w:rsidR="005260D4">
        <w:t xml:space="preserve"> now</w:t>
      </w:r>
      <w:r>
        <w:t xml:space="preserve"> lies in how classical, centralized systems and networks can be moved to incorporate blockchain to harness its various advantages.</w:t>
      </w:r>
    </w:p>
    <w:p w14:paraId="707F1E87" w14:textId="5344AEF0" w:rsidR="00926577" w:rsidRDefault="00B33A11" w:rsidP="005B7E7F">
      <w:pPr>
        <w:ind w:firstLine="720"/>
        <w:jc w:val="both"/>
      </w:pPr>
      <w:r>
        <w:t>This project considers one of the practical applications of blockchain as a replacement for the status quo in the industry of iGaming</w:t>
      </w:r>
      <w:r w:rsidR="00126AEC">
        <w:t xml:space="preserve"> </w:t>
      </w:r>
      <w:r w:rsidR="00126AEC">
        <w:t xml:space="preserve">(internet-based </w:t>
      </w:r>
      <w:r w:rsidR="0036707C">
        <w:t>chance games</w:t>
      </w:r>
      <w:r w:rsidR="00126AEC">
        <w:t>)</w:t>
      </w:r>
      <w:r>
        <w:t>. We aim to use to use blockchain technologies to create a transparent, cryptographically secure, and fair gaming platform. This will consist of a user interface, blockchain-based assets, and a backend server to manage tasks that still cannot be done on-chain.</w:t>
      </w:r>
    </w:p>
    <w:p w14:paraId="5DFF4862" w14:textId="77777777" w:rsidR="005B7E7F" w:rsidRDefault="005B7E7F" w:rsidP="009D2E44">
      <w:pPr>
        <w:jc w:val="both"/>
      </w:pPr>
    </w:p>
    <w:p w14:paraId="70A364E0" w14:textId="0BF17D0F" w:rsidR="00926577" w:rsidRDefault="0068458A" w:rsidP="00926577">
      <w:pPr>
        <w:pStyle w:val="Heading2"/>
        <w:rPr>
          <w:b/>
          <w:bCs/>
        </w:rPr>
      </w:pPr>
      <w:r>
        <w:rPr>
          <w:b/>
          <w:bCs/>
        </w:rPr>
        <w:t>Background</w:t>
      </w:r>
    </w:p>
    <w:p w14:paraId="20AF094A" w14:textId="02E6B497" w:rsidR="0074458A" w:rsidRDefault="00926577" w:rsidP="0074458A">
      <w:pPr>
        <w:ind w:firstLine="288"/>
        <w:jc w:val="both"/>
      </w:pPr>
      <w:r>
        <w:t>A blockchain</w:t>
      </w:r>
      <w:r w:rsidR="0074458A">
        <w:t xml:space="preserve"> is fundamentally a widely distributed ledger of transactions. It is backed by a consensus algorithm to stop bad actors from manipulating the transaction history for their benefit. A group of transactions is grouped into a ‘block’ with a unique identifier in the form of a hash. This hash, along with the transactions in the block, is used to create the next hash. For a new block to be added to the chain, consensus must be reached that it is valid by all nodes on the network.</w:t>
      </w:r>
      <w:r w:rsidR="00A8363F">
        <w:t xml:space="preserve"> From this it is obvious that the longest, valid chain on the network is the source of truth. </w:t>
      </w:r>
    </w:p>
    <w:p w14:paraId="581C6057" w14:textId="77777777" w:rsidR="00A8363F" w:rsidRDefault="00A8363F" w:rsidP="00BC439A">
      <w:pPr>
        <w:keepNext/>
        <w:ind w:firstLine="288"/>
      </w:pPr>
      <w:r>
        <w:rPr>
          <w:noProof/>
        </w:rPr>
        <w:drawing>
          <wp:inline distT="0" distB="0" distL="0" distR="0" wp14:anchorId="3BB38D22" wp14:editId="47CDA14B">
            <wp:extent cx="5564038" cy="100973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624972" cy="1020789"/>
                    </a:xfrm>
                    <a:prstGeom prst="rect">
                      <a:avLst/>
                    </a:prstGeom>
                  </pic:spPr>
                </pic:pic>
              </a:graphicData>
            </a:graphic>
          </wp:inline>
        </w:drawing>
      </w:r>
    </w:p>
    <w:p w14:paraId="67AAC4FE" w14:textId="31EFFDAF" w:rsidR="00A8363F" w:rsidRDefault="00A8363F" w:rsidP="00A8363F">
      <w:pPr>
        <w:pStyle w:val="Caption"/>
      </w:pPr>
      <w:r>
        <w:t xml:space="preserve">Figure </w:t>
      </w:r>
      <w:r>
        <w:fldChar w:fldCharType="begin"/>
      </w:r>
      <w:r>
        <w:instrText xml:space="preserve"> SEQ Figure \* ARABIC </w:instrText>
      </w:r>
      <w:r>
        <w:fldChar w:fldCharType="separate"/>
      </w:r>
      <w:r w:rsidR="00BC439A">
        <w:rPr>
          <w:noProof/>
        </w:rPr>
        <w:t>1</w:t>
      </w:r>
      <w:r>
        <w:fldChar w:fldCharType="end"/>
      </w:r>
      <w:r>
        <w:t xml:space="preserve"> – </w:t>
      </w:r>
      <w:r w:rsidR="005B7E7F">
        <w:t>The block structure used in Bitcoin (Nakamoto 2008).</w:t>
      </w:r>
    </w:p>
    <w:p w14:paraId="7223D5F9" w14:textId="2D543DD9" w:rsidR="00926577" w:rsidRDefault="0074458A" w:rsidP="0074458A">
      <w:pPr>
        <w:ind w:firstLine="288"/>
        <w:jc w:val="both"/>
      </w:pPr>
      <w:r>
        <w:t>The consensus algorithm proposed by Nakamoto in his 2008 paper is Proof-of-Work (</w:t>
      </w:r>
      <w:proofErr w:type="spellStart"/>
      <w:r>
        <w:t>PoW</w:t>
      </w:r>
      <w:proofErr w:type="spellEnd"/>
      <w:r>
        <w:t xml:space="preserve">). Bitcoin’s </w:t>
      </w:r>
      <w:proofErr w:type="spellStart"/>
      <w:r>
        <w:t>PoW</w:t>
      </w:r>
      <w:proofErr w:type="spellEnd"/>
      <w:r>
        <w:t xml:space="preserve"> algorithm works by incrementing a nonce value in the block until a value is found that </w:t>
      </w:r>
      <w:r w:rsidR="00A8363F">
        <w:t>satisfies the hash. Since editing the block would change the hash (and thus create the need to re-validate it) we end up with an immutable chain of validated transactions. To attack the network, the attacker would have to control more than half of the nodes of the network as otherwise the non-malicious nodes chain will outpace the attacker’s chain. The act of validating a block is called mining and is often a pooled effort due to the enormous amount of computing power required.</w:t>
      </w:r>
      <w:r w:rsidR="009F6E8E">
        <w:t xml:space="preserve"> Miners are rewarded with ‘coins’ which are then traded around the network in the blocks’ transactions, thus forming a currency.</w:t>
      </w:r>
    </w:p>
    <w:p w14:paraId="3A0996BD" w14:textId="4F364E96" w:rsidR="00A8363F" w:rsidRDefault="00A8363F" w:rsidP="0074458A">
      <w:pPr>
        <w:ind w:firstLine="288"/>
        <w:jc w:val="both"/>
      </w:pPr>
      <w:r>
        <w:t xml:space="preserve">However, </w:t>
      </w:r>
      <w:proofErr w:type="spellStart"/>
      <w:r>
        <w:t>PoW</w:t>
      </w:r>
      <w:proofErr w:type="spellEnd"/>
      <w:r>
        <w:t xml:space="preserve"> is slowly falling out of favor in the industry due to severe bottlenecking as the blocks’ hash difficulty is raised</w:t>
      </w:r>
      <w:r w:rsidR="003D7818">
        <w:t xml:space="preserve"> and t</w:t>
      </w:r>
      <w:r w:rsidR="00427E9B">
        <w:t>he high energy consumption</w:t>
      </w:r>
      <w:r w:rsidR="00361D6B">
        <w:t xml:space="preserve"> </w:t>
      </w:r>
      <w:sdt>
        <w:sdtPr>
          <w:rPr>
            <w:color w:val="000000"/>
          </w:rPr>
          <w:tag w:val="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
          <w:id w:val="700670106"/>
          <w:placeholder>
            <w:docPart w:val="DefaultPlaceholder_-1854013440"/>
          </w:placeholder>
        </w:sdtPr>
        <w:sdtContent>
          <w:r w:rsidR="00B04D1B" w:rsidRPr="00B04D1B">
            <w:rPr>
              <w:color w:val="000000"/>
            </w:rPr>
            <w:t>(Li et al., 2019)</w:t>
          </w:r>
        </w:sdtContent>
      </w:sdt>
      <w:r w:rsidR="00427E9B">
        <w:t xml:space="preserve"> </w:t>
      </w:r>
      <w:r w:rsidR="00361D6B">
        <w:t>raising</w:t>
      </w:r>
      <w:r w:rsidR="00427E9B">
        <w:t xml:space="preserve"> environmental concerns</w:t>
      </w:r>
      <w:r>
        <w:t>. More modern blockchain projects like ADA</w:t>
      </w:r>
      <w:r w:rsidR="0061215C">
        <w:t xml:space="preserve"> or ADA</w:t>
      </w:r>
      <w:r>
        <w:t xml:space="preserve"> are backed by Proof of Stake (</w:t>
      </w:r>
      <w:proofErr w:type="spellStart"/>
      <w:r>
        <w:t>PoS</w:t>
      </w:r>
      <w:proofErr w:type="spellEnd"/>
      <w:r>
        <w:t xml:space="preserve">) consensus protocols. It is </w:t>
      </w:r>
      <w:r w:rsidR="00E22B9A">
        <w:t>more sustainable in terms of energy consumption and is less vulnerable to malicious miners attacking the network</w:t>
      </w:r>
      <w:r w:rsidR="009F6E8E">
        <w:t xml:space="preserve"> </w:t>
      </w:r>
      <w:sdt>
        <w:sdtPr>
          <w:rPr>
            <w:color w:val="000000"/>
          </w:rPr>
          <w:tag w:val="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
          <w:id w:val="-1077121961"/>
          <w:placeholder>
            <w:docPart w:val="DefaultPlaceholder_-1854013440"/>
          </w:placeholder>
        </w:sdtPr>
        <w:sdtContent>
          <w:r w:rsidR="00B04D1B" w:rsidRPr="00B04D1B">
            <w:rPr>
              <w:color w:val="000000"/>
            </w:rPr>
            <w:t>(Nguyen et al., 2019)</w:t>
          </w:r>
        </w:sdtContent>
      </w:sdt>
      <w:r w:rsidR="00E22B9A">
        <w:t xml:space="preserve">. This is because blocks can only be validated by miners who have staked that much in a coin. This discourages powering up the most powerful computers </w:t>
      </w:r>
      <w:proofErr w:type="spellStart"/>
      <w:r w:rsidR="00E22B9A">
        <w:t>en</w:t>
      </w:r>
      <w:proofErr w:type="spellEnd"/>
      <w:r w:rsidR="00E22B9A">
        <w:t xml:space="preserve">-masse and instead encourages investment </w:t>
      </w:r>
      <w:r w:rsidR="00361D6B">
        <w:t>into the cryptocurrency to be a validator.</w:t>
      </w:r>
    </w:p>
    <w:p w14:paraId="36F553CD" w14:textId="6F75A094" w:rsidR="00860DAB" w:rsidRDefault="00860DAB" w:rsidP="0074458A">
      <w:pPr>
        <w:ind w:firstLine="288"/>
        <w:jc w:val="both"/>
      </w:pPr>
    </w:p>
    <w:p w14:paraId="477D9685" w14:textId="062C81FE" w:rsidR="00BC439A" w:rsidRDefault="00860DAB" w:rsidP="00BC439A">
      <w:pPr>
        <w:ind w:firstLine="288"/>
        <w:jc w:val="both"/>
      </w:pPr>
      <w:r>
        <w:t>Second generation blockchains like Ethereum (ETH) introduced</w:t>
      </w:r>
      <w:r w:rsidR="00402742">
        <w:t xml:space="preserve"> the concept of a ‘smart contract’ </w:t>
      </w:r>
      <w:sdt>
        <w:sdtPr>
          <w:rPr>
            <w:color w:val="000000"/>
          </w:rPr>
          <w:tag w:val="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
          <w:id w:val="2134517517"/>
          <w:placeholder>
            <w:docPart w:val="DefaultPlaceholder_-1854013440"/>
          </w:placeholder>
        </w:sdtPr>
        <w:sdtContent>
          <w:r w:rsidR="00B04D1B" w:rsidRPr="00B04D1B">
            <w:rPr>
              <w:color w:val="000000"/>
            </w:rPr>
            <w:t>(</w:t>
          </w:r>
          <w:proofErr w:type="spellStart"/>
          <w:r w:rsidR="00B04D1B" w:rsidRPr="00B04D1B">
            <w:rPr>
              <w:color w:val="000000"/>
            </w:rPr>
            <w:t>Buterin</w:t>
          </w:r>
          <w:proofErr w:type="spellEnd"/>
          <w:r w:rsidR="00B04D1B" w:rsidRPr="00B04D1B">
            <w:rPr>
              <w:color w:val="000000"/>
            </w:rPr>
            <w:t>, 2014)</w:t>
          </w:r>
        </w:sdtContent>
      </w:sdt>
      <w:r w:rsidR="00402742">
        <w:t xml:space="preserve">. This effectively allows Turing-complete programs to be written and deployed to the </w:t>
      </w:r>
      <w:r w:rsidR="00254611">
        <w:t>network. In this regard, Ethereum is more of a distribute state machine than a distributed ledger</w:t>
      </w:r>
      <w:r w:rsidR="00BC439A">
        <w:t xml:space="preserve"> as each node on the Ethereum network runs an instance of the EVM</w:t>
      </w:r>
      <w:r w:rsidR="00202CC9">
        <w:t xml:space="preserve"> to allow them to process the operations of a smart contract.</w:t>
      </w:r>
      <w:r w:rsidR="004008DD">
        <w:t xml:space="preserve"> This allows for anyone to deploy a smart contract with their own code, run it and receive completely deterministic results in a trustless decentralized network. This is an incredibly powerful </w:t>
      </w:r>
      <w:r w:rsidR="005A0A2B">
        <w:t>concept</w:t>
      </w:r>
      <w:r w:rsidR="004008DD">
        <w:t xml:space="preserve"> and has countless </w:t>
      </w:r>
      <w:r w:rsidR="00BA607A">
        <w:t xml:space="preserve">possible </w:t>
      </w:r>
      <w:r w:rsidR="004008DD">
        <w:t>applications</w:t>
      </w:r>
      <w:r w:rsidR="00BA607A">
        <w:t xml:space="preserve"> that are only just beginning to be explored</w:t>
      </w:r>
      <w:r w:rsidR="004008DD">
        <w:t>.</w:t>
      </w:r>
    </w:p>
    <w:p w14:paraId="4AC1519D" w14:textId="77777777" w:rsidR="00BC439A" w:rsidRDefault="00BC439A" w:rsidP="00BC439A">
      <w:pPr>
        <w:keepNext/>
        <w:ind w:firstLine="288"/>
      </w:pPr>
      <w:r>
        <w:rPr>
          <w:noProof/>
        </w:rPr>
        <w:drawing>
          <wp:inline distT="0" distB="0" distL="0" distR="0" wp14:anchorId="75FDF9FE" wp14:editId="5E4499CA">
            <wp:extent cx="5227607" cy="29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169" cy="2943329"/>
                    </a:xfrm>
                    <a:prstGeom prst="rect">
                      <a:avLst/>
                    </a:prstGeom>
                    <a:noFill/>
                    <a:ln>
                      <a:noFill/>
                    </a:ln>
                  </pic:spPr>
                </pic:pic>
              </a:graphicData>
            </a:graphic>
          </wp:inline>
        </w:drawing>
      </w:r>
    </w:p>
    <w:p w14:paraId="37E45CCA" w14:textId="146D9777" w:rsidR="00BC439A" w:rsidRDefault="00BC439A" w:rsidP="00BC439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Diagram of the Ethereum virtual machine (EVM)</w:t>
      </w:r>
    </w:p>
    <w:p w14:paraId="3BE7CCAF" w14:textId="11E3C682" w:rsidR="00926577" w:rsidRDefault="000906A8" w:rsidP="00926577">
      <w:pPr>
        <w:pStyle w:val="Heading1"/>
        <w:rPr>
          <w:b/>
          <w:bCs/>
        </w:rPr>
      </w:pPr>
      <w:r>
        <w:rPr>
          <w:b/>
          <w:bCs/>
        </w:rPr>
        <w:t>Related Work</w:t>
      </w:r>
    </w:p>
    <w:p w14:paraId="6A4329F6" w14:textId="1C9B4D7E" w:rsidR="009D2E44" w:rsidRDefault="009D2E44" w:rsidP="009D2E44">
      <w:pPr>
        <w:pStyle w:val="Heading2"/>
        <w:rPr>
          <w:b/>
          <w:bCs/>
        </w:rPr>
      </w:pPr>
      <w:r>
        <w:rPr>
          <w:b/>
          <w:bCs/>
        </w:rPr>
        <w:t>Ethereum</w:t>
      </w:r>
    </w:p>
    <w:p w14:paraId="2823BDE1" w14:textId="24EE58F5" w:rsidR="00952CE8" w:rsidRDefault="009D2E44" w:rsidP="009F5909">
      <w:pPr>
        <w:ind w:firstLine="432"/>
        <w:jc w:val="both"/>
      </w:pPr>
      <w:r>
        <w:t xml:space="preserve">Ethereum forms the backbone of much of the work this project is built on in the form of smart contracts. </w:t>
      </w:r>
      <w:r w:rsidR="00952CE8">
        <w:t>Ethereum mart contracts are usually written in a high-level language called Solidity which is a classic curly-braced language. This was built for developer QoL as the EVM can, as a Turing machine does, only complete simple bitwise operations like AND, XOR, etc. with some extra blockchain specific operations like KECCAK256 among others. This means much work has been done to build tooling and interpreters to turn this high-level code into EVM-compatible bytecode.</w:t>
      </w:r>
    </w:p>
    <w:p w14:paraId="0CF8943F" w14:textId="7AB287DE" w:rsidR="009D2E44" w:rsidRDefault="009D2E44" w:rsidP="009F5909">
      <w:pPr>
        <w:ind w:firstLine="432"/>
        <w:jc w:val="both"/>
      </w:pPr>
      <w:r>
        <w:t>Ethereum relies on</w:t>
      </w:r>
      <w:r w:rsidR="00E47E6D">
        <w:t xml:space="preserve"> two things:</w:t>
      </w:r>
      <w:r>
        <w:t xml:space="preserve"> its primary token ETH and the concept of gas. ETH is sometimes called the Ethereum networks gas token. All chains implementing smart contracts follow suit with this concept. Gas is a way of measuring how much compute power a particular operation on a particular smart contract will require. The invoker of the transaction will pay a certain amount of ETH to perform their transaction on the network.</w:t>
      </w:r>
    </w:p>
    <w:p w14:paraId="2A9B640F" w14:textId="77777777" w:rsidR="00AC574A" w:rsidRDefault="009D2E44" w:rsidP="005F3A09">
      <w:pPr>
        <w:ind w:firstLine="288"/>
        <w:jc w:val="both"/>
      </w:pPr>
      <w:r>
        <w:t xml:space="preserve">Ethereum was not built with scalability in mind and thus as a </w:t>
      </w:r>
      <w:proofErr w:type="spellStart"/>
      <w:r>
        <w:t>PoW</w:t>
      </w:r>
      <w:proofErr w:type="spellEnd"/>
      <w:r>
        <w:t>, bloated network with uncapped gas fees it often leads to incredibly high fees to perform even simple operations as users bid each other up to get the miners to process their transaction in the next available block. Ethereum’s second major flaw is its impractically low TPS (transactions per second) of ~15 across the whole network. Bitcoin suffers a similar issue with ~6 TPS.</w:t>
      </w:r>
      <w:r w:rsidR="009F5909">
        <w:t xml:space="preserve"> For reference a centralized payment provider like Visa can handle ~24000 TPS. This severely limits the practical applications of Ethereum in real-time applications like gaming. </w:t>
      </w:r>
    </w:p>
    <w:p w14:paraId="3306EB47" w14:textId="66EA945F" w:rsidR="009D2E44" w:rsidRDefault="009F5909" w:rsidP="005F3A09">
      <w:pPr>
        <w:ind w:firstLine="288"/>
        <w:jc w:val="both"/>
      </w:pPr>
      <w:r>
        <w:t xml:space="preserve">The planned 2.0 upgrade should help to fix both these issues but for now, new </w:t>
      </w:r>
      <w:proofErr w:type="spellStart"/>
      <w:r>
        <w:t>dApp</w:t>
      </w:r>
      <w:proofErr w:type="spellEnd"/>
      <w:r>
        <w:t xml:space="preserve"> (decentralized apps)</w:t>
      </w:r>
      <w:r w:rsidR="008B743B">
        <w:t xml:space="preserve"> developers</w:t>
      </w:r>
      <w:r>
        <w:t xml:space="preserve"> are looking towards alternatives.</w:t>
      </w:r>
    </w:p>
    <w:p w14:paraId="03C08394" w14:textId="6DAC4E0D" w:rsidR="009F5909" w:rsidRDefault="009F5909" w:rsidP="009F5909">
      <w:pPr>
        <w:pStyle w:val="Heading2"/>
        <w:rPr>
          <w:b/>
          <w:bCs/>
        </w:rPr>
      </w:pPr>
      <w:r>
        <w:rPr>
          <w:b/>
          <w:bCs/>
        </w:rPr>
        <w:t>Avalanche</w:t>
      </w:r>
    </w:p>
    <w:p w14:paraId="063B39DE" w14:textId="0129EB4F" w:rsidR="009F5909" w:rsidRDefault="009F5909" w:rsidP="00B04D1B">
      <w:pPr>
        <w:ind w:firstLine="288"/>
        <w:jc w:val="both"/>
      </w:pPr>
      <w:r>
        <w:t>Avalanche is a high-performance, scalable, customizable, and secure blockchain platform</w:t>
      </w:r>
      <w:r w:rsidR="00B04D1B">
        <w:t xml:space="preserve"> </w:t>
      </w:r>
      <w:sdt>
        <w:sdtPr>
          <w:rPr>
            <w:color w:val="000000"/>
          </w:rPr>
          <w:tag w:val="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
          <w:id w:val="1334805896"/>
          <w:placeholder>
            <w:docPart w:val="DefaultPlaceholder_-1854013440"/>
          </w:placeholder>
        </w:sdtPr>
        <w:sdtContent>
          <w:r w:rsidR="0082655C" w:rsidRPr="0082655C">
            <w:rPr>
              <w:color w:val="000000"/>
            </w:rPr>
            <w:t>(</w:t>
          </w:r>
          <w:proofErr w:type="spellStart"/>
          <w:r w:rsidR="0082655C" w:rsidRPr="0082655C">
            <w:rPr>
              <w:color w:val="000000"/>
            </w:rPr>
            <w:t>Sekniqi</w:t>
          </w:r>
          <w:proofErr w:type="spellEnd"/>
          <w:r w:rsidR="0082655C" w:rsidRPr="0082655C">
            <w:rPr>
              <w:color w:val="000000"/>
            </w:rPr>
            <w:t xml:space="preserve"> et al., 2020)</w:t>
          </w:r>
        </w:sdtContent>
      </w:sdt>
      <w:r>
        <w:t>.</w:t>
      </w:r>
      <w:r w:rsidR="00901167">
        <w:t xml:space="preserve"> It introduces a new consensus protocol called Snow, which is part of a family of leaderless Byzantine fault tolerance protocols</w:t>
      </w:r>
      <w:r w:rsidR="0082655C">
        <w:t xml:space="preserve"> </w:t>
      </w:r>
      <w:sdt>
        <w:sdtPr>
          <w:rPr>
            <w:color w:val="000000"/>
          </w:rPr>
          <w:tag w:val="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
          <w:id w:val="493384096"/>
          <w:placeholder>
            <w:docPart w:val="DefaultPlaceholder_-1854013440"/>
          </w:placeholder>
        </w:sdtPr>
        <w:sdtContent>
          <w:r w:rsidR="0082655C" w:rsidRPr="0082655C">
            <w:rPr>
              <w:color w:val="000000"/>
            </w:rPr>
            <w:t>(Rocket et al., 2019)</w:t>
          </w:r>
        </w:sdtContent>
      </w:sdt>
      <w:r w:rsidR="00901167">
        <w:t>.</w:t>
      </w:r>
      <w:r w:rsidR="00B04D1B">
        <w:t xml:space="preserve"> Touting ~3400 TPS under heavy load with ~1.35 second transaction confirmation times it is the current fastest smart contract platform available for use by developers today. This new consensus protocol is also very secure</w:t>
      </w:r>
      <w:r w:rsidR="00C1588F">
        <w:t xml:space="preserve"> and resilient to a 51% attack.</w:t>
      </w:r>
    </w:p>
    <w:p w14:paraId="73B82DC5" w14:textId="77777777" w:rsidR="00E47E6D" w:rsidRDefault="002108EB" w:rsidP="00A94F66">
      <w:pPr>
        <w:ind w:firstLine="288"/>
        <w:jc w:val="both"/>
      </w:pPr>
      <w:r>
        <w:t xml:space="preserve">The avalanche network consists of three chains: X, P and C. For </w:t>
      </w:r>
      <w:r w:rsidRPr="002108EB">
        <w:rPr>
          <w:i/>
          <w:iCs/>
        </w:rPr>
        <w:t>exchanging</w:t>
      </w:r>
      <w:r>
        <w:t xml:space="preserve">, building </w:t>
      </w:r>
      <w:r>
        <w:rPr>
          <w:i/>
          <w:iCs/>
        </w:rPr>
        <w:t>platforms</w:t>
      </w:r>
      <w:r>
        <w:t xml:space="preserve"> and deploying/running </w:t>
      </w:r>
      <w:r>
        <w:rPr>
          <w:i/>
          <w:iCs/>
        </w:rPr>
        <w:t xml:space="preserve">contracts </w:t>
      </w:r>
      <w:r>
        <w:t>respectively. In simple terms this means exchanges aren’t bogged down by slow smart contracts and vice-vers</w:t>
      </w:r>
      <w:r w:rsidR="00C36FB5">
        <w:t>a as each chain is validated by a subnet of validators which all have a stake in the primary network.</w:t>
      </w:r>
      <w:r w:rsidR="00A94F66">
        <w:t xml:space="preserve"> The C-Chain (Contract chain) is built on the Ethereum virtual machine meaning most </w:t>
      </w:r>
      <w:r w:rsidR="00E47E6D">
        <w:t xml:space="preserve">Ethereum smart contracts will work effortlessly. </w:t>
      </w:r>
    </w:p>
    <w:p w14:paraId="72383D09" w14:textId="728A6E63" w:rsidR="00E47E6D" w:rsidRPr="002108EB" w:rsidRDefault="00E47E6D" w:rsidP="00E47E6D">
      <w:pPr>
        <w:ind w:firstLine="288"/>
        <w:jc w:val="both"/>
      </w:pPr>
      <w:r>
        <w:lastRenderedPageBreak/>
        <w:t xml:space="preserve">However, Avalanche lacks support for </w:t>
      </w:r>
      <w:proofErr w:type="spellStart"/>
      <w:r>
        <w:t>Chainlink</w:t>
      </w:r>
      <w:proofErr w:type="spellEnd"/>
      <w:r>
        <w:t xml:space="preserve"> VRF (Verifiable random function) which, as the name implies, is quite essential to building chance-based games in a trustless network.</w:t>
      </w:r>
    </w:p>
    <w:p w14:paraId="3096CACD" w14:textId="4A7B5820" w:rsidR="009D2E44" w:rsidRDefault="009D2E44" w:rsidP="009D2E44">
      <w:pPr>
        <w:ind w:left="288"/>
        <w:jc w:val="both"/>
      </w:pPr>
    </w:p>
    <w:p w14:paraId="78F0A361" w14:textId="6086D24A" w:rsidR="00E47E6D" w:rsidRDefault="00E47E6D" w:rsidP="00E47E6D">
      <w:pPr>
        <w:pStyle w:val="Heading2"/>
        <w:rPr>
          <w:b/>
          <w:bCs/>
        </w:rPr>
      </w:pPr>
      <w:r>
        <w:rPr>
          <w:b/>
          <w:bCs/>
        </w:rPr>
        <w:t>Polygon – MATIC</w:t>
      </w:r>
    </w:p>
    <w:p w14:paraId="00D8A3EE" w14:textId="23515871" w:rsidR="00E47E6D" w:rsidRDefault="00E47E6D" w:rsidP="00E47E6D">
      <w:pPr>
        <w:ind w:left="288"/>
        <w:jc w:val="both"/>
      </w:pPr>
      <w:r>
        <w:t>TODO</w:t>
      </w:r>
    </w:p>
    <w:p w14:paraId="02BAA026" w14:textId="15878AFB" w:rsidR="00E47E6D" w:rsidRDefault="00E47E6D" w:rsidP="00E47E6D">
      <w:pPr>
        <w:pStyle w:val="Heading2"/>
        <w:rPr>
          <w:b/>
          <w:bCs/>
        </w:rPr>
      </w:pPr>
      <w:r>
        <w:rPr>
          <w:b/>
          <w:bCs/>
        </w:rPr>
        <w:t>Chainlink VRF</w:t>
      </w:r>
    </w:p>
    <w:p w14:paraId="0BEB6D0B" w14:textId="70719D7A" w:rsidR="00E47E6D" w:rsidRDefault="00E47E6D" w:rsidP="00E47E6D">
      <w:pPr>
        <w:ind w:left="288"/>
        <w:jc w:val="both"/>
      </w:pPr>
      <w:r>
        <w:t>TODO</w:t>
      </w:r>
    </w:p>
    <w:p w14:paraId="51B33F2A" w14:textId="2AE98C04" w:rsidR="00E47E6D" w:rsidRDefault="00E47E6D" w:rsidP="00E47E6D">
      <w:pPr>
        <w:pStyle w:val="Heading2"/>
        <w:rPr>
          <w:b/>
          <w:bCs/>
        </w:rPr>
      </w:pPr>
      <w:r>
        <w:rPr>
          <w:b/>
          <w:bCs/>
        </w:rPr>
        <w:t>Decentral Games</w:t>
      </w:r>
    </w:p>
    <w:p w14:paraId="5CAD4181" w14:textId="44CCA46A" w:rsidR="00E47E6D" w:rsidRDefault="00E47E6D" w:rsidP="00E47E6D">
      <w:pPr>
        <w:ind w:left="288"/>
        <w:jc w:val="both"/>
      </w:pPr>
      <w:r>
        <w:t>TODO</w:t>
      </w:r>
    </w:p>
    <w:p w14:paraId="79CC543D" w14:textId="1C875D7E" w:rsidR="00E47E6D" w:rsidRDefault="00E47E6D" w:rsidP="00E47E6D">
      <w:pPr>
        <w:pStyle w:val="Heading2"/>
        <w:rPr>
          <w:b/>
          <w:bCs/>
        </w:rPr>
      </w:pPr>
      <w:r>
        <w:rPr>
          <w:b/>
          <w:bCs/>
        </w:rPr>
        <w:t>Axie Infinity</w:t>
      </w:r>
    </w:p>
    <w:p w14:paraId="101A5DA7" w14:textId="355447F4" w:rsidR="00D800C3" w:rsidRPr="00D800C3" w:rsidRDefault="00D800C3" w:rsidP="00D800C3">
      <w:pPr>
        <w:ind w:left="288"/>
        <w:jc w:val="both"/>
      </w:pPr>
      <w:r>
        <w:t>TODO</w:t>
      </w:r>
    </w:p>
    <w:p w14:paraId="712E6937" w14:textId="77777777" w:rsidR="00D800C3" w:rsidRPr="00D800C3" w:rsidRDefault="00D800C3" w:rsidP="00D800C3"/>
    <w:p w14:paraId="5285C769" w14:textId="6561490E" w:rsidR="005B7E7F" w:rsidRDefault="005B7E7F" w:rsidP="005B7E7F">
      <w:pPr>
        <w:pStyle w:val="Heading1"/>
        <w:rPr>
          <w:b/>
          <w:bCs/>
        </w:rPr>
      </w:pPr>
      <w:r>
        <w:rPr>
          <w:b/>
          <w:bCs/>
        </w:rPr>
        <w:t>Solution</w:t>
      </w:r>
    </w:p>
    <w:p w14:paraId="603C9C7D" w14:textId="4936BFFC" w:rsidR="005B7E7F" w:rsidRDefault="005B7E7F" w:rsidP="005B7E7F">
      <w:pPr>
        <w:pStyle w:val="Heading2"/>
        <w:rPr>
          <w:b/>
          <w:bCs/>
        </w:rPr>
      </w:pPr>
      <w:r>
        <w:rPr>
          <w:b/>
          <w:bCs/>
        </w:rPr>
        <w:t>Project Outline</w:t>
      </w:r>
    </w:p>
    <w:p w14:paraId="546FFA64" w14:textId="546572DE" w:rsidR="008D02EA" w:rsidRPr="008D02EA" w:rsidRDefault="008D02EA" w:rsidP="008D02EA">
      <w:pPr>
        <w:ind w:firstLine="288"/>
        <w:jc w:val="both"/>
      </w:pPr>
      <w:r>
        <w:t>Traditionally, the only thing stopping a casino</w:t>
      </w:r>
      <w:r>
        <w:t xml:space="preserve"> (online or physical)</w:t>
      </w:r>
      <w:r>
        <w:t xml:space="preserve"> from cheating the player is its own reputation</w:t>
      </w:r>
      <w:r>
        <w:t>, as casinos that cheat will lose business</w:t>
      </w:r>
      <w:r>
        <w:t>.</w:t>
      </w:r>
      <w:r>
        <w:t xml:space="preserve"> Online casinos can conceal this cheating as their games run on centralized servers where the user will only ever see the outcome of the game and not how it was calculated. </w:t>
      </w:r>
      <w:r>
        <w:t xml:space="preserve">This is not the case with a blockchain-based platform thus giving even a new platform instant-legitimacy and creating a viable alternative to much disliked and distrusted giants of the iGaming industry. </w:t>
      </w:r>
    </w:p>
    <w:p w14:paraId="6B03D361" w14:textId="49A5C3DB" w:rsidR="005B7E7F" w:rsidRDefault="005B7E7F" w:rsidP="005B7E7F">
      <w:pPr>
        <w:ind w:firstLine="288"/>
        <w:jc w:val="both"/>
      </w:pPr>
      <w:r>
        <w:t>This is where our project begins</w:t>
      </w:r>
      <w:r w:rsidR="00CC49CD">
        <w:t>, the industry currently</w:t>
      </w:r>
      <w:r>
        <w:t xml:space="preserve"> suffers from distrust due to centralization of the games themselves</w:t>
      </w:r>
      <w:r w:rsidR="00625AB2">
        <w:t>, with 45.5% of users complaining about ‘unfair software’, 59.1% complaining about not being paid properly and, 2</w:t>
      </w:r>
      <w:r w:rsidR="008D02EA">
        <w:t>5</w:t>
      </w:r>
      <w:r w:rsidR="00625AB2">
        <w:t xml:space="preserve">.8% ‘not being paid at all’ </w:t>
      </w:r>
      <w:sdt>
        <w:sdtPr>
          <w:rPr>
            <w:color w:val="000000"/>
          </w:rPr>
          <w:tag w:val="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
          <w:id w:val="1837561333"/>
          <w:placeholder>
            <w:docPart w:val="DefaultPlaceholder_-1854013440"/>
          </w:placeholder>
        </w:sdtPr>
        <w:sdtContent>
          <w:r w:rsidR="00B04D1B" w:rsidRPr="00B04D1B">
            <w:rPr>
              <w:color w:val="000000"/>
            </w:rPr>
            <w:t>(</w:t>
          </w:r>
          <w:proofErr w:type="spellStart"/>
          <w:r w:rsidR="00B04D1B" w:rsidRPr="00B04D1B">
            <w:rPr>
              <w:color w:val="000000"/>
            </w:rPr>
            <w:t>Gainsbury</w:t>
          </w:r>
          <w:proofErr w:type="spellEnd"/>
          <w:r w:rsidR="00B04D1B" w:rsidRPr="00B04D1B">
            <w:rPr>
              <w:color w:val="000000"/>
            </w:rPr>
            <w:t xml:space="preserve"> et al., 2013, p. 241)</w:t>
          </w:r>
        </w:sdtContent>
      </w:sdt>
      <w:r>
        <w:t xml:space="preserve">. </w:t>
      </w:r>
      <w:r w:rsidR="008D02EA">
        <w:t>A blockchain-based iGaming platform solves these issues completely if the games’ smart contracts are built to be robust, secure and understandable and the blockchain they are based on is reliable and secure.</w:t>
      </w:r>
    </w:p>
    <w:p w14:paraId="28A2203D" w14:textId="4891D779" w:rsidR="005B7E7F" w:rsidRDefault="005B7E7F" w:rsidP="008D02EA">
      <w:pPr>
        <w:jc w:val="both"/>
      </w:pPr>
    </w:p>
    <w:p w14:paraId="1E041812" w14:textId="3A363B86" w:rsidR="005B7E7F" w:rsidRDefault="005B7E7F" w:rsidP="005B7E7F">
      <w:pPr>
        <w:ind w:firstLine="288"/>
        <w:jc w:val="both"/>
      </w:pPr>
      <w:r>
        <w:t>In this work, we build a platform called GlassCasino to play online multiplayer casino games that run entirely on-chain to reap the benefits stated earlier. The blockchain</w:t>
      </w:r>
      <w:r w:rsidR="0050371C">
        <w:t xml:space="preserve"> of choice for our project is the MATIC network from Polygon as discussed in Section II. With high TPS, low gas fees, sleek inter-op with Ethereum and </w:t>
      </w:r>
      <w:proofErr w:type="spellStart"/>
      <w:r w:rsidR="0050371C">
        <w:t>Chainlink</w:t>
      </w:r>
      <w:proofErr w:type="spellEnd"/>
      <w:r w:rsidR="0050371C">
        <w:t xml:space="preserve"> VRF support it makes no compromises aside from it being relatively young.</w:t>
      </w:r>
    </w:p>
    <w:p w14:paraId="4D965A39" w14:textId="1C100EAE" w:rsidR="00CE6E38" w:rsidRDefault="00CE6E38" w:rsidP="005B7E7F">
      <w:pPr>
        <w:ind w:firstLine="288"/>
        <w:jc w:val="both"/>
      </w:pPr>
    </w:p>
    <w:tbl>
      <w:tblPr>
        <w:tblStyle w:val="PlainTable2"/>
        <w:tblW w:w="0" w:type="auto"/>
        <w:tblLook w:val="04A0" w:firstRow="1" w:lastRow="0" w:firstColumn="1" w:lastColumn="0" w:noHBand="0" w:noVBand="1"/>
      </w:tblPr>
      <w:tblGrid>
        <w:gridCol w:w="2216"/>
        <w:gridCol w:w="2505"/>
        <w:gridCol w:w="2520"/>
        <w:gridCol w:w="2495"/>
      </w:tblGrid>
      <w:tr w:rsidR="000329BE" w14:paraId="4DFFF72A" w14:textId="77777777" w:rsidTr="0003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nil"/>
              <w:right w:val="single" w:sz="4" w:space="0" w:color="7F7F7F" w:themeColor="text1" w:themeTint="80"/>
            </w:tcBorders>
          </w:tcPr>
          <w:p w14:paraId="3D60E8E9" w14:textId="77777777" w:rsidR="000329BE" w:rsidRPr="00CE6E38" w:rsidRDefault="000329BE" w:rsidP="00CE6E38">
            <w:pPr>
              <w:rPr>
                <w:b w:val="0"/>
                <w:bCs w:val="0"/>
              </w:rPr>
            </w:pPr>
          </w:p>
        </w:tc>
        <w:tc>
          <w:tcPr>
            <w:tcW w:w="2505" w:type="dxa"/>
            <w:tcBorders>
              <w:top w:val="nil"/>
              <w:left w:val="single" w:sz="4" w:space="0" w:color="7F7F7F" w:themeColor="text1" w:themeTint="80"/>
              <w:right w:val="single" w:sz="4" w:space="0" w:color="7F7F7F" w:themeColor="text1" w:themeTint="80"/>
            </w:tcBorders>
          </w:tcPr>
          <w:p w14:paraId="3235D345" w14:textId="62A05EC7"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Ethereum (ETH)</w:t>
            </w:r>
          </w:p>
        </w:tc>
        <w:tc>
          <w:tcPr>
            <w:tcW w:w="2520" w:type="dxa"/>
            <w:tcBorders>
              <w:top w:val="nil"/>
              <w:left w:val="single" w:sz="4" w:space="0" w:color="7F7F7F" w:themeColor="text1" w:themeTint="80"/>
              <w:right w:val="single" w:sz="4" w:space="0" w:color="7F7F7F" w:themeColor="text1" w:themeTint="80"/>
            </w:tcBorders>
          </w:tcPr>
          <w:p w14:paraId="55F6CACB" w14:textId="0AE7385F"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Avalanche (AVAX)</w:t>
            </w:r>
          </w:p>
        </w:tc>
        <w:tc>
          <w:tcPr>
            <w:tcW w:w="2495" w:type="dxa"/>
            <w:tcBorders>
              <w:top w:val="nil"/>
              <w:left w:val="single" w:sz="4" w:space="0" w:color="7F7F7F" w:themeColor="text1" w:themeTint="80"/>
            </w:tcBorders>
          </w:tcPr>
          <w:p w14:paraId="77CEA795" w14:textId="7AF17CD8"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Polygon (MATIC)</w:t>
            </w:r>
          </w:p>
        </w:tc>
      </w:tr>
      <w:tr w:rsidR="000329BE" w14:paraId="0F51A306"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66F86254" w14:textId="385005CA" w:rsidR="000329BE" w:rsidRPr="000329BE" w:rsidRDefault="000329BE" w:rsidP="005B7E7F">
            <w:pPr>
              <w:jc w:val="both"/>
              <w:rPr>
                <w:b w:val="0"/>
                <w:bCs w:val="0"/>
                <w:sz w:val="18"/>
                <w:szCs w:val="18"/>
              </w:rPr>
            </w:pPr>
            <w:r>
              <w:rPr>
                <w:b w:val="0"/>
                <w:bCs w:val="0"/>
                <w:sz w:val="18"/>
                <w:szCs w:val="18"/>
              </w:rPr>
              <w:t>Market cap ($USD)</w:t>
            </w:r>
          </w:p>
        </w:tc>
        <w:tc>
          <w:tcPr>
            <w:tcW w:w="2505" w:type="dxa"/>
            <w:tcBorders>
              <w:left w:val="single" w:sz="4" w:space="0" w:color="7F7F7F" w:themeColor="text1" w:themeTint="80"/>
              <w:right w:val="single" w:sz="4" w:space="0" w:color="7F7F7F" w:themeColor="text1" w:themeTint="80"/>
            </w:tcBorders>
          </w:tcPr>
          <w:p w14:paraId="6FB9DFCB" w14:textId="49D40CB5"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c>
          <w:tcPr>
            <w:tcW w:w="2520" w:type="dxa"/>
            <w:tcBorders>
              <w:left w:val="single" w:sz="4" w:space="0" w:color="7F7F7F" w:themeColor="text1" w:themeTint="80"/>
              <w:right w:val="single" w:sz="4" w:space="0" w:color="7F7F7F" w:themeColor="text1" w:themeTint="80"/>
            </w:tcBorders>
          </w:tcPr>
          <w:p w14:paraId="48CB7145"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c>
          <w:tcPr>
            <w:tcW w:w="2495" w:type="dxa"/>
            <w:tcBorders>
              <w:left w:val="single" w:sz="4" w:space="0" w:color="7F7F7F" w:themeColor="text1" w:themeTint="80"/>
            </w:tcBorders>
          </w:tcPr>
          <w:p w14:paraId="3FC54E17"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r>
      <w:tr w:rsidR="000329BE" w14:paraId="52651894"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152B4AA2" w14:textId="7A5F8DE2" w:rsidR="000329BE" w:rsidRPr="000329BE" w:rsidRDefault="000329BE" w:rsidP="005B7E7F">
            <w:pPr>
              <w:jc w:val="both"/>
              <w:rPr>
                <w:b w:val="0"/>
                <w:bCs w:val="0"/>
                <w:sz w:val="18"/>
                <w:szCs w:val="18"/>
              </w:rPr>
            </w:pPr>
            <w:r w:rsidRPr="000329BE">
              <w:rPr>
                <w:b w:val="0"/>
                <w:bCs w:val="0"/>
                <w:sz w:val="18"/>
                <w:szCs w:val="18"/>
              </w:rPr>
              <w:t>Average TPS</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E7C86A" w14:textId="61E123E7"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sz w:val="18"/>
                <w:szCs w:val="18"/>
              </w:rPr>
            </w:pP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005CED" w14:textId="77777777"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sz w:val="18"/>
                <w:szCs w:val="18"/>
              </w:rPr>
            </w:pPr>
          </w:p>
        </w:tc>
        <w:tc>
          <w:tcPr>
            <w:tcW w:w="2495" w:type="dxa"/>
            <w:tcBorders>
              <w:left w:val="single" w:sz="4" w:space="0" w:color="7F7F7F" w:themeColor="text1" w:themeTint="80"/>
            </w:tcBorders>
          </w:tcPr>
          <w:p w14:paraId="14F9E8CF" w14:textId="77777777"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sz w:val="18"/>
                <w:szCs w:val="18"/>
              </w:rPr>
            </w:pPr>
          </w:p>
        </w:tc>
      </w:tr>
      <w:tr w:rsidR="000329BE" w14:paraId="6E9BD5A5"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1515C85" w14:textId="5282D949" w:rsidR="000329BE" w:rsidRPr="000329BE" w:rsidRDefault="000329BE" w:rsidP="005B7E7F">
            <w:pPr>
              <w:jc w:val="both"/>
              <w:rPr>
                <w:sz w:val="18"/>
                <w:szCs w:val="18"/>
              </w:rPr>
            </w:pPr>
            <w:r w:rsidRPr="000329BE">
              <w:rPr>
                <w:b w:val="0"/>
                <w:bCs w:val="0"/>
                <w:sz w:val="18"/>
                <w:szCs w:val="18"/>
              </w:rPr>
              <w:t>Gas price</w:t>
            </w:r>
            <w:r>
              <w:rPr>
                <w:b w:val="0"/>
                <w:bCs w:val="0"/>
                <w:sz w:val="18"/>
                <w:szCs w:val="18"/>
              </w:rPr>
              <w:t xml:space="preserve"> ($USD)</w:t>
            </w:r>
          </w:p>
        </w:tc>
        <w:tc>
          <w:tcPr>
            <w:tcW w:w="2505" w:type="dxa"/>
            <w:tcBorders>
              <w:left w:val="single" w:sz="4" w:space="0" w:color="7F7F7F" w:themeColor="text1" w:themeTint="80"/>
              <w:right w:val="single" w:sz="4" w:space="0" w:color="7F7F7F" w:themeColor="text1" w:themeTint="80"/>
            </w:tcBorders>
          </w:tcPr>
          <w:p w14:paraId="0B6CB545" w14:textId="38DAEA0A" w:rsidR="000329BE" w:rsidRPr="000329BE" w:rsidRDefault="000329BE" w:rsidP="000329BE">
            <w:pPr>
              <w:jc w:val="both"/>
              <w:cnfStyle w:val="000000100000" w:firstRow="0" w:lastRow="0" w:firstColumn="0" w:lastColumn="0" w:oddVBand="0" w:evenVBand="0" w:oddHBand="1" w:evenHBand="0" w:firstRowFirstColumn="0" w:firstRowLastColumn="0" w:lastRowFirstColumn="0" w:lastRowLastColumn="0"/>
              <w:rPr>
                <w:b/>
                <w:bCs/>
                <w:sz w:val="18"/>
                <w:szCs w:val="18"/>
              </w:rPr>
            </w:pPr>
          </w:p>
        </w:tc>
        <w:tc>
          <w:tcPr>
            <w:tcW w:w="2520" w:type="dxa"/>
            <w:tcBorders>
              <w:left w:val="single" w:sz="4" w:space="0" w:color="7F7F7F" w:themeColor="text1" w:themeTint="80"/>
              <w:right w:val="single" w:sz="4" w:space="0" w:color="7F7F7F" w:themeColor="text1" w:themeTint="80"/>
            </w:tcBorders>
          </w:tcPr>
          <w:p w14:paraId="6472C0D3"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c>
          <w:tcPr>
            <w:tcW w:w="2495" w:type="dxa"/>
            <w:tcBorders>
              <w:left w:val="single" w:sz="4" w:space="0" w:color="7F7F7F" w:themeColor="text1" w:themeTint="80"/>
            </w:tcBorders>
          </w:tcPr>
          <w:p w14:paraId="215C57AA"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r>
      <w:tr w:rsidR="000329BE" w14:paraId="7152CC7E"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535E7E59" w14:textId="02E4AC22" w:rsidR="000329BE" w:rsidRPr="000329BE" w:rsidRDefault="000329BE" w:rsidP="005B7E7F">
            <w:pPr>
              <w:jc w:val="both"/>
              <w:rPr>
                <w:b w:val="0"/>
                <w:bCs w:val="0"/>
                <w:sz w:val="18"/>
                <w:szCs w:val="18"/>
              </w:rPr>
            </w:pPr>
            <w:proofErr w:type="spellStart"/>
            <w:r w:rsidRPr="000329BE">
              <w:rPr>
                <w:b w:val="0"/>
                <w:bCs w:val="0"/>
                <w:sz w:val="18"/>
                <w:szCs w:val="18"/>
              </w:rPr>
              <w:t>ChainLink</w:t>
            </w:r>
            <w:proofErr w:type="spellEnd"/>
            <w:r w:rsidRPr="000329BE">
              <w:rPr>
                <w:b w:val="0"/>
                <w:bCs w:val="0"/>
                <w:sz w:val="18"/>
                <w:szCs w:val="18"/>
              </w:rPr>
              <w:t xml:space="preserve"> VRF Support?</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600051" w14:textId="076DA4D4"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F91A7C" w14:textId="1FF1DC25"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publicly available</w:t>
            </w:r>
          </w:p>
        </w:tc>
        <w:tc>
          <w:tcPr>
            <w:tcW w:w="2495" w:type="dxa"/>
            <w:tcBorders>
              <w:left w:val="single" w:sz="4" w:space="0" w:color="7F7F7F" w:themeColor="text1" w:themeTint="80"/>
            </w:tcBorders>
          </w:tcPr>
          <w:p w14:paraId="5B79F903" w14:textId="02BAB231"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p>
        </w:tc>
      </w:tr>
      <w:tr w:rsidR="00EE4B7F" w14:paraId="216DA8B8"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6995228" w14:textId="03EE73C8" w:rsidR="00EE4B7F" w:rsidRPr="000329BE" w:rsidRDefault="00EE4B7F" w:rsidP="005B7E7F">
            <w:pPr>
              <w:jc w:val="both"/>
              <w:rPr>
                <w:b w:val="0"/>
                <w:bCs w:val="0"/>
                <w:sz w:val="18"/>
                <w:szCs w:val="18"/>
              </w:rPr>
            </w:pPr>
            <w:r>
              <w:rPr>
                <w:b w:val="0"/>
                <w:bCs w:val="0"/>
                <w:sz w:val="18"/>
                <w:szCs w:val="18"/>
              </w:rPr>
              <w:t>ETH interop</w:t>
            </w:r>
          </w:p>
        </w:tc>
        <w:tc>
          <w:tcPr>
            <w:tcW w:w="2505" w:type="dxa"/>
            <w:tcBorders>
              <w:left w:val="single" w:sz="4" w:space="0" w:color="7F7F7F" w:themeColor="text1" w:themeTint="80"/>
              <w:right w:val="single" w:sz="4" w:space="0" w:color="7F7F7F" w:themeColor="text1" w:themeTint="80"/>
            </w:tcBorders>
          </w:tcPr>
          <w:p w14:paraId="02F1AF0A" w14:textId="30404470" w:rsidR="00EE4B7F" w:rsidRPr="00EE4B7F" w:rsidRDefault="00EE4B7F"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Native</w:t>
            </w:r>
          </w:p>
        </w:tc>
        <w:tc>
          <w:tcPr>
            <w:tcW w:w="2520" w:type="dxa"/>
            <w:tcBorders>
              <w:left w:val="single" w:sz="4" w:space="0" w:color="7F7F7F" w:themeColor="text1" w:themeTint="80"/>
              <w:right w:val="single" w:sz="4" w:space="0" w:color="7F7F7F" w:themeColor="text1" w:themeTint="80"/>
            </w:tcBorders>
          </w:tcPr>
          <w:p w14:paraId="0CD4B255" w14:textId="77777777" w:rsidR="00EE4B7F" w:rsidRDefault="00EE4B7F" w:rsidP="000329BE">
            <w:pPr>
              <w:cnfStyle w:val="000000100000" w:firstRow="0" w:lastRow="0" w:firstColumn="0" w:lastColumn="0" w:oddVBand="0" w:evenVBand="0" w:oddHBand="1" w:evenHBand="0" w:firstRowFirstColumn="0" w:firstRowLastColumn="0" w:lastRowFirstColumn="0" w:lastRowLastColumn="0"/>
              <w:rPr>
                <w:sz w:val="18"/>
                <w:szCs w:val="18"/>
              </w:rPr>
            </w:pPr>
          </w:p>
        </w:tc>
        <w:tc>
          <w:tcPr>
            <w:tcW w:w="2495" w:type="dxa"/>
            <w:tcBorders>
              <w:left w:val="single" w:sz="4" w:space="0" w:color="7F7F7F" w:themeColor="text1" w:themeTint="80"/>
            </w:tcBorders>
          </w:tcPr>
          <w:p w14:paraId="56CA13FD" w14:textId="77777777" w:rsidR="00EE4B7F" w:rsidRPr="000329BE" w:rsidRDefault="00EE4B7F" w:rsidP="000329BE">
            <w:pPr>
              <w:cnfStyle w:val="000000100000" w:firstRow="0" w:lastRow="0" w:firstColumn="0" w:lastColumn="0" w:oddVBand="0" w:evenVBand="0" w:oddHBand="1" w:evenHBand="0" w:firstRowFirstColumn="0" w:firstRowLastColumn="0" w:lastRowFirstColumn="0" w:lastRowLastColumn="0"/>
              <w:rPr>
                <w:b/>
                <w:bCs/>
                <w:sz w:val="18"/>
                <w:szCs w:val="18"/>
              </w:rPr>
            </w:pPr>
          </w:p>
        </w:tc>
      </w:tr>
    </w:tbl>
    <w:p w14:paraId="2F0FF81D" w14:textId="0AC157D3" w:rsidR="00CE6E38" w:rsidRDefault="000329BE" w:rsidP="000329BE">
      <w:pPr>
        <w:tabs>
          <w:tab w:val="left" w:pos="3709"/>
        </w:tabs>
        <w:ind w:firstLine="288"/>
        <w:jc w:val="both"/>
      </w:pPr>
      <w:r>
        <w:tab/>
      </w:r>
    </w:p>
    <w:p w14:paraId="580AFD2D" w14:textId="5EB25114" w:rsidR="005B7E7F" w:rsidRDefault="000329BE" w:rsidP="000329BE">
      <w:pPr>
        <w:pStyle w:val="Caption"/>
      </w:pPr>
      <w:r>
        <w:t xml:space="preserve">Figure </w:t>
      </w:r>
      <w:r>
        <w:fldChar w:fldCharType="begin"/>
      </w:r>
      <w:r>
        <w:instrText xml:space="preserve"> SEQ Figure \* ARABIC </w:instrText>
      </w:r>
      <w:r>
        <w:fldChar w:fldCharType="separate"/>
      </w:r>
      <w:r w:rsidR="00BC439A">
        <w:rPr>
          <w:noProof/>
        </w:rPr>
        <w:t>3</w:t>
      </w:r>
      <w:r>
        <w:fldChar w:fldCharType="end"/>
      </w:r>
      <w:r>
        <w:t xml:space="preserve"> – Comparison of prospective blockchains for our platform (as of 20/10/2021)</w:t>
      </w:r>
    </w:p>
    <w:p w14:paraId="79DD5E14" w14:textId="56461FDB" w:rsidR="004D7305" w:rsidRDefault="004D7305" w:rsidP="004D7305">
      <w:pPr>
        <w:jc w:val="both"/>
      </w:pPr>
      <w:r>
        <w:tab/>
        <w:t>TODO - finish explanation of technologies + include diagrams of architecture of platform and smart contracts IO</w:t>
      </w:r>
    </w:p>
    <w:p w14:paraId="5B40EC99" w14:textId="7BD89E8D" w:rsidR="00397E87" w:rsidRDefault="00397E87" w:rsidP="00397E87">
      <w:pPr>
        <w:pStyle w:val="Heading2"/>
        <w:rPr>
          <w:b/>
          <w:bCs/>
        </w:rPr>
      </w:pPr>
      <w:r>
        <w:rPr>
          <w:b/>
          <w:bCs/>
        </w:rPr>
        <w:t>Deliverables</w:t>
      </w:r>
    </w:p>
    <w:p w14:paraId="4047943D" w14:textId="77777777" w:rsidR="00397E87" w:rsidRPr="00397E87" w:rsidRDefault="00397E87" w:rsidP="00397E87">
      <w:pPr>
        <w:jc w:val="both"/>
      </w:pPr>
    </w:p>
    <w:p w14:paraId="7BD53844" w14:textId="62CB3908" w:rsidR="00134EEA" w:rsidRDefault="00134EEA" w:rsidP="00134EEA">
      <w:pPr>
        <w:pStyle w:val="Heading5"/>
        <w:rPr>
          <w:rStyle w:val="Strong"/>
        </w:rPr>
      </w:pPr>
      <w:r>
        <w:rPr>
          <w:rStyle w:val="Strong"/>
        </w:rPr>
        <w:t>References</w:t>
      </w:r>
    </w:p>
    <w:sdt>
      <w:sdtPr>
        <w:tag w:val="MENDELEY_BIBLIOGRAPHY"/>
        <w:id w:val="997083048"/>
        <w:placeholder>
          <w:docPart w:val="DefaultPlaceholder_-1854013440"/>
        </w:placeholder>
      </w:sdtPr>
      <w:sdtContent>
        <w:p w14:paraId="1E138E7A" w14:textId="77777777" w:rsidR="0082655C" w:rsidRDefault="0082655C">
          <w:pPr>
            <w:autoSpaceDE w:val="0"/>
            <w:autoSpaceDN w:val="0"/>
            <w:ind w:hanging="480"/>
            <w:divId w:val="1974560053"/>
            <w:rPr>
              <w:rFonts w:eastAsia="Times New Roman"/>
              <w:sz w:val="24"/>
              <w:szCs w:val="24"/>
            </w:rPr>
          </w:pPr>
          <w:proofErr w:type="spellStart"/>
          <w:r>
            <w:rPr>
              <w:rFonts w:eastAsia="Times New Roman"/>
            </w:rPr>
            <w:t>Buterin</w:t>
          </w:r>
          <w:proofErr w:type="spellEnd"/>
          <w:r>
            <w:rPr>
              <w:rFonts w:eastAsia="Times New Roman"/>
            </w:rPr>
            <w:t xml:space="preserve">, V. (2014). A next-generation smart contract and decentralized application platform. </w:t>
          </w:r>
          <w:proofErr w:type="spellStart"/>
          <w:r>
            <w:rPr>
              <w:rFonts w:eastAsia="Times New Roman"/>
              <w:i/>
              <w:iCs/>
            </w:rPr>
            <w:t>Etherum</w:t>
          </w:r>
          <w:proofErr w:type="spellEnd"/>
          <w:r>
            <w:rPr>
              <w:rFonts w:eastAsia="Times New Roman"/>
            </w:rPr>
            <w:t xml:space="preserve">, </w:t>
          </w:r>
          <w:r>
            <w:rPr>
              <w:rFonts w:eastAsia="Times New Roman"/>
              <w:i/>
              <w:iCs/>
            </w:rPr>
            <w:t>January</w:t>
          </w:r>
          <w:r>
            <w:rPr>
              <w:rFonts w:eastAsia="Times New Roman"/>
            </w:rPr>
            <w:t>.</w:t>
          </w:r>
        </w:p>
        <w:p w14:paraId="6F4DA9C5" w14:textId="77777777" w:rsidR="0082655C" w:rsidRDefault="0082655C">
          <w:pPr>
            <w:autoSpaceDE w:val="0"/>
            <w:autoSpaceDN w:val="0"/>
            <w:ind w:hanging="480"/>
            <w:divId w:val="1101335114"/>
            <w:rPr>
              <w:rFonts w:eastAsia="Times New Roman"/>
            </w:rPr>
          </w:pPr>
          <w:r>
            <w:rPr>
              <w:rFonts w:eastAsia="Times New Roman"/>
            </w:rPr>
            <w:t xml:space="preserve">Dowling, M. (2021). Fertile LAND: Pricing non-fungible tokens. </w:t>
          </w:r>
          <w:r>
            <w:rPr>
              <w:rFonts w:eastAsia="Times New Roman"/>
              <w:i/>
              <w:iCs/>
            </w:rPr>
            <w:t>Finance Research Letters</w:t>
          </w:r>
          <w:r>
            <w:rPr>
              <w:rFonts w:eastAsia="Times New Roman"/>
            </w:rPr>
            <w:t>. https://doi.org/10.1016/j.frl.2021.102096</w:t>
          </w:r>
        </w:p>
        <w:p w14:paraId="1176E766" w14:textId="77777777" w:rsidR="0082655C" w:rsidRDefault="0082655C">
          <w:pPr>
            <w:autoSpaceDE w:val="0"/>
            <w:autoSpaceDN w:val="0"/>
            <w:ind w:hanging="480"/>
            <w:divId w:val="1047069733"/>
            <w:rPr>
              <w:rFonts w:eastAsia="Times New Roman"/>
            </w:rPr>
          </w:pPr>
          <w:proofErr w:type="spellStart"/>
          <w:r>
            <w:rPr>
              <w:rFonts w:eastAsia="Times New Roman"/>
            </w:rPr>
            <w:t>Gainsbury</w:t>
          </w:r>
          <w:proofErr w:type="spellEnd"/>
          <w:r>
            <w:rPr>
              <w:rFonts w:eastAsia="Times New Roman"/>
            </w:rPr>
            <w:t xml:space="preserve">, S., Parke, J., &amp; </w:t>
          </w:r>
          <w:proofErr w:type="spellStart"/>
          <w:r>
            <w:rPr>
              <w:rFonts w:eastAsia="Times New Roman"/>
            </w:rPr>
            <w:t>Suhonen</w:t>
          </w:r>
          <w:proofErr w:type="spellEnd"/>
          <w:r>
            <w:rPr>
              <w:rFonts w:eastAsia="Times New Roman"/>
            </w:rPr>
            <w:t xml:space="preserve">, N. (2013). Consumer attitudes towards Internet gambling: Perceptions of responsible gambling policies, consumer protection, and regulation of online gambling sites. </w:t>
          </w:r>
          <w:r>
            <w:rPr>
              <w:rFonts w:eastAsia="Times New Roman"/>
              <w:i/>
              <w:iCs/>
            </w:rPr>
            <w:t>Computers in Human Behavior</w:t>
          </w:r>
          <w:r>
            <w:rPr>
              <w:rFonts w:eastAsia="Times New Roman"/>
            </w:rPr>
            <w:t xml:space="preserve">, </w:t>
          </w:r>
          <w:r>
            <w:rPr>
              <w:rFonts w:eastAsia="Times New Roman"/>
              <w:i/>
              <w:iCs/>
            </w:rPr>
            <w:t>29</w:t>
          </w:r>
          <w:r>
            <w:rPr>
              <w:rFonts w:eastAsia="Times New Roman"/>
            </w:rPr>
            <w:t>(1). https://doi.org/10.1016/j.chb.2012.08.010</w:t>
          </w:r>
        </w:p>
        <w:p w14:paraId="1997FF36" w14:textId="77777777" w:rsidR="0082655C" w:rsidRDefault="0082655C">
          <w:pPr>
            <w:autoSpaceDE w:val="0"/>
            <w:autoSpaceDN w:val="0"/>
            <w:ind w:hanging="480"/>
            <w:divId w:val="22754997"/>
            <w:rPr>
              <w:rFonts w:eastAsia="Times New Roman"/>
            </w:rPr>
          </w:pPr>
          <w:r>
            <w:rPr>
              <w:rFonts w:eastAsia="Times New Roman"/>
            </w:rPr>
            <w:t xml:space="preserve">Li, J., Li, N., Peng, J., Cui, H., &amp; Wu, Z. (2019). Energy consumption of cryptocurrency mining: A study of electricity consumption in mining cryptocurrencies. </w:t>
          </w:r>
          <w:r>
            <w:rPr>
              <w:rFonts w:eastAsia="Times New Roman"/>
              <w:i/>
              <w:iCs/>
            </w:rPr>
            <w:t>Energy</w:t>
          </w:r>
          <w:r>
            <w:rPr>
              <w:rFonts w:eastAsia="Times New Roman"/>
            </w:rPr>
            <w:t xml:space="preserve">, </w:t>
          </w:r>
          <w:r>
            <w:rPr>
              <w:rFonts w:eastAsia="Times New Roman"/>
              <w:i/>
              <w:iCs/>
            </w:rPr>
            <w:t>168</w:t>
          </w:r>
          <w:r>
            <w:rPr>
              <w:rFonts w:eastAsia="Times New Roman"/>
            </w:rPr>
            <w:t>. https://doi.org/10.1016/j.energy.2018.11.046</w:t>
          </w:r>
        </w:p>
        <w:p w14:paraId="77267535" w14:textId="77777777" w:rsidR="0082655C" w:rsidRDefault="0082655C">
          <w:pPr>
            <w:autoSpaceDE w:val="0"/>
            <w:autoSpaceDN w:val="0"/>
            <w:ind w:hanging="480"/>
            <w:divId w:val="1587105305"/>
            <w:rPr>
              <w:rFonts w:eastAsia="Times New Roman"/>
            </w:rPr>
          </w:pPr>
          <w:r>
            <w:rPr>
              <w:rFonts w:eastAsia="Times New Roman"/>
            </w:rPr>
            <w:t xml:space="preserve">Nakamoto, S. (2008). </w:t>
          </w:r>
          <w:r>
            <w:rPr>
              <w:rFonts w:eastAsia="Times New Roman"/>
              <w:i/>
              <w:iCs/>
            </w:rPr>
            <w:t>Bitcoin: A Peer-to-Peer Electronic Cash System</w:t>
          </w:r>
          <w:r>
            <w:rPr>
              <w:rFonts w:eastAsia="Times New Roman"/>
            </w:rPr>
            <w:t>.</w:t>
          </w:r>
        </w:p>
        <w:p w14:paraId="196B741B" w14:textId="77777777" w:rsidR="0082655C" w:rsidRDefault="0082655C">
          <w:pPr>
            <w:autoSpaceDE w:val="0"/>
            <w:autoSpaceDN w:val="0"/>
            <w:ind w:hanging="480"/>
            <w:divId w:val="1026910804"/>
            <w:rPr>
              <w:rFonts w:eastAsia="Times New Roman"/>
            </w:rPr>
          </w:pPr>
          <w:r>
            <w:rPr>
              <w:rFonts w:eastAsia="Times New Roman"/>
            </w:rPr>
            <w:lastRenderedPageBreak/>
            <w:t xml:space="preserve">Nguyen, C. T., Hoang, D. T., Nguyen, D. N., </w:t>
          </w:r>
          <w:proofErr w:type="spellStart"/>
          <w:r>
            <w:rPr>
              <w:rFonts w:eastAsia="Times New Roman"/>
            </w:rPr>
            <w:t>Niyato</w:t>
          </w:r>
          <w:proofErr w:type="spellEnd"/>
          <w:r>
            <w:rPr>
              <w:rFonts w:eastAsia="Times New Roman"/>
            </w:rPr>
            <w:t xml:space="preserve">, D., Nguyen, H. T., &amp; </w:t>
          </w:r>
          <w:proofErr w:type="spellStart"/>
          <w:r>
            <w:rPr>
              <w:rFonts w:eastAsia="Times New Roman"/>
            </w:rPr>
            <w:t>Dutkiewicz</w:t>
          </w:r>
          <w:proofErr w:type="spellEnd"/>
          <w:r>
            <w:rPr>
              <w:rFonts w:eastAsia="Times New Roman"/>
            </w:rPr>
            <w:t xml:space="preserve">, E. (2019). Proof-of-Stake Consensus Mechanisms for Future Blockchain Networks: Fundamentals, Applications and Opportunities. </w:t>
          </w:r>
          <w:r>
            <w:rPr>
              <w:rFonts w:eastAsia="Times New Roman"/>
              <w:i/>
              <w:iCs/>
            </w:rPr>
            <w:t>IEEE Access</w:t>
          </w:r>
          <w:r>
            <w:rPr>
              <w:rFonts w:eastAsia="Times New Roman"/>
            </w:rPr>
            <w:t xml:space="preserve">, </w:t>
          </w:r>
          <w:r>
            <w:rPr>
              <w:rFonts w:eastAsia="Times New Roman"/>
              <w:i/>
              <w:iCs/>
            </w:rPr>
            <w:t>7</w:t>
          </w:r>
          <w:r>
            <w:rPr>
              <w:rFonts w:eastAsia="Times New Roman"/>
            </w:rPr>
            <w:t>. https://doi.org/10.1109/ACCESS.2019.2925010</w:t>
          </w:r>
        </w:p>
        <w:p w14:paraId="4A520168" w14:textId="77777777" w:rsidR="0082655C" w:rsidRDefault="0082655C">
          <w:pPr>
            <w:autoSpaceDE w:val="0"/>
            <w:autoSpaceDN w:val="0"/>
            <w:ind w:hanging="480"/>
            <w:divId w:val="991250238"/>
            <w:rPr>
              <w:rFonts w:eastAsia="Times New Roman"/>
            </w:rPr>
          </w:pPr>
          <w:r>
            <w:rPr>
              <w:rFonts w:eastAsia="Times New Roman"/>
            </w:rPr>
            <w:t xml:space="preserve">Rocket, T., Yin, M., </w:t>
          </w:r>
          <w:proofErr w:type="spellStart"/>
          <w:r>
            <w:rPr>
              <w:rFonts w:eastAsia="Times New Roman"/>
            </w:rPr>
            <w:t>Sekniqi</w:t>
          </w:r>
          <w:proofErr w:type="spellEnd"/>
          <w:r>
            <w:rPr>
              <w:rFonts w:eastAsia="Times New Roman"/>
            </w:rPr>
            <w:t xml:space="preserve">, K., van </w:t>
          </w:r>
          <w:proofErr w:type="spellStart"/>
          <w:r>
            <w:rPr>
              <w:rFonts w:eastAsia="Times New Roman"/>
            </w:rPr>
            <w:t>Renesse</w:t>
          </w:r>
          <w:proofErr w:type="spellEnd"/>
          <w:r>
            <w:rPr>
              <w:rFonts w:eastAsia="Times New Roman"/>
            </w:rPr>
            <w:t xml:space="preserve">, R., &amp; </w:t>
          </w:r>
          <w:proofErr w:type="spellStart"/>
          <w:r>
            <w:rPr>
              <w:rFonts w:eastAsia="Times New Roman"/>
            </w:rPr>
            <w:t>Sirer</w:t>
          </w:r>
          <w:proofErr w:type="spellEnd"/>
          <w:r>
            <w:rPr>
              <w:rFonts w:eastAsia="Times New Roman"/>
            </w:rPr>
            <w:t xml:space="preserve">, E. G. (2019). </w:t>
          </w:r>
          <w:r>
            <w:rPr>
              <w:rFonts w:eastAsia="Times New Roman"/>
              <w:i/>
              <w:iCs/>
            </w:rPr>
            <w:t>Scalable and Probabilistic Leaderless BFT Consensus through Metastability</w:t>
          </w:r>
          <w:r>
            <w:rPr>
              <w:rFonts w:eastAsia="Times New Roman"/>
            </w:rPr>
            <w:t>. http://arxiv.org/abs/1906.08936</w:t>
          </w:r>
        </w:p>
        <w:p w14:paraId="470CC534" w14:textId="77777777" w:rsidR="0082655C" w:rsidRDefault="0082655C">
          <w:pPr>
            <w:autoSpaceDE w:val="0"/>
            <w:autoSpaceDN w:val="0"/>
            <w:ind w:hanging="480"/>
            <w:divId w:val="1048408297"/>
            <w:rPr>
              <w:rFonts w:eastAsia="Times New Roman"/>
            </w:rPr>
          </w:pPr>
          <w:proofErr w:type="spellStart"/>
          <w:r>
            <w:rPr>
              <w:rFonts w:eastAsia="Times New Roman"/>
            </w:rPr>
            <w:t>Sekniqi</w:t>
          </w:r>
          <w:proofErr w:type="spellEnd"/>
          <w:r>
            <w:rPr>
              <w:rFonts w:eastAsia="Times New Roman"/>
            </w:rPr>
            <w:t xml:space="preserve">, K., Laine, D., </w:t>
          </w:r>
          <w:proofErr w:type="spellStart"/>
          <w:r>
            <w:rPr>
              <w:rFonts w:eastAsia="Times New Roman"/>
            </w:rPr>
            <w:t>Buttolph</w:t>
          </w:r>
          <w:proofErr w:type="spellEnd"/>
          <w:r>
            <w:rPr>
              <w:rFonts w:eastAsia="Times New Roman"/>
            </w:rPr>
            <w:t xml:space="preserve">, S., &amp; </w:t>
          </w:r>
          <w:proofErr w:type="spellStart"/>
          <w:r>
            <w:rPr>
              <w:rFonts w:eastAsia="Times New Roman"/>
            </w:rPr>
            <w:t>Sirer</w:t>
          </w:r>
          <w:proofErr w:type="spellEnd"/>
          <w:r>
            <w:rPr>
              <w:rFonts w:eastAsia="Times New Roman"/>
            </w:rPr>
            <w:t xml:space="preserve">, E. G. (2020). </w:t>
          </w:r>
          <w:r>
            <w:rPr>
              <w:rFonts w:eastAsia="Times New Roman"/>
              <w:i/>
              <w:iCs/>
            </w:rPr>
            <w:t>Avalanche Platform Whitepaper</w:t>
          </w:r>
          <w:r>
            <w:rPr>
              <w:rFonts w:eastAsia="Times New Roman"/>
            </w:rPr>
            <w:t>. https://assets.website-files.com/5d80307810123f5ffbb34d6e/6008d7bbf8b10d1eb01e7e16_Avalanche%20Platform%20Whitepaper.pdf</w:t>
          </w:r>
        </w:p>
        <w:p w14:paraId="2957E424" w14:textId="4FF62E3C" w:rsidR="00134EEA" w:rsidRPr="00134EEA" w:rsidRDefault="0082655C" w:rsidP="00B159D5">
          <w:pPr>
            <w:jc w:val="both"/>
          </w:pPr>
          <w:r>
            <w:rPr>
              <w:rFonts w:eastAsia="Times New Roman"/>
            </w:rPr>
            <w:t> </w:t>
          </w:r>
        </w:p>
      </w:sdtContent>
    </w:sdt>
    <w:sectPr w:rsidR="00134EEA" w:rsidRPr="00134EEA" w:rsidSect="002919AC">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2797" w14:textId="77777777" w:rsidR="00B17E67" w:rsidRDefault="00B17E67" w:rsidP="001A3B3D">
      <w:r>
        <w:separator/>
      </w:r>
    </w:p>
  </w:endnote>
  <w:endnote w:type="continuationSeparator" w:id="0">
    <w:p w14:paraId="42E75CA8" w14:textId="77777777" w:rsidR="00B17E67" w:rsidRDefault="00B17E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9D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3EB5" w14:textId="77777777" w:rsidR="00B17E67" w:rsidRDefault="00B17E67" w:rsidP="001A3B3D">
      <w:r>
        <w:separator/>
      </w:r>
    </w:p>
  </w:footnote>
  <w:footnote w:type="continuationSeparator" w:id="0">
    <w:p w14:paraId="1EDA9084" w14:textId="77777777" w:rsidR="00B17E67" w:rsidRDefault="00B17E6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CC9E78BC"/>
    <w:lvl w:ilvl="0">
      <w:start w:val="1"/>
      <w:numFmt w:val="upperRoman"/>
      <w:pStyle w:val="Heading1"/>
      <w:lvlText w:val="%1."/>
      <w:lvlJc w:val="center"/>
      <w:pPr>
        <w:tabs>
          <w:tab w:val="num" w:pos="5180"/>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29BE"/>
    <w:rsid w:val="00046C3A"/>
    <w:rsid w:val="0004781E"/>
    <w:rsid w:val="0008758A"/>
    <w:rsid w:val="000906A8"/>
    <w:rsid w:val="000C1E68"/>
    <w:rsid w:val="00126AEC"/>
    <w:rsid w:val="00130479"/>
    <w:rsid w:val="00134EEA"/>
    <w:rsid w:val="001A2EFD"/>
    <w:rsid w:val="001A3B3D"/>
    <w:rsid w:val="001B67DC"/>
    <w:rsid w:val="001C3612"/>
    <w:rsid w:val="00202CC9"/>
    <w:rsid w:val="0020521D"/>
    <w:rsid w:val="002108EB"/>
    <w:rsid w:val="002254A9"/>
    <w:rsid w:val="00233D97"/>
    <w:rsid w:val="002347A2"/>
    <w:rsid w:val="00254611"/>
    <w:rsid w:val="002850E3"/>
    <w:rsid w:val="002919AC"/>
    <w:rsid w:val="002F0BF1"/>
    <w:rsid w:val="00354FCF"/>
    <w:rsid w:val="0036137E"/>
    <w:rsid w:val="00361D6B"/>
    <w:rsid w:val="0036707C"/>
    <w:rsid w:val="00385E4A"/>
    <w:rsid w:val="00397E87"/>
    <w:rsid w:val="003A19E2"/>
    <w:rsid w:val="003B4E04"/>
    <w:rsid w:val="003D7818"/>
    <w:rsid w:val="003F5A08"/>
    <w:rsid w:val="004008DD"/>
    <w:rsid w:val="0040103B"/>
    <w:rsid w:val="00402742"/>
    <w:rsid w:val="00420716"/>
    <w:rsid w:val="004239B5"/>
    <w:rsid w:val="00427E9B"/>
    <w:rsid w:val="004325FB"/>
    <w:rsid w:val="004432BA"/>
    <w:rsid w:val="0044407E"/>
    <w:rsid w:val="00447BB9"/>
    <w:rsid w:val="0046031D"/>
    <w:rsid w:val="004D72B5"/>
    <w:rsid w:val="004D7305"/>
    <w:rsid w:val="0050371C"/>
    <w:rsid w:val="005260D4"/>
    <w:rsid w:val="00551B7F"/>
    <w:rsid w:val="0056610F"/>
    <w:rsid w:val="00575BCA"/>
    <w:rsid w:val="005A0A2B"/>
    <w:rsid w:val="005B0344"/>
    <w:rsid w:val="005B520E"/>
    <w:rsid w:val="005B7E7F"/>
    <w:rsid w:val="005E2800"/>
    <w:rsid w:val="005E65A3"/>
    <w:rsid w:val="005F3A09"/>
    <w:rsid w:val="00605825"/>
    <w:rsid w:val="0061215C"/>
    <w:rsid w:val="00625AB2"/>
    <w:rsid w:val="00645D22"/>
    <w:rsid w:val="00651A08"/>
    <w:rsid w:val="00654204"/>
    <w:rsid w:val="00670434"/>
    <w:rsid w:val="0068458A"/>
    <w:rsid w:val="006953DE"/>
    <w:rsid w:val="006B6B66"/>
    <w:rsid w:val="006F6D3D"/>
    <w:rsid w:val="00715BEA"/>
    <w:rsid w:val="00740EEA"/>
    <w:rsid w:val="0074458A"/>
    <w:rsid w:val="00794804"/>
    <w:rsid w:val="007B33F1"/>
    <w:rsid w:val="007B6DDA"/>
    <w:rsid w:val="007C0308"/>
    <w:rsid w:val="007C2FF2"/>
    <w:rsid w:val="007D6232"/>
    <w:rsid w:val="007E73C5"/>
    <w:rsid w:val="007F1F99"/>
    <w:rsid w:val="007F768F"/>
    <w:rsid w:val="0080791D"/>
    <w:rsid w:val="0082655C"/>
    <w:rsid w:val="00836367"/>
    <w:rsid w:val="00860DAB"/>
    <w:rsid w:val="00861452"/>
    <w:rsid w:val="00873603"/>
    <w:rsid w:val="008A2C7D"/>
    <w:rsid w:val="008B743B"/>
    <w:rsid w:val="008C4B23"/>
    <w:rsid w:val="008D02EA"/>
    <w:rsid w:val="008E6EF0"/>
    <w:rsid w:val="008F6E2C"/>
    <w:rsid w:val="00901167"/>
    <w:rsid w:val="00926577"/>
    <w:rsid w:val="009303D9"/>
    <w:rsid w:val="00933C64"/>
    <w:rsid w:val="00946C5E"/>
    <w:rsid w:val="00952CE8"/>
    <w:rsid w:val="00972203"/>
    <w:rsid w:val="00974F5E"/>
    <w:rsid w:val="009D2E44"/>
    <w:rsid w:val="009F1D79"/>
    <w:rsid w:val="009F5909"/>
    <w:rsid w:val="009F6E8E"/>
    <w:rsid w:val="00A059B3"/>
    <w:rsid w:val="00A66DD1"/>
    <w:rsid w:val="00A8363F"/>
    <w:rsid w:val="00A94F66"/>
    <w:rsid w:val="00AC574A"/>
    <w:rsid w:val="00AE3409"/>
    <w:rsid w:val="00B04AA3"/>
    <w:rsid w:val="00B04D1B"/>
    <w:rsid w:val="00B11A60"/>
    <w:rsid w:val="00B159D5"/>
    <w:rsid w:val="00B17E67"/>
    <w:rsid w:val="00B22613"/>
    <w:rsid w:val="00B33A11"/>
    <w:rsid w:val="00B768D1"/>
    <w:rsid w:val="00B96C50"/>
    <w:rsid w:val="00BA1025"/>
    <w:rsid w:val="00BA607A"/>
    <w:rsid w:val="00BC3420"/>
    <w:rsid w:val="00BC439A"/>
    <w:rsid w:val="00BD670B"/>
    <w:rsid w:val="00BE0C57"/>
    <w:rsid w:val="00BE1806"/>
    <w:rsid w:val="00BE7D3C"/>
    <w:rsid w:val="00BF5FF6"/>
    <w:rsid w:val="00C0207F"/>
    <w:rsid w:val="00C1588F"/>
    <w:rsid w:val="00C16117"/>
    <w:rsid w:val="00C3075A"/>
    <w:rsid w:val="00C36FB5"/>
    <w:rsid w:val="00C919A4"/>
    <w:rsid w:val="00CA3361"/>
    <w:rsid w:val="00CA4392"/>
    <w:rsid w:val="00CC393F"/>
    <w:rsid w:val="00CC49CD"/>
    <w:rsid w:val="00CE6E38"/>
    <w:rsid w:val="00D2176E"/>
    <w:rsid w:val="00D632BE"/>
    <w:rsid w:val="00D72D06"/>
    <w:rsid w:val="00D7522C"/>
    <w:rsid w:val="00D7536F"/>
    <w:rsid w:val="00D76668"/>
    <w:rsid w:val="00D800C3"/>
    <w:rsid w:val="00D94A3A"/>
    <w:rsid w:val="00DB01A0"/>
    <w:rsid w:val="00DE07E3"/>
    <w:rsid w:val="00DE51D1"/>
    <w:rsid w:val="00E07383"/>
    <w:rsid w:val="00E165BC"/>
    <w:rsid w:val="00E21178"/>
    <w:rsid w:val="00E22B9A"/>
    <w:rsid w:val="00E47E6D"/>
    <w:rsid w:val="00E61E12"/>
    <w:rsid w:val="00E7596C"/>
    <w:rsid w:val="00E85BEC"/>
    <w:rsid w:val="00E878F2"/>
    <w:rsid w:val="00EA005B"/>
    <w:rsid w:val="00ED0149"/>
    <w:rsid w:val="00ED7B99"/>
    <w:rsid w:val="00EE4B7F"/>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B7158"/>
  <w15:chartTrackingRefBased/>
  <w15:docId w15:val="{F90EF9ED-3377-489B-8480-0E4A199E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clear" w:pos="518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134EEA"/>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link w:val="Heading6"/>
    <w:rsid w:val="00134EEA"/>
    <w:rPr>
      <w:rFonts w:ascii="Calibri" w:eastAsia="Times New Roman" w:hAnsi="Calibri" w:cs="Times New Roman"/>
      <w:b/>
      <w:bCs/>
      <w:sz w:val="22"/>
      <w:szCs w:val="22"/>
      <w:lang w:val="en-US" w:eastAsia="en-US"/>
    </w:rPr>
  </w:style>
  <w:style w:type="character" w:styleId="Strong">
    <w:name w:val="Strong"/>
    <w:qFormat/>
    <w:rsid w:val="00134EEA"/>
    <w:rPr>
      <w:b/>
      <w:bCs/>
    </w:rPr>
  </w:style>
  <w:style w:type="character" w:styleId="PlaceholderText">
    <w:name w:val="Placeholder Text"/>
    <w:uiPriority w:val="99"/>
    <w:semiHidden/>
    <w:rsid w:val="00B159D5"/>
    <w:rPr>
      <w:color w:val="808080"/>
    </w:rPr>
  </w:style>
  <w:style w:type="paragraph" w:styleId="Caption">
    <w:name w:val="caption"/>
    <w:basedOn w:val="Normal"/>
    <w:next w:val="Normal"/>
    <w:unhideWhenUsed/>
    <w:qFormat/>
    <w:rsid w:val="00A8363F"/>
    <w:pPr>
      <w:spacing w:after="200"/>
    </w:pPr>
    <w:rPr>
      <w:i/>
      <w:iCs/>
      <w:color w:val="44546A" w:themeColor="text2"/>
      <w:sz w:val="18"/>
      <w:szCs w:val="18"/>
    </w:rPr>
  </w:style>
  <w:style w:type="table" w:styleId="TableGrid">
    <w:name w:val="Table Grid"/>
    <w:basedOn w:val="TableNormal"/>
    <w:rsid w:val="00CE6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329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523">
      <w:bodyDiv w:val="1"/>
      <w:marLeft w:val="0"/>
      <w:marRight w:val="0"/>
      <w:marTop w:val="0"/>
      <w:marBottom w:val="0"/>
      <w:divBdr>
        <w:top w:val="none" w:sz="0" w:space="0" w:color="auto"/>
        <w:left w:val="none" w:sz="0" w:space="0" w:color="auto"/>
        <w:bottom w:val="none" w:sz="0" w:space="0" w:color="auto"/>
        <w:right w:val="none" w:sz="0" w:space="0" w:color="auto"/>
      </w:divBdr>
      <w:divsChild>
        <w:div w:id="84959447">
          <w:marLeft w:val="480"/>
          <w:marRight w:val="0"/>
          <w:marTop w:val="0"/>
          <w:marBottom w:val="0"/>
          <w:divBdr>
            <w:top w:val="none" w:sz="0" w:space="0" w:color="auto"/>
            <w:left w:val="none" w:sz="0" w:space="0" w:color="auto"/>
            <w:bottom w:val="none" w:sz="0" w:space="0" w:color="auto"/>
            <w:right w:val="none" w:sz="0" w:space="0" w:color="auto"/>
          </w:divBdr>
        </w:div>
        <w:div w:id="1340430327">
          <w:marLeft w:val="480"/>
          <w:marRight w:val="0"/>
          <w:marTop w:val="0"/>
          <w:marBottom w:val="0"/>
          <w:divBdr>
            <w:top w:val="none" w:sz="0" w:space="0" w:color="auto"/>
            <w:left w:val="none" w:sz="0" w:space="0" w:color="auto"/>
            <w:bottom w:val="none" w:sz="0" w:space="0" w:color="auto"/>
            <w:right w:val="none" w:sz="0" w:space="0" w:color="auto"/>
          </w:divBdr>
        </w:div>
        <w:div w:id="1396270662">
          <w:marLeft w:val="480"/>
          <w:marRight w:val="0"/>
          <w:marTop w:val="0"/>
          <w:marBottom w:val="0"/>
          <w:divBdr>
            <w:top w:val="none" w:sz="0" w:space="0" w:color="auto"/>
            <w:left w:val="none" w:sz="0" w:space="0" w:color="auto"/>
            <w:bottom w:val="none" w:sz="0" w:space="0" w:color="auto"/>
            <w:right w:val="none" w:sz="0" w:space="0" w:color="auto"/>
          </w:divBdr>
        </w:div>
        <w:div w:id="1004279812">
          <w:marLeft w:val="480"/>
          <w:marRight w:val="0"/>
          <w:marTop w:val="0"/>
          <w:marBottom w:val="0"/>
          <w:divBdr>
            <w:top w:val="none" w:sz="0" w:space="0" w:color="auto"/>
            <w:left w:val="none" w:sz="0" w:space="0" w:color="auto"/>
            <w:bottom w:val="none" w:sz="0" w:space="0" w:color="auto"/>
            <w:right w:val="none" w:sz="0" w:space="0" w:color="auto"/>
          </w:divBdr>
        </w:div>
        <w:div w:id="1497770336">
          <w:marLeft w:val="480"/>
          <w:marRight w:val="0"/>
          <w:marTop w:val="0"/>
          <w:marBottom w:val="0"/>
          <w:divBdr>
            <w:top w:val="none" w:sz="0" w:space="0" w:color="auto"/>
            <w:left w:val="none" w:sz="0" w:space="0" w:color="auto"/>
            <w:bottom w:val="none" w:sz="0" w:space="0" w:color="auto"/>
            <w:right w:val="none" w:sz="0" w:space="0" w:color="auto"/>
          </w:divBdr>
        </w:div>
        <w:div w:id="1655184913">
          <w:marLeft w:val="480"/>
          <w:marRight w:val="0"/>
          <w:marTop w:val="0"/>
          <w:marBottom w:val="0"/>
          <w:divBdr>
            <w:top w:val="none" w:sz="0" w:space="0" w:color="auto"/>
            <w:left w:val="none" w:sz="0" w:space="0" w:color="auto"/>
            <w:bottom w:val="none" w:sz="0" w:space="0" w:color="auto"/>
            <w:right w:val="none" w:sz="0" w:space="0" w:color="auto"/>
          </w:divBdr>
        </w:div>
      </w:divsChild>
    </w:div>
    <w:div w:id="139687925">
      <w:bodyDiv w:val="1"/>
      <w:marLeft w:val="0"/>
      <w:marRight w:val="0"/>
      <w:marTop w:val="0"/>
      <w:marBottom w:val="0"/>
      <w:divBdr>
        <w:top w:val="none" w:sz="0" w:space="0" w:color="auto"/>
        <w:left w:val="none" w:sz="0" w:space="0" w:color="auto"/>
        <w:bottom w:val="none" w:sz="0" w:space="0" w:color="auto"/>
        <w:right w:val="none" w:sz="0" w:space="0" w:color="auto"/>
      </w:divBdr>
      <w:divsChild>
        <w:div w:id="396128020">
          <w:marLeft w:val="480"/>
          <w:marRight w:val="0"/>
          <w:marTop w:val="0"/>
          <w:marBottom w:val="0"/>
          <w:divBdr>
            <w:top w:val="none" w:sz="0" w:space="0" w:color="auto"/>
            <w:left w:val="none" w:sz="0" w:space="0" w:color="auto"/>
            <w:bottom w:val="none" w:sz="0" w:space="0" w:color="auto"/>
            <w:right w:val="none" w:sz="0" w:space="0" w:color="auto"/>
          </w:divBdr>
        </w:div>
        <w:div w:id="2095318259">
          <w:marLeft w:val="480"/>
          <w:marRight w:val="0"/>
          <w:marTop w:val="0"/>
          <w:marBottom w:val="0"/>
          <w:divBdr>
            <w:top w:val="none" w:sz="0" w:space="0" w:color="auto"/>
            <w:left w:val="none" w:sz="0" w:space="0" w:color="auto"/>
            <w:bottom w:val="none" w:sz="0" w:space="0" w:color="auto"/>
            <w:right w:val="none" w:sz="0" w:space="0" w:color="auto"/>
          </w:divBdr>
        </w:div>
        <w:div w:id="1647707607">
          <w:marLeft w:val="480"/>
          <w:marRight w:val="0"/>
          <w:marTop w:val="0"/>
          <w:marBottom w:val="0"/>
          <w:divBdr>
            <w:top w:val="none" w:sz="0" w:space="0" w:color="auto"/>
            <w:left w:val="none" w:sz="0" w:space="0" w:color="auto"/>
            <w:bottom w:val="none" w:sz="0" w:space="0" w:color="auto"/>
            <w:right w:val="none" w:sz="0" w:space="0" w:color="auto"/>
          </w:divBdr>
        </w:div>
        <w:div w:id="272592338">
          <w:marLeft w:val="480"/>
          <w:marRight w:val="0"/>
          <w:marTop w:val="0"/>
          <w:marBottom w:val="0"/>
          <w:divBdr>
            <w:top w:val="none" w:sz="0" w:space="0" w:color="auto"/>
            <w:left w:val="none" w:sz="0" w:space="0" w:color="auto"/>
            <w:bottom w:val="none" w:sz="0" w:space="0" w:color="auto"/>
            <w:right w:val="none" w:sz="0" w:space="0" w:color="auto"/>
          </w:divBdr>
        </w:div>
        <w:div w:id="715853487">
          <w:marLeft w:val="480"/>
          <w:marRight w:val="0"/>
          <w:marTop w:val="0"/>
          <w:marBottom w:val="0"/>
          <w:divBdr>
            <w:top w:val="none" w:sz="0" w:space="0" w:color="auto"/>
            <w:left w:val="none" w:sz="0" w:space="0" w:color="auto"/>
            <w:bottom w:val="none" w:sz="0" w:space="0" w:color="auto"/>
            <w:right w:val="none" w:sz="0" w:space="0" w:color="auto"/>
          </w:divBdr>
        </w:div>
        <w:div w:id="1821841907">
          <w:marLeft w:val="480"/>
          <w:marRight w:val="0"/>
          <w:marTop w:val="0"/>
          <w:marBottom w:val="0"/>
          <w:divBdr>
            <w:top w:val="none" w:sz="0" w:space="0" w:color="auto"/>
            <w:left w:val="none" w:sz="0" w:space="0" w:color="auto"/>
            <w:bottom w:val="none" w:sz="0" w:space="0" w:color="auto"/>
            <w:right w:val="none" w:sz="0" w:space="0" w:color="auto"/>
          </w:divBdr>
        </w:div>
      </w:divsChild>
    </w:div>
    <w:div w:id="206571409">
      <w:bodyDiv w:val="1"/>
      <w:marLeft w:val="0"/>
      <w:marRight w:val="0"/>
      <w:marTop w:val="0"/>
      <w:marBottom w:val="0"/>
      <w:divBdr>
        <w:top w:val="none" w:sz="0" w:space="0" w:color="auto"/>
        <w:left w:val="none" w:sz="0" w:space="0" w:color="auto"/>
        <w:bottom w:val="none" w:sz="0" w:space="0" w:color="auto"/>
        <w:right w:val="none" w:sz="0" w:space="0" w:color="auto"/>
      </w:divBdr>
      <w:divsChild>
        <w:div w:id="420493590">
          <w:marLeft w:val="480"/>
          <w:marRight w:val="0"/>
          <w:marTop w:val="0"/>
          <w:marBottom w:val="0"/>
          <w:divBdr>
            <w:top w:val="none" w:sz="0" w:space="0" w:color="auto"/>
            <w:left w:val="none" w:sz="0" w:space="0" w:color="auto"/>
            <w:bottom w:val="none" w:sz="0" w:space="0" w:color="auto"/>
            <w:right w:val="none" w:sz="0" w:space="0" w:color="auto"/>
          </w:divBdr>
        </w:div>
        <w:div w:id="442842777">
          <w:marLeft w:val="480"/>
          <w:marRight w:val="0"/>
          <w:marTop w:val="0"/>
          <w:marBottom w:val="0"/>
          <w:divBdr>
            <w:top w:val="none" w:sz="0" w:space="0" w:color="auto"/>
            <w:left w:val="none" w:sz="0" w:space="0" w:color="auto"/>
            <w:bottom w:val="none" w:sz="0" w:space="0" w:color="auto"/>
            <w:right w:val="none" w:sz="0" w:space="0" w:color="auto"/>
          </w:divBdr>
        </w:div>
      </w:divsChild>
    </w:div>
    <w:div w:id="310868315">
      <w:bodyDiv w:val="1"/>
      <w:marLeft w:val="0"/>
      <w:marRight w:val="0"/>
      <w:marTop w:val="0"/>
      <w:marBottom w:val="0"/>
      <w:divBdr>
        <w:top w:val="none" w:sz="0" w:space="0" w:color="auto"/>
        <w:left w:val="none" w:sz="0" w:space="0" w:color="auto"/>
        <w:bottom w:val="none" w:sz="0" w:space="0" w:color="auto"/>
        <w:right w:val="none" w:sz="0" w:space="0" w:color="auto"/>
      </w:divBdr>
      <w:divsChild>
        <w:div w:id="2002154968">
          <w:marLeft w:val="480"/>
          <w:marRight w:val="0"/>
          <w:marTop w:val="0"/>
          <w:marBottom w:val="0"/>
          <w:divBdr>
            <w:top w:val="none" w:sz="0" w:space="0" w:color="auto"/>
            <w:left w:val="none" w:sz="0" w:space="0" w:color="auto"/>
            <w:bottom w:val="none" w:sz="0" w:space="0" w:color="auto"/>
            <w:right w:val="none" w:sz="0" w:space="0" w:color="auto"/>
          </w:divBdr>
        </w:div>
        <w:div w:id="366105908">
          <w:marLeft w:val="480"/>
          <w:marRight w:val="0"/>
          <w:marTop w:val="0"/>
          <w:marBottom w:val="0"/>
          <w:divBdr>
            <w:top w:val="none" w:sz="0" w:space="0" w:color="auto"/>
            <w:left w:val="none" w:sz="0" w:space="0" w:color="auto"/>
            <w:bottom w:val="none" w:sz="0" w:space="0" w:color="auto"/>
            <w:right w:val="none" w:sz="0" w:space="0" w:color="auto"/>
          </w:divBdr>
        </w:div>
        <w:div w:id="1288853403">
          <w:marLeft w:val="480"/>
          <w:marRight w:val="0"/>
          <w:marTop w:val="0"/>
          <w:marBottom w:val="0"/>
          <w:divBdr>
            <w:top w:val="none" w:sz="0" w:space="0" w:color="auto"/>
            <w:left w:val="none" w:sz="0" w:space="0" w:color="auto"/>
            <w:bottom w:val="none" w:sz="0" w:space="0" w:color="auto"/>
            <w:right w:val="none" w:sz="0" w:space="0" w:color="auto"/>
          </w:divBdr>
        </w:div>
        <w:div w:id="2080208956">
          <w:marLeft w:val="480"/>
          <w:marRight w:val="0"/>
          <w:marTop w:val="0"/>
          <w:marBottom w:val="0"/>
          <w:divBdr>
            <w:top w:val="none" w:sz="0" w:space="0" w:color="auto"/>
            <w:left w:val="none" w:sz="0" w:space="0" w:color="auto"/>
            <w:bottom w:val="none" w:sz="0" w:space="0" w:color="auto"/>
            <w:right w:val="none" w:sz="0" w:space="0" w:color="auto"/>
          </w:divBdr>
        </w:div>
        <w:div w:id="901981695">
          <w:marLeft w:val="480"/>
          <w:marRight w:val="0"/>
          <w:marTop w:val="0"/>
          <w:marBottom w:val="0"/>
          <w:divBdr>
            <w:top w:val="none" w:sz="0" w:space="0" w:color="auto"/>
            <w:left w:val="none" w:sz="0" w:space="0" w:color="auto"/>
            <w:bottom w:val="none" w:sz="0" w:space="0" w:color="auto"/>
            <w:right w:val="none" w:sz="0" w:space="0" w:color="auto"/>
          </w:divBdr>
        </w:div>
        <w:div w:id="1145438846">
          <w:marLeft w:val="480"/>
          <w:marRight w:val="0"/>
          <w:marTop w:val="0"/>
          <w:marBottom w:val="0"/>
          <w:divBdr>
            <w:top w:val="none" w:sz="0" w:space="0" w:color="auto"/>
            <w:left w:val="none" w:sz="0" w:space="0" w:color="auto"/>
            <w:bottom w:val="none" w:sz="0" w:space="0" w:color="auto"/>
            <w:right w:val="none" w:sz="0" w:space="0" w:color="auto"/>
          </w:divBdr>
        </w:div>
      </w:divsChild>
    </w:div>
    <w:div w:id="442771291">
      <w:bodyDiv w:val="1"/>
      <w:marLeft w:val="0"/>
      <w:marRight w:val="0"/>
      <w:marTop w:val="0"/>
      <w:marBottom w:val="0"/>
      <w:divBdr>
        <w:top w:val="none" w:sz="0" w:space="0" w:color="auto"/>
        <w:left w:val="none" w:sz="0" w:space="0" w:color="auto"/>
        <w:bottom w:val="none" w:sz="0" w:space="0" w:color="auto"/>
        <w:right w:val="none" w:sz="0" w:space="0" w:color="auto"/>
      </w:divBdr>
      <w:divsChild>
        <w:div w:id="1912110511">
          <w:marLeft w:val="480"/>
          <w:marRight w:val="0"/>
          <w:marTop w:val="0"/>
          <w:marBottom w:val="0"/>
          <w:divBdr>
            <w:top w:val="none" w:sz="0" w:space="0" w:color="auto"/>
            <w:left w:val="none" w:sz="0" w:space="0" w:color="auto"/>
            <w:bottom w:val="none" w:sz="0" w:space="0" w:color="auto"/>
            <w:right w:val="none" w:sz="0" w:space="0" w:color="auto"/>
          </w:divBdr>
        </w:div>
        <w:div w:id="1261064904">
          <w:marLeft w:val="480"/>
          <w:marRight w:val="0"/>
          <w:marTop w:val="0"/>
          <w:marBottom w:val="0"/>
          <w:divBdr>
            <w:top w:val="none" w:sz="0" w:space="0" w:color="auto"/>
            <w:left w:val="none" w:sz="0" w:space="0" w:color="auto"/>
            <w:bottom w:val="none" w:sz="0" w:space="0" w:color="auto"/>
            <w:right w:val="none" w:sz="0" w:space="0" w:color="auto"/>
          </w:divBdr>
        </w:div>
        <w:div w:id="1744256301">
          <w:marLeft w:val="480"/>
          <w:marRight w:val="0"/>
          <w:marTop w:val="0"/>
          <w:marBottom w:val="0"/>
          <w:divBdr>
            <w:top w:val="none" w:sz="0" w:space="0" w:color="auto"/>
            <w:left w:val="none" w:sz="0" w:space="0" w:color="auto"/>
            <w:bottom w:val="none" w:sz="0" w:space="0" w:color="auto"/>
            <w:right w:val="none" w:sz="0" w:space="0" w:color="auto"/>
          </w:divBdr>
        </w:div>
        <w:div w:id="15733390">
          <w:marLeft w:val="480"/>
          <w:marRight w:val="0"/>
          <w:marTop w:val="0"/>
          <w:marBottom w:val="0"/>
          <w:divBdr>
            <w:top w:val="none" w:sz="0" w:space="0" w:color="auto"/>
            <w:left w:val="none" w:sz="0" w:space="0" w:color="auto"/>
            <w:bottom w:val="none" w:sz="0" w:space="0" w:color="auto"/>
            <w:right w:val="none" w:sz="0" w:space="0" w:color="auto"/>
          </w:divBdr>
        </w:div>
        <w:div w:id="1819885213">
          <w:marLeft w:val="480"/>
          <w:marRight w:val="0"/>
          <w:marTop w:val="0"/>
          <w:marBottom w:val="0"/>
          <w:divBdr>
            <w:top w:val="none" w:sz="0" w:space="0" w:color="auto"/>
            <w:left w:val="none" w:sz="0" w:space="0" w:color="auto"/>
            <w:bottom w:val="none" w:sz="0" w:space="0" w:color="auto"/>
            <w:right w:val="none" w:sz="0" w:space="0" w:color="auto"/>
          </w:divBdr>
        </w:div>
      </w:divsChild>
    </w:div>
    <w:div w:id="489829201">
      <w:bodyDiv w:val="1"/>
      <w:marLeft w:val="0"/>
      <w:marRight w:val="0"/>
      <w:marTop w:val="0"/>
      <w:marBottom w:val="0"/>
      <w:divBdr>
        <w:top w:val="none" w:sz="0" w:space="0" w:color="auto"/>
        <w:left w:val="none" w:sz="0" w:space="0" w:color="auto"/>
        <w:bottom w:val="none" w:sz="0" w:space="0" w:color="auto"/>
        <w:right w:val="none" w:sz="0" w:space="0" w:color="auto"/>
      </w:divBdr>
      <w:divsChild>
        <w:div w:id="101461951">
          <w:marLeft w:val="480"/>
          <w:marRight w:val="0"/>
          <w:marTop w:val="0"/>
          <w:marBottom w:val="0"/>
          <w:divBdr>
            <w:top w:val="none" w:sz="0" w:space="0" w:color="auto"/>
            <w:left w:val="none" w:sz="0" w:space="0" w:color="auto"/>
            <w:bottom w:val="none" w:sz="0" w:space="0" w:color="auto"/>
            <w:right w:val="none" w:sz="0" w:space="0" w:color="auto"/>
          </w:divBdr>
        </w:div>
        <w:div w:id="1226801069">
          <w:marLeft w:val="480"/>
          <w:marRight w:val="0"/>
          <w:marTop w:val="0"/>
          <w:marBottom w:val="0"/>
          <w:divBdr>
            <w:top w:val="none" w:sz="0" w:space="0" w:color="auto"/>
            <w:left w:val="none" w:sz="0" w:space="0" w:color="auto"/>
            <w:bottom w:val="none" w:sz="0" w:space="0" w:color="auto"/>
            <w:right w:val="none" w:sz="0" w:space="0" w:color="auto"/>
          </w:divBdr>
        </w:div>
        <w:div w:id="1177773004">
          <w:marLeft w:val="480"/>
          <w:marRight w:val="0"/>
          <w:marTop w:val="0"/>
          <w:marBottom w:val="0"/>
          <w:divBdr>
            <w:top w:val="none" w:sz="0" w:space="0" w:color="auto"/>
            <w:left w:val="none" w:sz="0" w:space="0" w:color="auto"/>
            <w:bottom w:val="none" w:sz="0" w:space="0" w:color="auto"/>
            <w:right w:val="none" w:sz="0" w:space="0" w:color="auto"/>
          </w:divBdr>
        </w:div>
        <w:div w:id="891425405">
          <w:marLeft w:val="480"/>
          <w:marRight w:val="0"/>
          <w:marTop w:val="0"/>
          <w:marBottom w:val="0"/>
          <w:divBdr>
            <w:top w:val="none" w:sz="0" w:space="0" w:color="auto"/>
            <w:left w:val="none" w:sz="0" w:space="0" w:color="auto"/>
            <w:bottom w:val="none" w:sz="0" w:space="0" w:color="auto"/>
            <w:right w:val="none" w:sz="0" w:space="0" w:color="auto"/>
          </w:divBdr>
        </w:div>
        <w:div w:id="1093625294">
          <w:marLeft w:val="480"/>
          <w:marRight w:val="0"/>
          <w:marTop w:val="0"/>
          <w:marBottom w:val="0"/>
          <w:divBdr>
            <w:top w:val="none" w:sz="0" w:space="0" w:color="auto"/>
            <w:left w:val="none" w:sz="0" w:space="0" w:color="auto"/>
            <w:bottom w:val="none" w:sz="0" w:space="0" w:color="auto"/>
            <w:right w:val="none" w:sz="0" w:space="0" w:color="auto"/>
          </w:divBdr>
        </w:div>
        <w:div w:id="862403432">
          <w:marLeft w:val="480"/>
          <w:marRight w:val="0"/>
          <w:marTop w:val="0"/>
          <w:marBottom w:val="0"/>
          <w:divBdr>
            <w:top w:val="none" w:sz="0" w:space="0" w:color="auto"/>
            <w:left w:val="none" w:sz="0" w:space="0" w:color="auto"/>
            <w:bottom w:val="none" w:sz="0" w:space="0" w:color="auto"/>
            <w:right w:val="none" w:sz="0" w:space="0" w:color="auto"/>
          </w:divBdr>
        </w:div>
      </w:divsChild>
    </w:div>
    <w:div w:id="694814925">
      <w:bodyDiv w:val="1"/>
      <w:marLeft w:val="0"/>
      <w:marRight w:val="0"/>
      <w:marTop w:val="0"/>
      <w:marBottom w:val="0"/>
      <w:divBdr>
        <w:top w:val="none" w:sz="0" w:space="0" w:color="auto"/>
        <w:left w:val="none" w:sz="0" w:space="0" w:color="auto"/>
        <w:bottom w:val="none" w:sz="0" w:space="0" w:color="auto"/>
        <w:right w:val="none" w:sz="0" w:space="0" w:color="auto"/>
      </w:divBdr>
      <w:divsChild>
        <w:div w:id="347565281">
          <w:marLeft w:val="480"/>
          <w:marRight w:val="0"/>
          <w:marTop w:val="0"/>
          <w:marBottom w:val="0"/>
          <w:divBdr>
            <w:top w:val="none" w:sz="0" w:space="0" w:color="auto"/>
            <w:left w:val="none" w:sz="0" w:space="0" w:color="auto"/>
            <w:bottom w:val="none" w:sz="0" w:space="0" w:color="auto"/>
            <w:right w:val="none" w:sz="0" w:space="0" w:color="auto"/>
          </w:divBdr>
        </w:div>
        <w:div w:id="235172803">
          <w:marLeft w:val="480"/>
          <w:marRight w:val="0"/>
          <w:marTop w:val="0"/>
          <w:marBottom w:val="0"/>
          <w:divBdr>
            <w:top w:val="none" w:sz="0" w:space="0" w:color="auto"/>
            <w:left w:val="none" w:sz="0" w:space="0" w:color="auto"/>
            <w:bottom w:val="none" w:sz="0" w:space="0" w:color="auto"/>
            <w:right w:val="none" w:sz="0" w:space="0" w:color="auto"/>
          </w:divBdr>
        </w:div>
      </w:divsChild>
    </w:div>
    <w:div w:id="712924763">
      <w:bodyDiv w:val="1"/>
      <w:marLeft w:val="0"/>
      <w:marRight w:val="0"/>
      <w:marTop w:val="0"/>
      <w:marBottom w:val="0"/>
      <w:divBdr>
        <w:top w:val="none" w:sz="0" w:space="0" w:color="auto"/>
        <w:left w:val="none" w:sz="0" w:space="0" w:color="auto"/>
        <w:bottom w:val="none" w:sz="0" w:space="0" w:color="auto"/>
        <w:right w:val="none" w:sz="0" w:space="0" w:color="auto"/>
      </w:divBdr>
      <w:divsChild>
        <w:div w:id="1064648493">
          <w:marLeft w:val="480"/>
          <w:marRight w:val="0"/>
          <w:marTop w:val="0"/>
          <w:marBottom w:val="0"/>
          <w:divBdr>
            <w:top w:val="none" w:sz="0" w:space="0" w:color="auto"/>
            <w:left w:val="none" w:sz="0" w:space="0" w:color="auto"/>
            <w:bottom w:val="none" w:sz="0" w:space="0" w:color="auto"/>
            <w:right w:val="none" w:sz="0" w:space="0" w:color="auto"/>
          </w:divBdr>
        </w:div>
        <w:div w:id="843475318">
          <w:marLeft w:val="480"/>
          <w:marRight w:val="0"/>
          <w:marTop w:val="0"/>
          <w:marBottom w:val="0"/>
          <w:divBdr>
            <w:top w:val="none" w:sz="0" w:space="0" w:color="auto"/>
            <w:left w:val="none" w:sz="0" w:space="0" w:color="auto"/>
            <w:bottom w:val="none" w:sz="0" w:space="0" w:color="auto"/>
            <w:right w:val="none" w:sz="0" w:space="0" w:color="auto"/>
          </w:divBdr>
        </w:div>
        <w:div w:id="44113054">
          <w:marLeft w:val="480"/>
          <w:marRight w:val="0"/>
          <w:marTop w:val="0"/>
          <w:marBottom w:val="0"/>
          <w:divBdr>
            <w:top w:val="none" w:sz="0" w:space="0" w:color="auto"/>
            <w:left w:val="none" w:sz="0" w:space="0" w:color="auto"/>
            <w:bottom w:val="none" w:sz="0" w:space="0" w:color="auto"/>
            <w:right w:val="none" w:sz="0" w:space="0" w:color="auto"/>
          </w:divBdr>
        </w:div>
        <w:div w:id="2022734341">
          <w:marLeft w:val="480"/>
          <w:marRight w:val="0"/>
          <w:marTop w:val="0"/>
          <w:marBottom w:val="0"/>
          <w:divBdr>
            <w:top w:val="none" w:sz="0" w:space="0" w:color="auto"/>
            <w:left w:val="none" w:sz="0" w:space="0" w:color="auto"/>
            <w:bottom w:val="none" w:sz="0" w:space="0" w:color="auto"/>
            <w:right w:val="none" w:sz="0" w:space="0" w:color="auto"/>
          </w:divBdr>
        </w:div>
        <w:div w:id="962266397">
          <w:marLeft w:val="480"/>
          <w:marRight w:val="0"/>
          <w:marTop w:val="0"/>
          <w:marBottom w:val="0"/>
          <w:divBdr>
            <w:top w:val="none" w:sz="0" w:space="0" w:color="auto"/>
            <w:left w:val="none" w:sz="0" w:space="0" w:color="auto"/>
            <w:bottom w:val="none" w:sz="0" w:space="0" w:color="auto"/>
            <w:right w:val="none" w:sz="0" w:space="0" w:color="auto"/>
          </w:divBdr>
        </w:div>
        <w:div w:id="1019433924">
          <w:marLeft w:val="480"/>
          <w:marRight w:val="0"/>
          <w:marTop w:val="0"/>
          <w:marBottom w:val="0"/>
          <w:divBdr>
            <w:top w:val="none" w:sz="0" w:space="0" w:color="auto"/>
            <w:left w:val="none" w:sz="0" w:space="0" w:color="auto"/>
            <w:bottom w:val="none" w:sz="0" w:space="0" w:color="auto"/>
            <w:right w:val="none" w:sz="0" w:space="0" w:color="auto"/>
          </w:divBdr>
        </w:div>
        <w:div w:id="926379323">
          <w:marLeft w:val="480"/>
          <w:marRight w:val="0"/>
          <w:marTop w:val="0"/>
          <w:marBottom w:val="0"/>
          <w:divBdr>
            <w:top w:val="none" w:sz="0" w:space="0" w:color="auto"/>
            <w:left w:val="none" w:sz="0" w:space="0" w:color="auto"/>
            <w:bottom w:val="none" w:sz="0" w:space="0" w:color="auto"/>
            <w:right w:val="none" w:sz="0" w:space="0" w:color="auto"/>
          </w:divBdr>
        </w:div>
      </w:divsChild>
    </w:div>
    <w:div w:id="857355530">
      <w:bodyDiv w:val="1"/>
      <w:marLeft w:val="0"/>
      <w:marRight w:val="0"/>
      <w:marTop w:val="0"/>
      <w:marBottom w:val="0"/>
      <w:divBdr>
        <w:top w:val="none" w:sz="0" w:space="0" w:color="auto"/>
        <w:left w:val="none" w:sz="0" w:space="0" w:color="auto"/>
        <w:bottom w:val="none" w:sz="0" w:space="0" w:color="auto"/>
        <w:right w:val="none" w:sz="0" w:space="0" w:color="auto"/>
      </w:divBdr>
      <w:divsChild>
        <w:div w:id="294995474">
          <w:marLeft w:val="480"/>
          <w:marRight w:val="0"/>
          <w:marTop w:val="0"/>
          <w:marBottom w:val="0"/>
          <w:divBdr>
            <w:top w:val="none" w:sz="0" w:space="0" w:color="auto"/>
            <w:left w:val="none" w:sz="0" w:space="0" w:color="auto"/>
            <w:bottom w:val="none" w:sz="0" w:space="0" w:color="auto"/>
            <w:right w:val="none" w:sz="0" w:space="0" w:color="auto"/>
          </w:divBdr>
        </w:div>
        <w:div w:id="835344338">
          <w:marLeft w:val="480"/>
          <w:marRight w:val="0"/>
          <w:marTop w:val="0"/>
          <w:marBottom w:val="0"/>
          <w:divBdr>
            <w:top w:val="none" w:sz="0" w:space="0" w:color="auto"/>
            <w:left w:val="none" w:sz="0" w:space="0" w:color="auto"/>
            <w:bottom w:val="none" w:sz="0" w:space="0" w:color="auto"/>
            <w:right w:val="none" w:sz="0" w:space="0" w:color="auto"/>
          </w:divBdr>
        </w:div>
        <w:div w:id="763309097">
          <w:marLeft w:val="480"/>
          <w:marRight w:val="0"/>
          <w:marTop w:val="0"/>
          <w:marBottom w:val="0"/>
          <w:divBdr>
            <w:top w:val="none" w:sz="0" w:space="0" w:color="auto"/>
            <w:left w:val="none" w:sz="0" w:space="0" w:color="auto"/>
            <w:bottom w:val="none" w:sz="0" w:space="0" w:color="auto"/>
            <w:right w:val="none" w:sz="0" w:space="0" w:color="auto"/>
          </w:divBdr>
        </w:div>
      </w:divsChild>
    </w:div>
    <w:div w:id="871764337">
      <w:bodyDiv w:val="1"/>
      <w:marLeft w:val="0"/>
      <w:marRight w:val="0"/>
      <w:marTop w:val="0"/>
      <w:marBottom w:val="0"/>
      <w:divBdr>
        <w:top w:val="none" w:sz="0" w:space="0" w:color="auto"/>
        <w:left w:val="none" w:sz="0" w:space="0" w:color="auto"/>
        <w:bottom w:val="none" w:sz="0" w:space="0" w:color="auto"/>
        <w:right w:val="none" w:sz="0" w:space="0" w:color="auto"/>
      </w:divBdr>
      <w:divsChild>
        <w:div w:id="875318460">
          <w:marLeft w:val="480"/>
          <w:marRight w:val="0"/>
          <w:marTop w:val="0"/>
          <w:marBottom w:val="0"/>
          <w:divBdr>
            <w:top w:val="none" w:sz="0" w:space="0" w:color="auto"/>
            <w:left w:val="none" w:sz="0" w:space="0" w:color="auto"/>
            <w:bottom w:val="none" w:sz="0" w:space="0" w:color="auto"/>
            <w:right w:val="none" w:sz="0" w:space="0" w:color="auto"/>
          </w:divBdr>
        </w:div>
        <w:div w:id="1698852633">
          <w:marLeft w:val="480"/>
          <w:marRight w:val="0"/>
          <w:marTop w:val="0"/>
          <w:marBottom w:val="0"/>
          <w:divBdr>
            <w:top w:val="none" w:sz="0" w:space="0" w:color="auto"/>
            <w:left w:val="none" w:sz="0" w:space="0" w:color="auto"/>
            <w:bottom w:val="none" w:sz="0" w:space="0" w:color="auto"/>
            <w:right w:val="none" w:sz="0" w:space="0" w:color="auto"/>
          </w:divBdr>
        </w:div>
        <w:div w:id="926772860">
          <w:marLeft w:val="480"/>
          <w:marRight w:val="0"/>
          <w:marTop w:val="0"/>
          <w:marBottom w:val="0"/>
          <w:divBdr>
            <w:top w:val="none" w:sz="0" w:space="0" w:color="auto"/>
            <w:left w:val="none" w:sz="0" w:space="0" w:color="auto"/>
            <w:bottom w:val="none" w:sz="0" w:space="0" w:color="auto"/>
            <w:right w:val="none" w:sz="0" w:space="0" w:color="auto"/>
          </w:divBdr>
        </w:div>
      </w:divsChild>
    </w:div>
    <w:div w:id="947473101">
      <w:bodyDiv w:val="1"/>
      <w:marLeft w:val="0"/>
      <w:marRight w:val="0"/>
      <w:marTop w:val="0"/>
      <w:marBottom w:val="0"/>
      <w:divBdr>
        <w:top w:val="none" w:sz="0" w:space="0" w:color="auto"/>
        <w:left w:val="none" w:sz="0" w:space="0" w:color="auto"/>
        <w:bottom w:val="none" w:sz="0" w:space="0" w:color="auto"/>
        <w:right w:val="none" w:sz="0" w:space="0" w:color="auto"/>
      </w:divBdr>
      <w:divsChild>
        <w:div w:id="1974560053">
          <w:marLeft w:val="480"/>
          <w:marRight w:val="0"/>
          <w:marTop w:val="0"/>
          <w:marBottom w:val="0"/>
          <w:divBdr>
            <w:top w:val="none" w:sz="0" w:space="0" w:color="auto"/>
            <w:left w:val="none" w:sz="0" w:space="0" w:color="auto"/>
            <w:bottom w:val="none" w:sz="0" w:space="0" w:color="auto"/>
            <w:right w:val="none" w:sz="0" w:space="0" w:color="auto"/>
          </w:divBdr>
        </w:div>
        <w:div w:id="1101335114">
          <w:marLeft w:val="480"/>
          <w:marRight w:val="0"/>
          <w:marTop w:val="0"/>
          <w:marBottom w:val="0"/>
          <w:divBdr>
            <w:top w:val="none" w:sz="0" w:space="0" w:color="auto"/>
            <w:left w:val="none" w:sz="0" w:space="0" w:color="auto"/>
            <w:bottom w:val="none" w:sz="0" w:space="0" w:color="auto"/>
            <w:right w:val="none" w:sz="0" w:space="0" w:color="auto"/>
          </w:divBdr>
        </w:div>
        <w:div w:id="1047069733">
          <w:marLeft w:val="480"/>
          <w:marRight w:val="0"/>
          <w:marTop w:val="0"/>
          <w:marBottom w:val="0"/>
          <w:divBdr>
            <w:top w:val="none" w:sz="0" w:space="0" w:color="auto"/>
            <w:left w:val="none" w:sz="0" w:space="0" w:color="auto"/>
            <w:bottom w:val="none" w:sz="0" w:space="0" w:color="auto"/>
            <w:right w:val="none" w:sz="0" w:space="0" w:color="auto"/>
          </w:divBdr>
        </w:div>
        <w:div w:id="22754997">
          <w:marLeft w:val="480"/>
          <w:marRight w:val="0"/>
          <w:marTop w:val="0"/>
          <w:marBottom w:val="0"/>
          <w:divBdr>
            <w:top w:val="none" w:sz="0" w:space="0" w:color="auto"/>
            <w:left w:val="none" w:sz="0" w:space="0" w:color="auto"/>
            <w:bottom w:val="none" w:sz="0" w:space="0" w:color="auto"/>
            <w:right w:val="none" w:sz="0" w:space="0" w:color="auto"/>
          </w:divBdr>
        </w:div>
        <w:div w:id="1587105305">
          <w:marLeft w:val="480"/>
          <w:marRight w:val="0"/>
          <w:marTop w:val="0"/>
          <w:marBottom w:val="0"/>
          <w:divBdr>
            <w:top w:val="none" w:sz="0" w:space="0" w:color="auto"/>
            <w:left w:val="none" w:sz="0" w:space="0" w:color="auto"/>
            <w:bottom w:val="none" w:sz="0" w:space="0" w:color="auto"/>
            <w:right w:val="none" w:sz="0" w:space="0" w:color="auto"/>
          </w:divBdr>
        </w:div>
        <w:div w:id="1026910804">
          <w:marLeft w:val="480"/>
          <w:marRight w:val="0"/>
          <w:marTop w:val="0"/>
          <w:marBottom w:val="0"/>
          <w:divBdr>
            <w:top w:val="none" w:sz="0" w:space="0" w:color="auto"/>
            <w:left w:val="none" w:sz="0" w:space="0" w:color="auto"/>
            <w:bottom w:val="none" w:sz="0" w:space="0" w:color="auto"/>
            <w:right w:val="none" w:sz="0" w:space="0" w:color="auto"/>
          </w:divBdr>
        </w:div>
        <w:div w:id="991250238">
          <w:marLeft w:val="480"/>
          <w:marRight w:val="0"/>
          <w:marTop w:val="0"/>
          <w:marBottom w:val="0"/>
          <w:divBdr>
            <w:top w:val="none" w:sz="0" w:space="0" w:color="auto"/>
            <w:left w:val="none" w:sz="0" w:space="0" w:color="auto"/>
            <w:bottom w:val="none" w:sz="0" w:space="0" w:color="auto"/>
            <w:right w:val="none" w:sz="0" w:space="0" w:color="auto"/>
          </w:divBdr>
        </w:div>
        <w:div w:id="1048408297">
          <w:marLeft w:val="480"/>
          <w:marRight w:val="0"/>
          <w:marTop w:val="0"/>
          <w:marBottom w:val="0"/>
          <w:divBdr>
            <w:top w:val="none" w:sz="0" w:space="0" w:color="auto"/>
            <w:left w:val="none" w:sz="0" w:space="0" w:color="auto"/>
            <w:bottom w:val="none" w:sz="0" w:space="0" w:color="auto"/>
            <w:right w:val="none" w:sz="0" w:space="0" w:color="auto"/>
          </w:divBdr>
        </w:div>
      </w:divsChild>
    </w:div>
    <w:div w:id="1066149735">
      <w:bodyDiv w:val="1"/>
      <w:marLeft w:val="0"/>
      <w:marRight w:val="0"/>
      <w:marTop w:val="0"/>
      <w:marBottom w:val="0"/>
      <w:divBdr>
        <w:top w:val="none" w:sz="0" w:space="0" w:color="auto"/>
        <w:left w:val="none" w:sz="0" w:space="0" w:color="auto"/>
        <w:bottom w:val="none" w:sz="0" w:space="0" w:color="auto"/>
        <w:right w:val="none" w:sz="0" w:space="0" w:color="auto"/>
      </w:divBdr>
      <w:divsChild>
        <w:div w:id="559707300">
          <w:marLeft w:val="480"/>
          <w:marRight w:val="0"/>
          <w:marTop w:val="0"/>
          <w:marBottom w:val="0"/>
          <w:divBdr>
            <w:top w:val="none" w:sz="0" w:space="0" w:color="auto"/>
            <w:left w:val="none" w:sz="0" w:space="0" w:color="auto"/>
            <w:bottom w:val="none" w:sz="0" w:space="0" w:color="auto"/>
            <w:right w:val="none" w:sz="0" w:space="0" w:color="auto"/>
          </w:divBdr>
        </w:div>
        <w:div w:id="1836187900">
          <w:marLeft w:val="480"/>
          <w:marRight w:val="0"/>
          <w:marTop w:val="0"/>
          <w:marBottom w:val="0"/>
          <w:divBdr>
            <w:top w:val="none" w:sz="0" w:space="0" w:color="auto"/>
            <w:left w:val="none" w:sz="0" w:space="0" w:color="auto"/>
            <w:bottom w:val="none" w:sz="0" w:space="0" w:color="auto"/>
            <w:right w:val="none" w:sz="0" w:space="0" w:color="auto"/>
          </w:divBdr>
        </w:div>
        <w:div w:id="1125468356">
          <w:marLeft w:val="480"/>
          <w:marRight w:val="0"/>
          <w:marTop w:val="0"/>
          <w:marBottom w:val="0"/>
          <w:divBdr>
            <w:top w:val="none" w:sz="0" w:space="0" w:color="auto"/>
            <w:left w:val="none" w:sz="0" w:space="0" w:color="auto"/>
            <w:bottom w:val="none" w:sz="0" w:space="0" w:color="auto"/>
            <w:right w:val="none" w:sz="0" w:space="0" w:color="auto"/>
          </w:divBdr>
        </w:div>
        <w:div w:id="455946690">
          <w:marLeft w:val="480"/>
          <w:marRight w:val="0"/>
          <w:marTop w:val="0"/>
          <w:marBottom w:val="0"/>
          <w:divBdr>
            <w:top w:val="none" w:sz="0" w:space="0" w:color="auto"/>
            <w:left w:val="none" w:sz="0" w:space="0" w:color="auto"/>
            <w:bottom w:val="none" w:sz="0" w:space="0" w:color="auto"/>
            <w:right w:val="none" w:sz="0" w:space="0" w:color="auto"/>
          </w:divBdr>
        </w:div>
        <w:div w:id="1939948366">
          <w:marLeft w:val="480"/>
          <w:marRight w:val="0"/>
          <w:marTop w:val="0"/>
          <w:marBottom w:val="0"/>
          <w:divBdr>
            <w:top w:val="none" w:sz="0" w:space="0" w:color="auto"/>
            <w:left w:val="none" w:sz="0" w:space="0" w:color="auto"/>
            <w:bottom w:val="none" w:sz="0" w:space="0" w:color="auto"/>
            <w:right w:val="none" w:sz="0" w:space="0" w:color="auto"/>
          </w:divBdr>
        </w:div>
        <w:div w:id="372048871">
          <w:marLeft w:val="480"/>
          <w:marRight w:val="0"/>
          <w:marTop w:val="0"/>
          <w:marBottom w:val="0"/>
          <w:divBdr>
            <w:top w:val="none" w:sz="0" w:space="0" w:color="auto"/>
            <w:left w:val="none" w:sz="0" w:space="0" w:color="auto"/>
            <w:bottom w:val="none" w:sz="0" w:space="0" w:color="auto"/>
            <w:right w:val="none" w:sz="0" w:space="0" w:color="auto"/>
          </w:divBdr>
        </w:div>
      </w:divsChild>
    </w:div>
    <w:div w:id="1181508912">
      <w:bodyDiv w:val="1"/>
      <w:marLeft w:val="0"/>
      <w:marRight w:val="0"/>
      <w:marTop w:val="0"/>
      <w:marBottom w:val="0"/>
      <w:divBdr>
        <w:top w:val="none" w:sz="0" w:space="0" w:color="auto"/>
        <w:left w:val="none" w:sz="0" w:space="0" w:color="auto"/>
        <w:bottom w:val="none" w:sz="0" w:space="0" w:color="auto"/>
        <w:right w:val="none" w:sz="0" w:space="0" w:color="auto"/>
      </w:divBdr>
    </w:div>
    <w:div w:id="1574581732">
      <w:bodyDiv w:val="1"/>
      <w:marLeft w:val="0"/>
      <w:marRight w:val="0"/>
      <w:marTop w:val="0"/>
      <w:marBottom w:val="0"/>
      <w:divBdr>
        <w:top w:val="none" w:sz="0" w:space="0" w:color="auto"/>
        <w:left w:val="none" w:sz="0" w:space="0" w:color="auto"/>
        <w:bottom w:val="none" w:sz="0" w:space="0" w:color="auto"/>
        <w:right w:val="none" w:sz="0" w:space="0" w:color="auto"/>
      </w:divBdr>
      <w:divsChild>
        <w:div w:id="266666402">
          <w:marLeft w:val="480"/>
          <w:marRight w:val="0"/>
          <w:marTop w:val="0"/>
          <w:marBottom w:val="0"/>
          <w:divBdr>
            <w:top w:val="none" w:sz="0" w:space="0" w:color="auto"/>
            <w:left w:val="none" w:sz="0" w:space="0" w:color="auto"/>
            <w:bottom w:val="none" w:sz="0" w:space="0" w:color="auto"/>
            <w:right w:val="none" w:sz="0" w:space="0" w:color="auto"/>
          </w:divBdr>
        </w:div>
        <w:div w:id="482819876">
          <w:marLeft w:val="480"/>
          <w:marRight w:val="0"/>
          <w:marTop w:val="0"/>
          <w:marBottom w:val="0"/>
          <w:divBdr>
            <w:top w:val="none" w:sz="0" w:space="0" w:color="auto"/>
            <w:left w:val="none" w:sz="0" w:space="0" w:color="auto"/>
            <w:bottom w:val="none" w:sz="0" w:space="0" w:color="auto"/>
            <w:right w:val="none" w:sz="0" w:space="0" w:color="auto"/>
          </w:divBdr>
        </w:div>
        <w:div w:id="1876966640">
          <w:marLeft w:val="480"/>
          <w:marRight w:val="0"/>
          <w:marTop w:val="0"/>
          <w:marBottom w:val="0"/>
          <w:divBdr>
            <w:top w:val="none" w:sz="0" w:space="0" w:color="auto"/>
            <w:left w:val="none" w:sz="0" w:space="0" w:color="auto"/>
            <w:bottom w:val="none" w:sz="0" w:space="0" w:color="auto"/>
            <w:right w:val="none" w:sz="0" w:space="0" w:color="auto"/>
          </w:divBdr>
        </w:div>
        <w:div w:id="1651858497">
          <w:marLeft w:val="480"/>
          <w:marRight w:val="0"/>
          <w:marTop w:val="0"/>
          <w:marBottom w:val="0"/>
          <w:divBdr>
            <w:top w:val="none" w:sz="0" w:space="0" w:color="auto"/>
            <w:left w:val="none" w:sz="0" w:space="0" w:color="auto"/>
            <w:bottom w:val="none" w:sz="0" w:space="0" w:color="auto"/>
            <w:right w:val="none" w:sz="0" w:space="0" w:color="auto"/>
          </w:divBdr>
        </w:div>
      </w:divsChild>
    </w:div>
    <w:div w:id="1929919015">
      <w:bodyDiv w:val="1"/>
      <w:marLeft w:val="0"/>
      <w:marRight w:val="0"/>
      <w:marTop w:val="0"/>
      <w:marBottom w:val="0"/>
      <w:divBdr>
        <w:top w:val="none" w:sz="0" w:space="0" w:color="auto"/>
        <w:left w:val="none" w:sz="0" w:space="0" w:color="auto"/>
        <w:bottom w:val="none" w:sz="0" w:space="0" w:color="auto"/>
        <w:right w:val="none" w:sz="0" w:space="0" w:color="auto"/>
      </w:divBdr>
      <w:divsChild>
        <w:div w:id="3685867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29397E-57F7-4F0F-9B55-D6C300D3A502}"/>
      </w:docPartPr>
      <w:docPartBody>
        <w:p w:rsidR="00000000" w:rsidRDefault="0058097E">
          <w:r w:rsidRPr="001D71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E"/>
    <w:rsid w:val="0058097E"/>
    <w:rsid w:val="00D91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097E"/>
    <w:rPr>
      <w:color w:val="808080"/>
    </w:rPr>
  </w:style>
  <w:style w:type="paragraph" w:customStyle="1" w:styleId="241259B48E284AB1B5A794CDBE8DFCA9">
    <w:name w:val="241259B48E284AB1B5A794CDBE8DFCA9"/>
    <w:rsid w:val="0058097E"/>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F85FC-4810-4F61-A6CE-4F574015DC8E}">
  <we:reference id="wa104382081" version="1.35.0.0" store="en-US" storeType="OMEX"/>
  <we:alternateReferences>
    <we:reference id="WA104382081" version="1.35.0.0" store="" storeType="OMEX"/>
  </we:alternateReferences>
  <we:properties>
    <we:property name="MENDELEY_CITATIONS" value="[{&quot;citationID&quot;:&quot;MENDELEY_CITATION_3e39d287-b296-44de-aa05-c09a65076080&quot;,&quot;citationItems&quot;:[{&quot;id&quot;:&quot;2d61faf6-8baf-3299-b0e3-e718a34a1050&quot;,&quot;itemData&quot;:{&quot;type&quot;:&quot;article-journal&quot;,&quot;id&quot;:&quot;2d61faf6-8baf-3299-b0e3-e718a34a1050&quot;,&quot;title&quot;:&quot;Fertile LAND: Pricing non-fungible tokens&quot;,&quot;author&quot;:[{&quot;family&quot;:&quot;Dowling&quot;,&quot;given&quot;:&quot;Michael&quot;,&quot;parse-names&quot;:false,&quot;dropping-particle&quot;:&quot;&quot;,&quot;non-dropping-particle&quot;:&quot;&quot;}],&quot;container-title&quot;:&quot;Finance Research Letters&quot;,&quot;DOI&quot;:&quot;10.1016/j.frl.2021.102096&quot;,&quot;ISSN&quot;:&quot;15446123&quot;,&quot;issued&quot;:{&quot;date-parts&quot;:[[2021]]},&quot;abstract&quot;:&quot;The current popularity of non-fungible token (NFT) markets is one of the most notable public successes of blockchain technology. NFTs are blockchain-traded rights to any digital asset; including images, videos, music, even the parts of virtual worlds. As a first study of NFT pricing, we explore the pricing of parcels of virtual real estate in the largest blockchain virtual world, Decentraland; an NFT simply termed LAND. We show a LAND price series characterised by both inefficiency and a steady rise in value.&quot;},&quot;isTemporary&quot;:false}],&quot;properties&quot;:{&quot;noteIndex&quot;:0},&quot;isEdited&quot;:false,&quot;manualOverride&quot;:{&quot;isManuallyOverridden&quot;:false,&quot;citeprocText&quot;:&quot;(Dowling, 2021)&quot;,&quot;manualOverrideText&quot;:&quot;&quot;},&quot;citationTag&quot;:&quot;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quot;},{&quot;citationID&quot;:&quot;MENDELEY_CITATION_2e2aea2f-35a6-45a0-a3bb-c57c33743540&quot;,&quot;citationItems&quot;:[{&quot;id&quot;:&quot;93113431-02ee-36a6-b6d3-a9a3b9c59d5e&quot;,&quot;itemData&quot;:{&quot;type&quot;:&quot;article-journal&quot;,&quot;id&quot;:&quot;93113431-02ee-36a6-b6d3-a9a3b9c59d5e&quot;,&quot;title&quot;:&quot;Bitcoin: A Peer-to-Peer Electronic Cash System&quot;,&quot;author&quot;:[{&quot;family&quot;:&quot;Nakamoto&quot;,&quot;given&quot;:&quot;Satoshi&quot;,&quot;parse-names&quot;:false,&quot;dropping-particle&quot;:&quot;&quot;,&quot;non-dropping-particle&quot;:&quot;&quot;}],&quot;issued&quot;:{&quot;date-parts&quot;:[[2008]]},&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isTemporary&quot;:false}],&quot;properties&quot;:{&quot;noteIndex&quot;:0},&quot;isEdited&quot;:false,&quot;manualOverride&quot;:{&quot;isManuallyOverridden&quot;:false,&quot;citeprocText&quot;:&quot;(Nakamoto, 2008)&quot;,&quot;manualOverrideText&quot;:&quot;&quot;},&quot;citationTag&quot;:&quot;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quot;},{&quot;citationID&quot;:&quot;MENDELEY_CITATION_5adf8aad-73ec-4d9a-8c35-d660b769d101&quot;,&quot;citationItems&quot;:[{&quot;id&quot;:&quot;946c6ec8-4e8e-3eec-bd82-b1d589142e82&quot;,&quot;itemData&quot;:{&quot;type&quot;:&quot;article-journal&quot;,&quot;id&quot;:&quot;946c6ec8-4e8e-3eec-bd82-b1d589142e82&quot;,&quot;title&quot;:&quot;Energy consumption of cryptocurrency mining: A study of electricity consumption in mining cryptocurrencies&quot;,&quot;author&quot;:[{&quot;family&quot;:&quot;Li&quot;,&quot;given&quot;:&quot;Jingming&quot;,&quot;parse-names&quot;:false,&quot;dropping-particle&quot;:&quot;&quot;,&quot;non-dropping-particle&quot;:&quot;&quot;},{&quot;family&quot;:&quot;Li&quot;,&quot;given&quot;:&quot;Nianping&quot;,&quot;parse-names&quot;:false,&quot;dropping-particle&quot;:&quot;&quot;,&quot;non-dropping-particle&quot;:&quot;&quot;},{&quot;family&quot;:&quot;Peng&quot;,&quot;given&quot;:&quot;Jinqing&quot;,&quot;parse-names&quot;:false,&quot;dropping-particle&quot;:&quot;&quot;,&quot;non-dropping-particle&quot;:&quot;&quot;},{&quot;family&quot;:&quot;Cui&quot;,&quot;given&quot;:&quot;Haijiao&quot;,&quot;parse-names&quot;:false,&quot;dropping-particle&quot;:&quot;&quot;,&quot;non-dropping-particle&quot;:&quot;&quot;},{&quot;family&quot;:&quot;Wu&quot;,&quot;given&quot;:&quot;Zhibin&quot;,&quot;parse-names&quot;:false,&quot;dropping-particle&quot;:&quot;&quot;,&quot;non-dropping-particle&quot;:&quot;&quot;}],&quot;container-title&quot;:&quot;Energy&quot;,&quot;DOI&quot;:&quot;10.1016/j.energy.2018.11.046&quot;,&quot;ISSN&quot;:&quot;03605442&quot;,&quot;issued&quot;:{&quot;date-parts&quot;:[[2019]]},&quot;abstract&quot;:&quot;Cryptocurrency is a relatively new combination of cryptology and currency in financial areas and is increasingly frequently used worldwide. Blockchain applications are expected to reshape the renewable energy market. However, there is a lack of studies covering the power usage of digital currencies. Therefore, this study ran experiments on mining efficiency of nine kinds of cryptocurrencies and ten algorithms. A comparison of statistical analysis of data in a benchmark and experiment results of Monero mining was conducted. Thereafter, this study provided an estimation of global electricity consumption of the Monero mining activity. The results indicated that the hashing algorithm mainly determines the mining efficiency. Data analysis and experiments and estimated Monero mining electricity consumption in the world and its carbon emission in China as a case study. In 2018, Monero mining may consume 645.62 GWh of electricity in the world after its hard fork. The Monero mining in China may consume 30.34 GWh and contribute a carbon emission of 19.12–19.42 thousand tons from April to December in 2018. Although cryptocurrency mining and blockchain technology are promising, their influence on energy conversation and sustainable development should be further studied.&quot;,&quot;volume&quot;:&quot;168&quot;},&quot;isTemporary&quot;:false}],&quot;properties&quot;:{&quot;noteIndex&quot;:0},&quot;isEdited&quot;:false,&quot;manualOverride&quot;:{&quot;isManuallyOverridden&quot;:false,&quot;citeprocText&quot;:&quot;(Li et al., 2019)&quot;,&quot;manualOverrideText&quot;:&quot;&quot;},&quot;citationTag&quot;:&quot;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quot;},{&quot;citationID&quot;:&quot;MENDELEY_CITATION_840cc5f1-9ed9-4fa7-b0a8-e931ef152c57&quot;,&quot;citationItems&quot;:[{&quot;id&quot;:&quot;31a29fb3-744a-3077-8249-ab7993cc3783&quot;,&quot;itemData&quot;:{&quot;type&quot;:&quot;article-journal&quot;,&quot;id&quot;:&quot;31a29fb3-744a-3077-8249-ab7993cc3783&quot;,&quot;title&quot;:&quot;Proof-of-Stake Consensus Mechanisms for Future Blockchain Networks: Fundamentals, Applications and Opportunities&quot;,&quot;author&quot;:[{&quot;family&quot;:&quot;Nguyen&quot;,&quot;given&quot;:&quot;Cong T.&quot;,&quot;parse-names&quot;:false,&quot;dropping-particle&quot;:&quot;&quot;,&quot;non-dropping-particle&quot;:&quot;&quot;},{&quot;family&quot;:&quot;Hoang&quot;,&quot;given&quot;:&quot;Dinh Thai&quot;,&quot;parse-names&quot;:false,&quot;dropping-particle&quot;:&quot;&quot;,&quot;non-dropping-particle&quot;:&quot;&quot;},{&quot;family&quot;:&quot;Nguyen&quot;,&quot;given&quot;:&quot;Diep N.&quot;,&quot;parse-names&quot;:false,&quot;dropping-particle&quot;:&quot;&quot;,&quot;non-dropping-particle&quot;:&quot;&quot;},{&quot;family&quot;:&quot;Niyato&quot;,&quot;given&quot;:&quot;Dusit&quot;,&quot;parse-names&quot;:false,&quot;dropping-particle&quot;:&quot;&quot;,&quot;non-dropping-particle&quot;:&quot;&quot;},{&quot;family&quot;:&quot;Nguyen&quot;,&quot;given&quot;:&quot;Huynh Tuong&quot;,&quot;parse-names&quot;:false,&quot;dropping-particle&quot;:&quot;&quot;,&quot;non-dropping-particle&quot;:&quot;&quot;},{&quot;family&quot;:&quot;Dutkiewicz&quot;,&quot;given&quot;:&quot;Eryk&quot;,&quot;parse-names&quot;:false,&quot;dropping-particle&quot;:&quot;&quot;,&quot;non-dropping-particle&quot;:&quot;&quot;}],&quot;container-title&quot;:&quot;IEEE Access&quot;,&quot;DOI&quot;:&quot;10.1109/ACCESS.2019.2925010&quot;,&quot;ISSN&quot;:&quot;21693536&quot;,&quot;issued&quot;:{&quot;date-parts&quot;:[[2019]]},&quot;abstract&quot;:&quot;The rapid development of blockchain technology and their numerous emerging applications has received huge attention in recent years. The distributed consensus mechanism is the backbone of a blockchain network. It plays a key role in ensuring the network's security, integrity, and performance. Most current blockchain networks have been deploying the proof-of-work consensus mechanisms, in which the consensus is reached through intensive mining processes. However, this mechanism has several limitations, e.g., energy inefficiency, delay, and vulnerable to security threats. To overcome these problems, a new consensus mechanism has been developed recently, namely proof of stake, which enables to achieve the consensus via proving the stake ownership. This mechanism is expected to become a cutting-edge technology for future blockchain networks. This paper is dedicated to investigating proof-of-stake mechanisms, from fundamental knowledge to advanced proof-of-stake-based protocols along with performance analysis, e.g., energy consumption, delay, and security, as well as their promising applications, particularly in the field of Internet of Vehicles. The formation of stake pools and their effects on the network stake distribution are also analyzed and simulated. The results show that the ratio between the block reward and the total network stake has a significant impact on the decentralization of the network. Technical challenges and potential solutions are also discussed.&quot;,&quot;volume&quot;:&quot;7&quot;},&quot;isTemporary&quot;:false}],&quot;properties&quot;:{&quot;noteIndex&quot;:0},&quot;isEdited&quot;:false,&quot;manualOverride&quot;:{&quot;isManuallyOverridden&quot;:false,&quot;citeprocText&quot;:&quot;(Nguyen et al., 2019)&quot;,&quot;manualOverrideText&quot;:&quot;&quot;},&quot;citationTag&quot;:&quot;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quot;},{&quot;citationID&quot;:&quot;MENDELEY_CITATION_38133759-5c15-4840-9b97-1f4d11f510ca&quot;,&quot;citationItems&quot;:[{&quot;id&quot;:&quot;20a6418b-339f-36e6-b1ba-c8d127776bc0&quot;,&quot;itemData&quot;:{&quot;type&quot;:&quot;article-journal&quot;,&quot;id&quot;:&quot;20a6418b-339f-36e6-b1ba-c8d127776bc0&quot;,&quot;title&quot;:&quot;A next-generation smart contract and decentralized application platform&quot;,&quot;author&quot;:[{&quot;family&quot;:&quot;Buterin&quot;,&quot;given&quot;:&quot;Vitalik&quot;,&quot;parse-names&quot;:false,&quot;dropping-particle&quot;:&quot;&quot;,&quot;non-dropping-particle&quot;:&quot;&quot;}],&quot;container-title&quot;:&quot;Etherum&quot;,&quot;issued&quot;:{&quot;date-parts&quot;:[[2014]]},&quot;abstract&quot;:&quot;Satoshi Nakamoto's development of Bitcoin in 2009 has often been hailed as a radical development in money and currency, being the first example of a digital asset which simultaneously has no backing or \&quot;intrinsic value\&quot; and no centralized issuer or controller. However, another, arguably more important,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quot;colored coins\&quot;), the ownership of an underlying physical device (\&quot;smart property\&quot;), non-fungible assets such as domain names (\&quot;Namecoin\&quot;), as well as more complex applications involving having digital assets being directly controlled by a piece of code implementing arbitrary rules (\&quot;smart contracts\&quot;) or even blockchain-based \&quot;decentralized autonomous organizations\&quot; (DAOs). What Ethereum intends to provide is a blockchain with a built-in fully fledged Turing-complete programming language that can be used to create \&quot;contracts\&quot; that can be used to encode arbitrary state transition functions, allowing users to create any of the systems described above, as well as many others that we have not yet imagined, simply by writing up the logic in a few lines of code.&quot;,&quot;issue&quot;:&quot;January&quot;},&quot;isTemporary&quot;:false}],&quot;properties&quot;:{&quot;noteIndex&quot;:0},&quot;isEdited&quot;:false,&quot;manualOverride&quot;:{&quot;isManuallyOverridden&quot;:false,&quot;citeprocText&quot;:&quot;(Buterin, 2014)&quot;,&quot;manualOverrideText&quot;:&quot;&quot;},&quot;citationTag&quot;:&quot;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quot;},{&quot;citationID&quot;:&quot;MENDELEY_CITATION_d23aca88-fc21-4e85-9b9d-fcd0730fe01e&quot;,&quot;citationItems&quot;:[{&quot;id&quot;:&quot;3ab4f141-751b-3191-844b-2599efc7102a&quot;,&quot;itemData&quot;:{&quot;type&quot;:&quot;report&quot;,&quot;id&quot;:&quot;3ab4f141-751b-3191-844b-2599efc7102a&quot;,&quot;title&quot;:&quot;Avalanche Platform Whitepaper&quot;,&quot;author&quot;:[{&quot;family&quot;:&quot;Sekniqi&quot;,&quot;given&quot;:&quot;Kevin&quot;,&quot;parse-names&quot;:false,&quot;dropping-particle&quot;:&quot;&quot;,&quot;non-dropping-particle&quot;:&quot;&quot;},{&quot;family&quot;:&quot;Laine&quot;,&quot;given&quot;:&quot;Daniel&quot;,&quot;parse-names&quot;:false,&quot;dropping-particle&quot;:&quot;&quot;,&quot;non-dropping-particle&quot;:&quot;&quot;},{&quot;family&quot;:&quot;Buttolph&quot;,&quot;given&quot;:&quot;Stephen&quot;,&quot;parse-names&quot;:false,&quot;dropping-particle&quot;:&quot;&quot;,&quot;non-dropping-particle&quot;:&quot;&quot;},{&quot;family&quot;:&quot;Sirer&quot;,&quot;given&quot;:&quot;Emin Gün&quot;,&quot;parse-names&quot;:false,&quot;dropping-particle&quot;:&quot;&quot;,&quot;non-dropping-particle&quot;:&quot;&quot;}],&quot;accessed&quot;:{&quot;date-parts&quot;:[[2021,10,20]]},&quot;URL&quot;:&quot;https://assets.website-files.com/5d80307810123f5ffbb34d6e/6008d7bbf8b10d1eb01e7e16_Avalanche%20Platform%20Whitepaper.pdf&quot;,&quot;issued&quot;:{&quot;date-parts&quot;:[[2020]]}},&quot;isTemporary&quot;:false}],&quot;properties&quot;:{&quot;noteIndex&quot;:0},&quot;isEdited&quot;:false,&quot;manualOverride&quot;:{&quot;isManuallyOverridden&quot;:false,&quot;citeprocText&quot;:&quot;(Sekniqi et al., 2020)&quot;,&quot;manualOverrideText&quot;:&quot;&quot;},&quot;citationTag&quot;:&quot;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quot;},{&quot;citationID&quot;:&quot;MENDELEY_CITATION_65cdfadc-1efe-489f-9906-3dc216de265b&quot;,&quot;citationItems&quot;:[{&quot;id&quot;:&quot;656cca3a-920f-3089-9846-d31e514e994d&quot;,&quot;itemData&quot;:{&quot;type&quot;:&quot;article-journal&quot;,&quot;id&quot;:&quot;656cca3a-920f-3089-9846-d31e514e994d&quot;,&quot;title&quot;:&quot;Scalable and Probabilistic Leaderless BFT Consensus through Metastability&quot;,&quot;author&quot;:[{&quot;family&quot;:&quot;Rocket&quot;,&quot;given&quot;:&quot;Team&quot;,&quot;parse-names&quot;:false,&quot;dropping-particle&quot;:&quot;&quot;,&quot;non-dropping-particle&quot;:&quot;&quot;},{&quot;family&quot;:&quot;Yin&quot;,&quot;given&quot;:&quot;Maofan&quot;,&quot;parse-names&quot;:false,&quot;dropping-particle&quot;:&quot;&quot;,&quot;non-dropping-particle&quot;:&quot;&quot;},{&quot;family&quot;:&quot;Sekniqi&quot;,&quot;given&quot;:&quot;Kevin&quot;,&quot;parse-names&quot;:false,&quot;dropping-particle&quot;:&quot;&quot;,&quot;non-dropping-particle&quot;:&quot;&quot;},{&quot;family&quot;:&quot;Renesse&quot;,&quot;given&quot;:&quot;Robbert&quot;,&quot;parse-names&quot;:false,&quot;dropping-particle&quot;:&quot;&quot;,&quot;non-dropping-particle&quot;:&quot;van&quot;},{&quot;family&quot;:&quot;Sirer&quot;,&quot;given&quot;:&quot;Emin Gün&quot;,&quot;parse-names&quot;:false,&quot;dropping-particle&quot;:&quot;&quot;,&quot;non-dropping-particle&quot;:&quot;&quot;}],&quot;URL&quot;:&quot;http://arxiv.org/abs/1906.08936&quot;,&quot;issued&quot;:{&quot;date-parts&quot;:[[2019,6,20]]},&quot;abstract&quot;:&quot;This paper introduces a family of leaderless Byzantine fault tolerance protocols, built around a metastable mechanism via network subsampling. These protocols provide a strong probabilistic safety guarantee in the presence of Byzantine adversaries while their concurrent and leaderless nature enables them to achieve high throughput and scalability. Unlike blockchains that rely on proof-of-work, they are quiescent and green. Unlike traditional consensus protocols where one or more nodes typically process linear bits in the number of total nodes per decision, no node processes more than logarithmic bits. It does not require accurate knowledge of all participants and exposes new possible tradeoffs and improvements in safety and liveness for building consensus protocols. The paper describes the Snow protocol family, analyzes its guarantees, and describes how it can be used to construct the core of an internet-scale electronic payment system called Avalanche, which is evaluated in a large scale deployment. Experiments demonstrate that the system can achieve high throughput (3400 tps), provide low confirmation latency (1.35 sec), and scale well compared to existing systems that deliver similar functionality. For our implementation and setup, the bottleneck of the system is in transaction verification.&quot;},&quot;isTemporary&quot;:false}],&quot;properties&quot;:{&quot;noteIndex&quot;:0},&quot;isEdited&quot;:false,&quot;manualOverride&quot;:{&quot;isManuallyOverridden&quot;:false,&quot;citeprocText&quot;:&quot;(Rocket et al., 2019)&quot;,&quot;manualOverrideText&quot;:&quot;&quot;},&quot;citationTag&quot;:&quot;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quot;},{&quot;citationID&quot;:&quot;MENDELEY_CITATION_ff2f0cde-164b-4ff4-814d-572c7b52252b&quot;,&quot;citationItems&quot;:[{&quot;id&quot;:&quot;888c7428-b94a-336d-9a5c-ede4b34d0264&quot;,&quot;itemData&quot;:{&quot;type&quot;:&quot;article-journal&quot;,&quot;id&quot;:&quot;888c7428-b94a-336d-9a5c-ede4b34d0264&quot;,&quot;title&quot;:&quot;Consumer attitudes towards Internet gambling: Perceptions of responsible gambling policies, consumer protection, and regulation of online gambling sites&quot;,&quot;author&quot;:[{&quot;family&quot;:&quot;Gainsbury&quot;,&quot;given&quot;:&quot;Sally&quot;,&quot;parse-names&quot;:false,&quot;dropping-particle&quot;:&quot;&quot;,&quot;non-dropping-particle&quot;:&quot;&quot;},{&quot;family&quot;:&quot;Parke&quot;,&quot;given&quot;:&quot;Jonathan&quot;,&quot;parse-names&quot;:false,&quot;dropping-particle&quot;:&quot;&quot;,&quot;non-dropping-particle&quot;:&quot;&quot;},{&quot;family&quot;:&quot;Suhonen&quot;,&quot;given&quot;:&quot;Niko&quot;,&quot;parse-names&quot;:false,&quot;dropping-particle&quot;:&quot;&quot;,&quot;non-dropping-particle&quot;:&quot;&quot;}],&quot;container-title&quot;:&quot;Computers in Human Behavior&quot;,&quot;DOI&quot;:&quot;10.1016/j.chb.2012.08.010&quot;,&quot;ISSN&quot;:&quot;07475632&quot;,&quot;issued&quot;:{&quot;date-parts&quot;:[[2013]]},&quot;abstract&quot;:&quot;There is an insufficient understanding of consumer attitudes towards Internet gambling, which contributes to difficulties in developing policies to encourage the use of regulated online gambling sites. This research aimed to generate knowledge about consumer attitudes towards online gambling, specifically concerning the issues of player protection, regulation, and responsible gambling. An online survey was completed by 10,838 online casino and poker players from 96 countries. Responsible gambling features were generally viewed positively, particularly by casino game players, those who chased losses, and younger adults. Over one-third of participants reported having experienced a dispute with an online gambling operator. Respondents reported high levels of mistrust and concerns regarding online gambling and confusion regarding the appropriate regulation of Internet gambling. Consumer attitudes play a significant role in driving behavior and must be considered if regulators and operators are to effectively encourage online gamblers to use regulated gambling sites that include consumer protection and harm minimization measures. The results suggest that responsible gambling features, such as the ability to set spending limits, should be implemented on Internet gambling sites to increase consumer trust and favorable attitudes towards online gambling operators, and reduce disputes associated with excessive gambling. © 2012 Elsevier Ltd. All rights reserved.&quot;,&quot;issue&quot;:&quot;1&quot;,&quot;volume&quot;:&quot;29&quot;},&quot;isTemporary&quot;:false}],&quot;properties&quot;:{&quot;noteIndex&quot;:0},&quot;isEdited&quot;:false,&quot;manualOverride&quot;:{&quot;isManuallyOverridden&quot;:true,&quot;citeprocText&quot;:&quot;(Gainsbury et al., 2013)&quot;,&quot;manualOverrideText&quot;:&quot;(Gainsbury et al., 2013, p. 241)&quot;},&quot;citationTag&quot;:&quot;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Hodson</cp:lastModifiedBy>
  <cp:revision>58</cp:revision>
  <dcterms:created xsi:type="dcterms:W3CDTF">2021-10-20T17:07:00Z</dcterms:created>
  <dcterms:modified xsi:type="dcterms:W3CDTF">2021-10-20T20:35:00Z</dcterms:modified>
</cp:coreProperties>
</file>