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EA05" w14:textId="77777777" w:rsidR="00FC207D" w:rsidRDefault="00FC207D"/>
    <w:p w14:paraId="3F2DAAF1" w14:textId="77777777" w:rsidR="00FC207D" w:rsidRDefault="00FC207D"/>
    <w:p w14:paraId="5603B365" w14:textId="77777777" w:rsidR="00FC207D" w:rsidRDefault="00FC207D"/>
    <w:p w14:paraId="67060D58" w14:textId="77777777" w:rsidR="00FC207D" w:rsidRDefault="00457720">
      <w:pPr>
        <w:jc w:val="center"/>
      </w:pPr>
      <w:r>
        <w:rPr>
          <w:b/>
          <w:color w:val="C2410C"/>
          <w:sz w:val="26"/>
        </w:rPr>
        <w:t>CHILLI INTELLIGENCE DESKTOP</w:t>
      </w:r>
    </w:p>
    <w:p w14:paraId="6E3AD922" w14:textId="77777777" w:rsidR="00FC207D" w:rsidRDefault="00457720">
      <w:pPr>
        <w:jc w:val="center"/>
      </w:pPr>
      <w:r>
        <w:rPr>
          <w:b/>
          <w:sz w:val="60"/>
        </w:rPr>
        <w:t>Dashboard Interpretation Guide</w:t>
      </w:r>
    </w:p>
    <w:p w14:paraId="62A8EA55" w14:textId="77777777" w:rsidR="00FC207D" w:rsidRDefault="00457720">
      <w:pPr>
        <w:jc w:val="center"/>
      </w:pPr>
      <w:r>
        <w:rPr>
          <w:color w:val="5C6B7A"/>
          <w:sz w:val="24"/>
        </w:rPr>
        <w:t>A plain-English explanation of every page, every chart and every table — what it shows, how to read it, what the data says today, and what to do about it.</w:t>
      </w:r>
    </w:p>
    <w:p w14:paraId="053297D3" w14:textId="77777777" w:rsidR="00FC207D" w:rsidRDefault="00FC207D"/>
    <w:p w14:paraId="00F71E12" w14:textId="77777777" w:rsidR="00FC207D" w:rsidRDefault="00FC207D"/>
    <w:tbl>
      <w:tblPr>
        <w:tblStyle w:val="TableGrid"/>
        <w:tblW w:w="0" w:type="auto"/>
        <w:jc w:val="center"/>
        <w:tblLayout w:type="fixed"/>
        <w:tblLook w:val="04A0" w:firstRow="1" w:lastRow="0" w:firstColumn="1" w:lastColumn="0" w:noHBand="0" w:noVBand="1"/>
      </w:tblPr>
      <w:tblGrid>
        <w:gridCol w:w="2608"/>
        <w:gridCol w:w="6803"/>
      </w:tblGrid>
      <w:tr w:rsidR="00FC207D" w14:paraId="1D8AF7FE" w14:textId="77777777">
        <w:trPr>
          <w:jc w:val="center"/>
        </w:trPr>
        <w:tc>
          <w:tcPr>
            <w:tcW w:w="2608" w:type="dxa"/>
          </w:tcPr>
          <w:p w14:paraId="234956A8" w14:textId="77777777" w:rsidR="00FC207D" w:rsidRDefault="00457720">
            <w:pPr>
              <w:spacing w:before="20" w:after="20"/>
            </w:pPr>
            <w:r>
              <w:rPr>
                <w:b/>
                <w:sz w:val="20"/>
              </w:rPr>
              <w:t>Source workbook</w:t>
            </w:r>
          </w:p>
        </w:tc>
        <w:tc>
          <w:tcPr>
            <w:tcW w:w="6803" w:type="dxa"/>
          </w:tcPr>
          <w:p w14:paraId="4F8E34C3" w14:textId="77777777" w:rsidR="00FC207D" w:rsidRDefault="00457720">
            <w:pPr>
              <w:spacing w:before="20" w:after="20"/>
            </w:pPr>
            <w:r>
              <w:rPr>
                <w:sz w:val="20"/>
              </w:rPr>
              <w:t>Chilli mastersheet for dashboard.xlsx</w:t>
            </w:r>
          </w:p>
        </w:tc>
      </w:tr>
      <w:tr w:rsidR="00FC207D" w14:paraId="24E0AD92" w14:textId="77777777">
        <w:trPr>
          <w:jc w:val="center"/>
        </w:trPr>
        <w:tc>
          <w:tcPr>
            <w:tcW w:w="2608" w:type="dxa"/>
            <w:shd w:val="clear" w:color="auto" w:fill="EEF1F5"/>
          </w:tcPr>
          <w:p w14:paraId="775890A7" w14:textId="77777777" w:rsidR="00FC207D" w:rsidRDefault="00457720">
            <w:pPr>
              <w:spacing w:before="20" w:after="20"/>
            </w:pPr>
            <w:r>
              <w:rPr>
                <w:b/>
                <w:sz w:val="20"/>
              </w:rPr>
              <w:t>Data covers</w:t>
            </w:r>
          </w:p>
        </w:tc>
        <w:tc>
          <w:tcPr>
            <w:tcW w:w="6803" w:type="dxa"/>
            <w:shd w:val="clear" w:color="auto" w:fill="EEF1F5"/>
          </w:tcPr>
          <w:p w14:paraId="1BB25E84" w14:textId="77777777" w:rsidR="00FC207D" w:rsidRDefault="00457720">
            <w:pPr>
              <w:spacing w:before="20" w:after="20"/>
            </w:pPr>
            <w:r>
              <w:rPr>
                <w:sz w:val="20"/>
              </w:rPr>
              <w:t>1 January 2014 to 20 July 2026 (12.5 years)</w:t>
            </w:r>
          </w:p>
        </w:tc>
      </w:tr>
      <w:tr w:rsidR="00FC207D" w14:paraId="58A31398" w14:textId="77777777">
        <w:trPr>
          <w:jc w:val="center"/>
        </w:trPr>
        <w:tc>
          <w:tcPr>
            <w:tcW w:w="2608" w:type="dxa"/>
          </w:tcPr>
          <w:p w14:paraId="5A6F75AE" w14:textId="77777777" w:rsidR="00FC207D" w:rsidRDefault="00457720">
            <w:pPr>
              <w:spacing w:before="20" w:after="20"/>
            </w:pPr>
            <w:r>
              <w:rPr>
                <w:b/>
                <w:sz w:val="20"/>
              </w:rPr>
              <w:t>Figures in this guide</w:t>
            </w:r>
          </w:p>
        </w:tc>
        <w:tc>
          <w:tcPr>
            <w:tcW w:w="6803" w:type="dxa"/>
          </w:tcPr>
          <w:p w14:paraId="01028488" w14:textId="77777777" w:rsidR="00FC207D" w:rsidRDefault="00457720">
            <w:pPr>
              <w:spacing w:before="20" w:after="20"/>
            </w:pPr>
            <w:r>
              <w:rPr>
                <w:sz w:val="20"/>
              </w:rPr>
              <w:t>Full history, no filters applied</w:t>
            </w:r>
          </w:p>
        </w:tc>
      </w:tr>
      <w:tr w:rsidR="00FC207D" w14:paraId="33EB913A" w14:textId="77777777">
        <w:trPr>
          <w:jc w:val="center"/>
        </w:trPr>
        <w:tc>
          <w:tcPr>
            <w:tcW w:w="2608" w:type="dxa"/>
            <w:shd w:val="clear" w:color="auto" w:fill="EEF1F5"/>
          </w:tcPr>
          <w:p w14:paraId="0333A549" w14:textId="77777777" w:rsidR="00FC207D" w:rsidRDefault="00457720">
            <w:pPr>
              <w:spacing w:before="20" w:after="20"/>
            </w:pPr>
            <w:r>
              <w:rPr>
                <w:b/>
                <w:sz w:val="20"/>
              </w:rPr>
              <w:t>Markets covered</w:t>
            </w:r>
          </w:p>
        </w:tc>
        <w:tc>
          <w:tcPr>
            <w:tcW w:w="6803" w:type="dxa"/>
            <w:shd w:val="clear" w:color="auto" w:fill="EEF1F5"/>
          </w:tcPr>
          <w:p w14:paraId="6F589225" w14:textId="77777777" w:rsidR="00FC207D" w:rsidRDefault="00457720">
            <w:pPr>
              <w:spacing w:before="20" w:after="20"/>
            </w:pPr>
            <w:r>
              <w:rPr>
                <w:sz w:val="20"/>
              </w:rPr>
              <w:t>Guntur, Warangal, Khammam (cold storage and fresh)</w:t>
            </w:r>
          </w:p>
        </w:tc>
      </w:tr>
      <w:tr w:rsidR="00FC207D" w14:paraId="63CFFA55" w14:textId="77777777">
        <w:trPr>
          <w:jc w:val="center"/>
        </w:trPr>
        <w:tc>
          <w:tcPr>
            <w:tcW w:w="2608" w:type="dxa"/>
          </w:tcPr>
          <w:p w14:paraId="6F2F2B52" w14:textId="77777777" w:rsidR="00FC207D" w:rsidRDefault="00457720">
            <w:pPr>
              <w:spacing w:before="20" w:after="20"/>
            </w:pPr>
            <w:r>
              <w:rPr>
                <w:b/>
                <w:sz w:val="20"/>
              </w:rPr>
              <w:t>Varieties covered</w:t>
            </w:r>
          </w:p>
        </w:tc>
        <w:tc>
          <w:tcPr>
            <w:tcW w:w="6803" w:type="dxa"/>
          </w:tcPr>
          <w:p w14:paraId="7F9DCD0A" w14:textId="77777777" w:rsidR="00FC207D" w:rsidRDefault="00457720">
            <w:pPr>
              <w:spacing w:before="20" w:after="20"/>
            </w:pPr>
            <w:r>
              <w:rPr>
                <w:sz w:val="20"/>
              </w:rPr>
              <w:t>Teja, LCA 334, NCDEX Quality, No.273, No.5, Fatki, Byadgi, US 341, Denvor Delux</w:t>
            </w:r>
          </w:p>
        </w:tc>
      </w:tr>
      <w:tr w:rsidR="00FC207D" w14:paraId="1442F5BB" w14:textId="77777777">
        <w:trPr>
          <w:jc w:val="center"/>
        </w:trPr>
        <w:tc>
          <w:tcPr>
            <w:tcW w:w="2608" w:type="dxa"/>
            <w:shd w:val="clear" w:color="auto" w:fill="EEF1F5"/>
          </w:tcPr>
          <w:p w14:paraId="3CC378E7" w14:textId="77777777" w:rsidR="00FC207D" w:rsidRDefault="00457720">
            <w:pPr>
              <w:spacing w:before="20" w:after="20"/>
            </w:pPr>
            <w:r>
              <w:rPr>
                <w:b/>
                <w:sz w:val="20"/>
              </w:rPr>
              <w:t>Purpose of this document</w:t>
            </w:r>
          </w:p>
        </w:tc>
        <w:tc>
          <w:tcPr>
            <w:tcW w:w="6803" w:type="dxa"/>
            <w:shd w:val="clear" w:color="auto" w:fill="EEF1F5"/>
          </w:tcPr>
          <w:p w14:paraId="32021095" w14:textId="77777777" w:rsidR="00FC207D" w:rsidRDefault="00457720">
            <w:pPr>
              <w:spacing w:before="20" w:after="20"/>
            </w:pPr>
            <w:r>
              <w:rPr>
                <w:sz w:val="20"/>
              </w:rPr>
              <w:t>Reference companion to the dashboard. It is not part of the application.</w:t>
            </w:r>
          </w:p>
        </w:tc>
      </w:tr>
    </w:tbl>
    <w:p w14:paraId="67D9B2FD" w14:textId="77777777" w:rsidR="00FC207D" w:rsidRDefault="00FC207D">
      <w:pPr>
        <w:spacing w:after="80"/>
      </w:pPr>
    </w:p>
    <w:p w14:paraId="25B48C9F" w14:textId="77777777" w:rsidR="00FC207D" w:rsidRDefault="00FC207D"/>
    <w:tbl>
      <w:tblPr>
        <w:tblW w:w="0" w:type="auto"/>
        <w:jc w:val="center"/>
        <w:tblLayout w:type="fixed"/>
        <w:tblLook w:val="04A0" w:firstRow="1" w:lastRow="0" w:firstColumn="1" w:lastColumn="0" w:noHBand="0" w:noVBand="1"/>
      </w:tblPr>
      <w:tblGrid>
        <w:gridCol w:w="9411"/>
      </w:tblGrid>
      <w:tr w:rsidR="00FC207D" w14:paraId="4C8273E4" w14:textId="77777777">
        <w:trPr>
          <w:jc w:val="center"/>
        </w:trPr>
        <w:tc>
          <w:tcPr>
            <w:tcW w:w="9411" w:type="dxa"/>
            <w:tcBorders>
              <w:left w:val="single" w:sz="18" w:space="0" w:color="C2410C"/>
            </w:tcBorders>
            <w:shd w:val="clear" w:color="auto" w:fill="FDF1E7"/>
          </w:tcPr>
          <w:p w14:paraId="1A837B24" w14:textId="77777777" w:rsidR="00FC207D" w:rsidRDefault="00457720">
            <w:pPr>
              <w:spacing w:after="40"/>
            </w:pPr>
            <w:r>
              <w:rPr>
                <w:b/>
                <w:color w:val="C2410C"/>
                <w:sz w:val="20"/>
              </w:rPr>
              <w:t>On the figures used here</w:t>
            </w:r>
          </w:p>
          <w:p w14:paraId="4117E394" w14:textId="77777777" w:rsidR="00FC207D" w:rsidRDefault="00457720">
            <w:pPr>
              <w:spacing w:after="0"/>
            </w:pPr>
            <w:r>
              <w:rPr>
                <w:sz w:val="20"/>
              </w:rPr>
              <w:t>Every number in this guide was read from the dashboard running against the workbook above. Nothing has been rounded up, smoothed, or borrowed from any outside source. Where the workbook cannot answer a question, this guide says so plainly instead of filling the gap.</w:t>
            </w:r>
          </w:p>
        </w:tc>
      </w:tr>
    </w:tbl>
    <w:p w14:paraId="43A4C479" w14:textId="77777777" w:rsidR="00FC207D" w:rsidRDefault="00FC207D">
      <w:pPr>
        <w:spacing w:after="80"/>
      </w:pPr>
    </w:p>
    <w:p w14:paraId="23123D36" w14:textId="77777777" w:rsidR="00FC207D" w:rsidRDefault="00457720">
      <w:r>
        <w:br w:type="page"/>
      </w:r>
    </w:p>
    <w:p w14:paraId="0DC2FFA3" w14:textId="77777777" w:rsidR="00FC207D" w:rsidRDefault="00457720">
      <w:pPr>
        <w:pStyle w:val="Heading1"/>
        <w:pBdr>
          <w:bottom w:val="single" w:sz="12" w:space="4" w:color="C2410C"/>
        </w:pBdr>
      </w:pPr>
      <w:bookmarkStart w:id="0" w:name="_Toc236139932"/>
      <w:r>
        <w:lastRenderedPageBreak/>
        <w:t>Contents</w:t>
      </w:r>
      <w:bookmarkEnd w:id="0"/>
    </w:p>
    <w:p w14:paraId="56830279" w14:textId="05A7FF36" w:rsidR="00364457" w:rsidRDefault="00457720">
      <w:pPr>
        <w:pStyle w:val="TOC1"/>
        <w:tabs>
          <w:tab w:val="right" w:leader="dot" w:pos="9402"/>
        </w:tabs>
        <w:rPr>
          <w:noProof/>
        </w:rPr>
      </w:pPr>
      <w:r>
        <w:fldChar w:fldCharType="begin"/>
      </w:r>
      <w:r>
        <w:instrText>TOC \o "1-2" \h \z \u</w:instrText>
      </w:r>
      <w:r>
        <w:fldChar w:fldCharType="separate"/>
      </w:r>
      <w:hyperlink w:anchor="_Toc236139932" w:history="1">
        <w:r w:rsidR="00364457" w:rsidRPr="00E50FA0">
          <w:rPr>
            <w:rStyle w:val="Hyperlink"/>
            <w:noProof/>
          </w:rPr>
          <w:t>Contents</w:t>
        </w:r>
        <w:r w:rsidR="00364457">
          <w:rPr>
            <w:noProof/>
            <w:webHidden/>
          </w:rPr>
          <w:tab/>
        </w:r>
        <w:r w:rsidR="00364457">
          <w:rPr>
            <w:noProof/>
            <w:webHidden/>
          </w:rPr>
          <w:fldChar w:fldCharType="begin"/>
        </w:r>
        <w:r w:rsidR="00364457">
          <w:rPr>
            <w:noProof/>
            <w:webHidden/>
          </w:rPr>
          <w:instrText xml:space="preserve"> PAGEREF _Toc236139932 \h </w:instrText>
        </w:r>
        <w:r w:rsidR="00364457">
          <w:rPr>
            <w:noProof/>
            <w:webHidden/>
          </w:rPr>
        </w:r>
        <w:r w:rsidR="00364457">
          <w:rPr>
            <w:noProof/>
            <w:webHidden/>
          </w:rPr>
          <w:fldChar w:fldCharType="separate"/>
        </w:r>
        <w:r w:rsidR="00364457">
          <w:rPr>
            <w:noProof/>
            <w:webHidden/>
          </w:rPr>
          <w:t>2</w:t>
        </w:r>
        <w:r w:rsidR="00364457">
          <w:rPr>
            <w:noProof/>
            <w:webHidden/>
          </w:rPr>
          <w:fldChar w:fldCharType="end"/>
        </w:r>
      </w:hyperlink>
    </w:p>
    <w:p w14:paraId="7B02B57E" w14:textId="43294687" w:rsidR="00364457" w:rsidRDefault="00364457">
      <w:pPr>
        <w:pStyle w:val="TOC1"/>
        <w:tabs>
          <w:tab w:val="right" w:leader="dot" w:pos="9402"/>
        </w:tabs>
        <w:rPr>
          <w:noProof/>
        </w:rPr>
      </w:pPr>
      <w:hyperlink w:anchor="_Toc236139933" w:history="1">
        <w:r w:rsidRPr="00E50FA0">
          <w:rPr>
            <w:rStyle w:val="Hyperlink"/>
            <w:noProof/>
          </w:rPr>
          <w:t>Part 1 — How to use this guide</w:t>
        </w:r>
        <w:r>
          <w:rPr>
            <w:noProof/>
            <w:webHidden/>
          </w:rPr>
          <w:tab/>
        </w:r>
        <w:r>
          <w:rPr>
            <w:noProof/>
            <w:webHidden/>
          </w:rPr>
          <w:fldChar w:fldCharType="begin"/>
        </w:r>
        <w:r>
          <w:rPr>
            <w:noProof/>
            <w:webHidden/>
          </w:rPr>
          <w:instrText xml:space="preserve"> PAGEREF _Toc236139933 \h </w:instrText>
        </w:r>
        <w:r>
          <w:rPr>
            <w:noProof/>
            <w:webHidden/>
          </w:rPr>
        </w:r>
        <w:r>
          <w:rPr>
            <w:noProof/>
            <w:webHidden/>
          </w:rPr>
          <w:fldChar w:fldCharType="separate"/>
        </w:r>
        <w:r>
          <w:rPr>
            <w:noProof/>
            <w:webHidden/>
          </w:rPr>
          <w:t>3</w:t>
        </w:r>
        <w:r>
          <w:rPr>
            <w:noProof/>
            <w:webHidden/>
          </w:rPr>
          <w:fldChar w:fldCharType="end"/>
        </w:r>
      </w:hyperlink>
    </w:p>
    <w:p w14:paraId="31F9A54D" w14:textId="4A66CA9F" w:rsidR="00364457" w:rsidRDefault="00364457">
      <w:pPr>
        <w:pStyle w:val="TOC2"/>
        <w:tabs>
          <w:tab w:val="right" w:leader="dot" w:pos="9402"/>
        </w:tabs>
        <w:rPr>
          <w:noProof/>
        </w:rPr>
      </w:pPr>
      <w:hyperlink w:anchor="_Toc236139934" w:history="1">
        <w:r w:rsidRPr="00E50FA0">
          <w:rPr>
            <w:rStyle w:val="Hyperlink"/>
            <w:noProof/>
          </w:rPr>
          <w:t>The one rule worth knowing before you start</w:t>
        </w:r>
        <w:r>
          <w:rPr>
            <w:noProof/>
            <w:webHidden/>
          </w:rPr>
          <w:tab/>
        </w:r>
        <w:r>
          <w:rPr>
            <w:noProof/>
            <w:webHidden/>
          </w:rPr>
          <w:fldChar w:fldCharType="begin"/>
        </w:r>
        <w:r>
          <w:rPr>
            <w:noProof/>
            <w:webHidden/>
          </w:rPr>
          <w:instrText xml:space="preserve"> PAGEREF _Toc236139934 \h </w:instrText>
        </w:r>
        <w:r>
          <w:rPr>
            <w:noProof/>
            <w:webHidden/>
          </w:rPr>
        </w:r>
        <w:r>
          <w:rPr>
            <w:noProof/>
            <w:webHidden/>
          </w:rPr>
          <w:fldChar w:fldCharType="separate"/>
        </w:r>
        <w:r>
          <w:rPr>
            <w:noProof/>
            <w:webHidden/>
          </w:rPr>
          <w:t>3</w:t>
        </w:r>
        <w:r>
          <w:rPr>
            <w:noProof/>
            <w:webHidden/>
          </w:rPr>
          <w:fldChar w:fldCharType="end"/>
        </w:r>
      </w:hyperlink>
    </w:p>
    <w:p w14:paraId="51473EA2" w14:textId="6E8DC682" w:rsidR="00364457" w:rsidRDefault="00364457">
      <w:pPr>
        <w:pStyle w:val="TOC2"/>
        <w:tabs>
          <w:tab w:val="right" w:leader="dot" w:pos="9402"/>
        </w:tabs>
        <w:rPr>
          <w:noProof/>
        </w:rPr>
      </w:pPr>
      <w:hyperlink w:anchor="_Toc236139935" w:history="1">
        <w:r w:rsidRPr="00E50FA0">
          <w:rPr>
            <w:rStyle w:val="Hyperlink"/>
            <w:noProof/>
          </w:rPr>
          <w:t>Three habits that will save you from a wrong conclusion</w:t>
        </w:r>
        <w:r>
          <w:rPr>
            <w:noProof/>
            <w:webHidden/>
          </w:rPr>
          <w:tab/>
        </w:r>
        <w:r>
          <w:rPr>
            <w:noProof/>
            <w:webHidden/>
          </w:rPr>
          <w:fldChar w:fldCharType="begin"/>
        </w:r>
        <w:r>
          <w:rPr>
            <w:noProof/>
            <w:webHidden/>
          </w:rPr>
          <w:instrText xml:space="preserve"> PAGEREF _Toc236139935 \h </w:instrText>
        </w:r>
        <w:r>
          <w:rPr>
            <w:noProof/>
            <w:webHidden/>
          </w:rPr>
        </w:r>
        <w:r>
          <w:rPr>
            <w:noProof/>
            <w:webHidden/>
          </w:rPr>
          <w:fldChar w:fldCharType="separate"/>
        </w:r>
        <w:r>
          <w:rPr>
            <w:noProof/>
            <w:webHidden/>
          </w:rPr>
          <w:t>3</w:t>
        </w:r>
        <w:r>
          <w:rPr>
            <w:noProof/>
            <w:webHidden/>
          </w:rPr>
          <w:fldChar w:fldCharType="end"/>
        </w:r>
      </w:hyperlink>
    </w:p>
    <w:p w14:paraId="353AA784" w14:textId="7A5FB611" w:rsidR="00364457" w:rsidRDefault="00364457">
      <w:pPr>
        <w:pStyle w:val="TOC1"/>
        <w:tabs>
          <w:tab w:val="right" w:leader="dot" w:pos="9402"/>
        </w:tabs>
        <w:rPr>
          <w:noProof/>
        </w:rPr>
      </w:pPr>
      <w:hyperlink w:anchor="_Toc236139936" w:history="1">
        <w:r w:rsidRPr="00E50FA0">
          <w:rPr>
            <w:rStyle w:val="Hyperlink"/>
            <w:noProof/>
          </w:rPr>
          <w:t>Part 2 — The essentials, in one page</w:t>
        </w:r>
        <w:r>
          <w:rPr>
            <w:noProof/>
            <w:webHidden/>
          </w:rPr>
          <w:tab/>
        </w:r>
        <w:r>
          <w:rPr>
            <w:noProof/>
            <w:webHidden/>
          </w:rPr>
          <w:fldChar w:fldCharType="begin"/>
        </w:r>
        <w:r>
          <w:rPr>
            <w:noProof/>
            <w:webHidden/>
          </w:rPr>
          <w:instrText xml:space="preserve"> PAGEREF _Toc236139936 \h </w:instrText>
        </w:r>
        <w:r>
          <w:rPr>
            <w:noProof/>
            <w:webHidden/>
          </w:rPr>
        </w:r>
        <w:r>
          <w:rPr>
            <w:noProof/>
            <w:webHidden/>
          </w:rPr>
          <w:fldChar w:fldCharType="separate"/>
        </w:r>
        <w:r>
          <w:rPr>
            <w:noProof/>
            <w:webHidden/>
          </w:rPr>
          <w:t>4</w:t>
        </w:r>
        <w:r>
          <w:rPr>
            <w:noProof/>
            <w:webHidden/>
          </w:rPr>
          <w:fldChar w:fldCharType="end"/>
        </w:r>
      </w:hyperlink>
    </w:p>
    <w:p w14:paraId="2639448D" w14:textId="46D67F5E" w:rsidR="00364457" w:rsidRDefault="00364457">
      <w:pPr>
        <w:pStyle w:val="TOC2"/>
        <w:tabs>
          <w:tab w:val="right" w:leader="dot" w:pos="9402"/>
        </w:tabs>
        <w:rPr>
          <w:noProof/>
        </w:rPr>
      </w:pPr>
      <w:hyperlink w:anchor="_Toc236139937" w:history="1">
        <w:r w:rsidRPr="00E50FA0">
          <w:rPr>
            <w:rStyle w:val="Hyperlink"/>
            <w:noProof/>
          </w:rPr>
          <w:t>Where the market stands on 20 July 2026</w:t>
        </w:r>
        <w:r>
          <w:rPr>
            <w:noProof/>
            <w:webHidden/>
          </w:rPr>
          <w:tab/>
        </w:r>
        <w:r>
          <w:rPr>
            <w:noProof/>
            <w:webHidden/>
          </w:rPr>
          <w:fldChar w:fldCharType="begin"/>
        </w:r>
        <w:r>
          <w:rPr>
            <w:noProof/>
            <w:webHidden/>
          </w:rPr>
          <w:instrText xml:space="preserve"> PAGEREF _Toc236139937 \h </w:instrText>
        </w:r>
        <w:r>
          <w:rPr>
            <w:noProof/>
            <w:webHidden/>
          </w:rPr>
        </w:r>
        <w:r>
          <w:rPr>
            <w:noProof/>
            <w:webHidden/>
          </w:rPr>
          <w:fldChar w:fldCharType="separate"/>
        </w:r>
        <w:r>
          <w:rPr>
            <w:noProof/>
            <w:webHidden/>
          </w:rPr>
          <w:t>4</w:t>
        </w:r>
        <w:r>
          <w:rPr>
            <w:noProof/>
            <w:webHidden/>
          </w:rPr>
          <w:fldChar w:fldCharType="end"/>
        </w:r>
      </w:hyperlink>
    </w:p>
    <w:p w14:paraId="7E07A7A4" w14:textId="2ECD63A5" w:rsidR="00364457" w:rsidRDefault="00364457">
      <w:pPr>
        <w:pStyle w:val="TOC2"/>
        <w:tabs>
          <w:tab w:val="right" w:leader="dot" w:pos="9402"/>
        </w:tabs>
        <w:rPr>
          <w:noProof/>
        </w:rPr>
      </w:pPr>
      <w:hyperlink w:anchor="_Toc236139938" w:history="1">
        <w:r w:rsidRPr="00E50FA0">
          <w:rPr>
            <w:rStyle w:val="Hyperlink"/>
            <w:noProof/>
          </w:rPr>
          <w:t>The five conclusions the data supports</w:t>
        </w:r>
        <w:r>
          <w:rPr>
            <w:noProof/>
            <w:webHidden/>
          </w:rPr>
          <w:tab/>
        </w:r>
        <w:r>
          <w:rPr>
            <w:noProof/>
            <w:webHidden/>
          </w:rPr>
          <w:fldChar w:fldCharType="begin"/>
        </w:r>
        <w:r>
          <w:rPr>
            <w:noProof/>
            <w:webHidden/>
          </w:rPr>
          <w:instrText xml:space="preserve"> PAGEREF _Toc236139938 \h </w:instrText>
        </w:r>
        <w:r>
          <w:rPr>
            <w:noProof/>
            <w:webHidden/>
          </w:rPr>
        </w:r>
        <w:r>
          <w:rPr>
            <w:noProof/>
            <w:webHidden/>
          </w:rPr>
          <w:fldChar w:fldCharType="separate"/>
        </w:r>
        <w:r>
          <w:rPr>
            <w:noProof/>
            <w:webHidden/>
          </w:rPr>
          <w:t>4</w:t>
        </w:r>
        <w:r>
          <w:rPr>
            <w:noProof/>
            <w:webHidden/>
          </w:rPr>
          <w:fldChar w:fldCharType="end"/>
        </w:r>
      </w:hyperlink>
    </w:p>
    <w:p w14:paraId="06B7374B" w14:textId="4667F595" w:rsidR="00364457" w:rsidRDefault="00364457">
      <w:pPr>
        <w:pStyle w:val="TOC2"/>
        <w:tabs>
          <w:tab w:val="right" w:leader="dot" w:pos="9402"/>
        </w:tabs>
        <w:rPr>
          <w:noProof/>
        </w:rPr>
      </w:pPr>
      <w:hyperlink w:anchor="_Toc236139939" w:history="1">
        <w:r w:rsidRPr="00E50FA0">
          <w:rPr>
            <w:rStyle w:val="Hyperlink"/>
            <w:noProof/>
          </w:rPr>
          <w:t>The three cautions that matter most</w:t>
        </w:r>
        <w:r>
          <w:rPr>
            <w:noProof/>
            <w:webHidden/>
          </w:rPr>
          <w:tab/>
        </w:r>
        <w:r>
          <w:rPr>
            <w:noProof/>
            <w:webHidden/>
          </w:rPr>
          <w:fldChar w:fldCharType="begin"/>
        </w:r>
        <w:r>
          <w:rPr>
            <w:noProof/>
            <w:webHidden/>
          </w:rPr>
          <w:instrText xml:space="preserve"> PAGEREF _Toc236139939 \h </w:instrText>
        </w:r>
        <w:r>
          <w:rPr>
            <w:noProof/>
            <w:webHidden/>
          </w:rPr>
        </w:r>
        <w:r>
          <w:rPr>
            <w:noProof/>
            <w:webHidden/>
          </w:rPr>
          <w:fldChar w:fldCharType="separate"/>
        </w:r>
        <w:r>
          <w:rPr>
            <w:noProof/>
            <w:webHidden/>
          </w:rPr>
          <w:t>4</w:t>
        </w:r>
        <w:r>
          <w:rPr>
            <w:noProof/>
            <w:webHidden/>
          </w:rPr>
          <w:fldChar w:fldCharType="end"/>
        </w:r>
      </w:hyperlink>
    </w:p>
    <w:p w14:paraId="3DD0DD56" w14:textId="03A040D4" w:rsidR="00364457" w:rsidRDefault="00364457">
      <w:pPr>
        <w:pStyle w:val="TOC1"/>
        <w:tabs>
          <w:tab w:val="right" w:leader="dot" w:pos="9402"/>
        </w:tabs>
        <w:rPr>
          <w:noProof/>
        </w:rPr>
      </w:pPr>
      <w:hyperlink w:anchor="_Toc236139940" w:history="1">
        <w:r w:rsidRPr="00E50FA0">
          <w:rPr>
            <w:rStyle w:val="Hyperlink"/>
            <w:noProof/>
          </w:rPr>
          <w:t>Part 3 — The words the dashboard uses, in plain English</w:t>
        </w:r>
        <w:r>
          <w:rPr>
            <w:noProof/>
            <w:webHidden/>
          </w:rPr>
          <w:tab/>
        </w:r>
        <w:r>
          <w:rPr>
            <w:noProof/>
            <w:webHidden/>
          </w:rPr>
          <w:fldChar w:fldCharType="begin"/>
        </w:r>
        <w:r>
          <w:rPr>
            <w:noProof/>
            <w:webHidden/>
          </w:rPr>
          <w:instrText xml:space="preserve"> PAGEREF _Toc236139940 \h </w:instrText>
        </w:r>
        <w:r>
          <w:rPr>
            <w:noProof/>
            <w:webHidden/>
          </w:rPr>
        </w:r>
        <w:r>
          <w:rPr>
            <w:noProof/>
            <w:webHidden/>
          </w:rPr>
          <w:fldChar w:fldCharType="separate"/>
        </w:r>
        <w:r>
          <w:rPr>
            <w:noProof/>
            <w:webHidden/>
          </w:rPr>
          <w:t>6</w:t>
        </w:r>
        <w:r>
          <w:rPr>
            <w:noProof/>
            <w:webHidden/>
          </w:rPr>
          <w:fldChar w:fldCharType="end"/>
        </w:r>
      </w:hyperlink>
    </w:p>
    <w:p w14:paraId="10C802B6" w14:textId="7BADF101" w:rsidR="00364457" w:rsidRDefault="00364457">
      <w:pPr>
        <w:pStyle w:val="TOC1"/>
        <w:tabs>
          <w:tab w:val="right" w:leader="dot" w:pos="9402"/>
        </w:tabs>
        <w:rPr>
          <w:noProof/>
        </w:rPr>
      </w:pPr>
      <w:hyperlink w:anchor="_Toc236139941" w:history="1">
        <w:r w:rsidRPr="00E50FA0">
          <w:rPr>
            <w:rStyle w:val="Hyperlink"/>
            <w:noProof/>
          </w:rPr>
          <w:t>Part 4 — The twelve pages, one at a time</w:t>
        </w:r>
        <w:r>
          <w:rPr>
            <w:noProof/>
            <w:webHidden/>
          </w:rPr>
          <w:tab/>
        </w:r>
        <w:r>
          <w:rPr>
            <w:noProof/>
            <w:webHidden/>
          </w:rPr>
          <w:fldChar w:fldCharType="begin"/>
        </w:r>
        <w:r>
          <w:rPr>
            <w:noProof/>
            <w:webHidden/>
          </w:rPr>
          <w:instrText xml:space="preserve"> PAGEREF _Toc236139941 \h </w:instrText>
        </w:r>
        <w:r>
          <w:rPr>
            <w:noProof/>
            <w:webHidden/>
          </w:rPr>
        </w:r>
        <w:r>
          <w:rPr>
            <w:noProof/>
            <w:webHidden/>
          </w:rPr>
          <w:fldChar w:fldCharType="separate"/>
        </w:r>
        <w:r>
          <w:rPr>
            <w:noProof/>
            <w:webHidden/>
          </w:rPr>
          <w:t>7</w:t>
        </w:r>
        <w:r>
          <w:rPr>
            <w:noProof/>
            <w:webHidden/>
          </w:rPr>
          <w:fldChar w:fldCharType="end"/>
        </w:r>
      </w:hyperlink>
    </w:p>
    <w:p w14:paraId="641CCB1E" w14:textId="35CACD7E" w:rsidR="00364457" w:rsidRDefault="00364457">
      <w:pPr>
        <w:pStyle w:val="TOC2"/>
        <w:tabs>
          <w:tab w:val="right" w:leader="dot" w:pos="9402"/>
        </w:tabs>
        <w:rPr>
          <w:noProof/>
        </w:rPr>
      </w:pPr>
      <w:hyperlink w:anchor="_Toc236139942" w:history="1">
        <w:r w:rsidRPr="00E50FA0">
          <w:rPr>
            <w:rStyle w:val="Hyperlink"/>
            <w:noProof/>
          </w:rPr>
          <w:t>Page 1 — Executive Summary</w:t>
        </w:r>
        <w:r>
          <w:rPr>
            <w:noProof/>
            <w:webHidden/>
          </w:rPr>
          <w:tab/>
        </w:r>
        <w:r>
          <w:rPr>
            <w:noProof/>
            <w:webHidden/>
          </w:rPr>
          <w:fldChar w:fldCharType="begin"/>
        </w:r>
        <w:r>
          <w:rPr>
            <w:noProof/>
            <w:webHidden/>
          </w:rPr>
          <w:instrText xml:space="preserve"> PAGEREF _Toc236139942 \h </w:instrText>
        </w:r>
        <w:r>
          <w:rPr>
            <w:noProof/>
            <w:webHidden/>
          </w:rPr>
        </w:r>
        <w:r>
          <w:rPr>
            <w:noProof/>
            <w:webHidden/>
          </w:rPr>
          <w:fldChar w:fldCharType="separate"/>
        </w:r>
        <w:r>
          <w:rPr>
            <w:noProof/>
            <w:webHidden/>
          </w:rPr>
          <w:t>7</w:t>
        </w:r>
        <w:r>
          <w:rPr>
            <w:noProof/>
            <w:webHidden/>
          </w:rPr>
          <w:fldChar w:fldCharType="end"/>
        </w:r>
      </w:hyperlink>
    </w:p>
    <w:p w14:paraId="3FA93748" w14:textId="13ADE076" w:rsidR="00364457" w:rsidRDefault="00364457">
      <w:pPr>
        <w:pStyle w:val="TOC2"/>
        <w:tabs>
          <w:tab w:val="right" w:leader="dot" w:pos="9402"/>
        </w:tabs>
        <w:rPr>
          <w:noProof/>
        </w:rPr>
      </w:pPr>
      <w:hyperlink w:anchor="_Toc236139943" w:history="1">
        <w:r w:rsidRPr="00E50FA0">
          <w:rPr>
            <w:rStyle w:val="Hyperlink"/>
            <w:noProof/>
          </w:rPr>
          <w:t>Page 2 — Market Overview</w:t>
        </w:r>
        <w:r>
          <w:rPr>
            <w:noProof/>
            <w:webHidden/>
          </w:rPr>
          <w:tab/>
        </w:r>
        <w:r>
          <w:rPr>
            <w:noProof/>
            <w:webHidden/>
          </w:rPr>
          <w:fldChar w:fldCharType="begin"/>
        </w:r>
        <w:r>
          <w:rPr>
            <w:noProof/>
            <w:webHidden/>
          </w:rPr>
          <w:instrText xml:space="preserve"> PAGEREF _Toc236139943 \h </w:instrText>
        </w:r>
        <w:r>
          <w:rPr>
            <w:noProof/>
            <w:webHidden/>
          </w:rPr>
        </w:r>
        <w:r>
          <w:rPr>
            <w:noProof/>
            <w:webHidden/>
          </w:rPr>
          <w:fldChar w:fldCharType="separate"/>
        </w:r>
        <w:r>
          <w:rPr>
            <w:noProof/>
            <w:webHidden/>
          </w:rPr>
          <w:t>9</w:t>
        </w:r>
        <w:r>
          <w:rPr>
            <w:noProof/>
            <w:webHidden/>
          </w:rPr>
          <w:fldChar w:fldCharType="end"/>
        </w:r>
      </w:hyperlink>
    </w:p>
    <w:p w14:paraId="59BAA8E2" w14:textId="6A2CD4C9" w:rsidR="00364457" w:rsidRDefault="00364457">
      <w:pPr>
        <w:pStyle w:val="TOC2"/>
        <w:tabs>
          <w:tab w:val="right" w:leader="dot" w:pos="9402"/>
        </w:tabs>
        <w:rPr>
          <w:noProof/>
        </w:rPr>
      </w:pPr>
      <w:hyperlink w:anchor="_Toc236139944" w:history="1">
        <w:r w:rsidRPr="00E50FA0">
          <w:rPr>
            <w:rStyle w:val="Hyperlink"/>
            <w:noProof/>
          </w:rPr>
          <w:t>Page 3 — Price Analysis</w:t>
        </w:r>
        <w:r>
          <w:rPr>
            <w:noProof/>
            <w:webHidden/>
          </w:rPr>
          <w:tab/>
        </w:r>
        <w:r>
          <w:rPr>
            <w:noProof/>
            <w:webHidden/>
          </w:rPr>
          <w:fldChar w:fldCharType="begin"/>
        </w:r>
        <w:r>
          <w:rPr>
            <w:noProof/>
            <w:webHidden/>
          </w:rPr>
          <w:instrText xml:space="preserve"> PAGEREF _Toc236139944 \h </w:instrText>
        </w:r>
        <w:r>
          <w:rPr>
            <w:noProof/>
            <w:webHidden/>
          </w:rPr>
        </w:r>
        <w:r>
          <w:rPr>
            <w:noProof/>
            <w:webHidden/>
          </w:rPr>
          <w:fldChar w:fldCharType="separate"/>
        </w:r>
        <w:r>
          <w:rPr>
            <w:noProof/>
            <w:webHidden/>
          </w:rPr>
          <w:t>10</w:t>
        </w:r>
        <w:r>
          <w:rPr>
            <w:noProof/>
            <w:webHidden/>
          </w:rPr>
          <w:fldChar w:fldCharType="end"/>
        </w:r>
      </w:hyperlink>
    </w:p>
    <w:p w14:paraId="68EDDD3C" w14:textId="7E026210" w:rsidR="00364457" w:rsidRDefault="00364457">
      <w:pPr>
        <w:pStyle w:val="TOC2"/>
        <w:tabs>
          <w:tab w:val="right" w:leader="dot" w:pos="9402"/>
        </w:tabs>
        <w:rPr>
          <w:noProof/>
        </w:rPr>
      </w:pPr>
      <w:hyperlink w:anchor="_Toc236139945" w:history="1">
        <w:r w:rsidRPr="00E50FA0">
          <w:rPr>
            <w:rStyle w:val="Hyperlink"/>
            <w:noProof/>
          </w:rPr>
          <w:t>Page 4 — Arrival Analysis</w:t>
        </w:r>
        <w:r>
          <w:rPr>
            <w:noProof/>
            <w:webHidden/>
          </w:rPr>
          <w:tab/>
        </w:r>
        <w:r>
          <w:rPr>
            <w:noProof/>
            <w:webHidden/>
          </w:rPr>
          <w:fldChar w:fldCharType="begin"/>
        </w:r>
        <w:r>
          <w:rPr>
            <w:noProof/>
            <w:webHidden/>
          </w:rPr>
          <w:instrText xml:space="preserve"> PAGEREF _Toc236139945 \h </w:instrText>
        </w:r>
        <w:r>
          <w:rPr>
            <w:noProof/>
            <w:webHidden/>
          </w:rPr>
        </w:r>
        <w:r>
          <w:rPr>
            <w:noProof/>
            <w:webHidden/>
          </w:rPr>
          <w:fldChar w:fldCharType="separate"/>
        </w:r>
        <w:r>
          <w:rPr>
            <w:noProof/>
            <w:webHidden/>
          </w:rPr>
          <w:t>11</w:t>
        </w:r>
        <w:r>
          <w:rPr>
            <w:noProof/>
            <w:webHidden/>
          </w:rPr>
          <w:fldChar w:fldCharType="end"/>
        </w:r>
      </w:hyperlink>
    </w:p>
    <w:p w14:paraId="084D3FA9" w14:textId="07AC5A85" w:rsidR="00364457" w:rsidRDefault="00364457">
      <w:pPr>
        <w:pStyle w:val="TOC2"/>
        <w:tabs>
          <w:tab w:val="right" w:leader="dot" w:pos="9402"/>
        </w:tabs>
        <w:rPr>
          <w:noProof/>
        </w:rPr>
      </w:pPr>
      <w:hyperlink w:anchor="_Toc236139946" w:history="1">
        <w:r w:rsidRPr="00E50FA0">
          <w:rPr>
            <w:rStyle w:val="Hyperlink"/>
            <w:noProof/>
          </w:rPr>
          <w:t>Page 5 — Market Integration</w:t>
        </w:r>
        <w:r>
          <w:rPr>
            <w:noProof/>
            <w:webHidden/>
          </w:rPr>
          <w:tab/>
        </w:r>
        <w:r>
          <w:rPr>
            <w:noProof/>
            <w:webHidden/>
          </w:rPr>
          <w:fldChar w:fldCharType="begin"/>
        </w:r>
        <w:r>
          <w:rPr>
            <w:noProof/>
            <w:webHidden/>
          </w:rPr>
          <w:instrText xml:space="preserve"> PAGEREF _Toc236139946 \h </w:instrText>
        </w:r>
        <w:r>
          <w:rPr>
            <w:noProof/>
            <w:webHidden/>
          </w:rPr>
        </w:r>
        <w:r>
          <w:rPr>
            <w:noProof/>
            <w:webHidden/>
          </w:rPr>
          <w:fldChar w:fldCharType="separate"/>
        </w:r>
        <w:r>
          <w:rPr>
            <w:noProof/>
            <w:webHidden/>
          </w:rPr>
          <w:t>13</w:t>
        </w:r>
        <w:r>
          <w:rPr>
            <w:noProof/>
            <w:webHidden/>
          </w:rPr>
          <w:fldChar w:fldCharType="end"/>
        </w:r>
      </w:hyperlink>
    </w:p>
    <w:p w14:paraId="168FE959" w14:textId="3760138D" w:rsidR="00364457" w:rsidRDefault="00364457">
      <w:pPr>
        <w:pStyle w:val="TOC2"/>
        <w:tabs>
          <w:tab w:val="right" w:leader="dot" w:pos="9402"/>
        </w:tabs>
        <w:rPr>
          <w:noProof/>
        </w:rPr>
      </w:pPr>
      <w:hyperlink w:anchor="_Toc236139947" w:history="1">
        <w:r w:rsidRPr="00E50FA0">
          <w:rPr>
            <w:rStyle w:val="Hyperlink"/>
            <w:noProof/>
          </w:rPr>
          <w:t>Page 6 — Correlation Studio</w:t>
        </w:r>
        <w:r>
          <w:rPr>
            <w:noProof/>
            <w:webHidden/>
          </w:rPr>
          <w:tab/>
        </w:r>
        <w:r>
          <w:rPr>
            <w:noProof/>
            <w:webHidden/>
          </w:rPr>
          <w:fldChar w:fldCharType="begin"/>
        </w:r>
        <w:r>
          <w:rPr>
            <w:noProof/>
            <w:webHidden/>
          </w:rPr>
          <w:instrText xml:space="preserve"> PAGEREF _Toc236139947 \h </w:instrText>
        </w:r>
        <w:r>
          <w:rPr>
            <w:noProof/>
            <w:webHidden/>
          </w:rPr>
        </w:r>
        <w:r>
          <w:rPr>
            <w:noProof/>
            <w:webHidden/>
          </w:rPr>
          <w:fldChar w:fldCharType="separate"/>
        </w:r>
        <w:r>
          <w:rPr>
            <w:noProof/>
            <w:webHidden/>
          </w:rPr>
          <w:t>15</w:t>
        </w:r>
        <w:r>
          <w:rPr>
            <w:noProof/>
            <w:webHidden/>
          </w:rPr>
          <w:fldChar w:fldCharType="end"/>
        </w:r>
      </w:hyperlink>
    </w:p>
    <w:p w14:paraId="29F7C297" w14:textId="1495AEB7" w:rsidR="00364457" w:rsidRDefault="00364457">
      <w:pPr>
        <w:pStyle w:val="TOC2"/>
        <w:tabs>
          <w:tab w:val="right" w:leader="dot" w:pos="9402"/>
        </w:tabs>
        <w:rPr>
          <w:noProof/>
        </w:rPr>
      </w:pPr>
      <w:hyperlink w:anchor="_Toc236139948" w:history="1">
        <w:r w:rsidRPr="00E50FA0">
          <w:rPr>
            <w:rStyle w:val="Hyperlink"/>
            <w:noProof/>
          </w:rPr>
          <w:t>Page 7 — Seasonality</w:t>
        </w:r>
        <w:r>
          <w:rPr>
            <w:noProof/>
            <w:webHidden/>
          </w:rPr>
          <w:tab/>
        </w:r>
        <w:r>
          <w:rPr>
            <w:noProof/>
            <w:webHidden/>
          </w:rPr>
          <w:fldChar w:fldCharType="begin"/>
        </w:r>
        <w:r>
          <w:rPr>
            <w:noProof/>
            <w:webHidden/>
          </w:rPr>
          <w:instrText xml:space="preserve"> PAGEREF _Toc236139948 \h </w:instrText>
        </w:r>
        <w:r>
          <w:rPr>
            <w:noProof/>
            <w:webHidden/>
          </w:rPr>
        </w:r>
        <w:r>
          <w:rPr>
            <w:noProof/>
            <w:webHidden/>
          </w:rPr>
          <w:fldChar w:fldCharType="separate"/>
        </w:r>
        <w:r>
          <w:rPr>
            <w:noProof/>
            <w:webHidden/>
          </w:rPr>
          <w:t>16</w:t>
        </w:r>
        <w:r>
          <w:rPr>
            <w:noProof/>
            <w:webHidden/>
          </w:rPr>
          <w:fldChar w:fldCharType="end"/>
        </w:r>
      </w:hyperlink>
    </w:p>
    <w:p w14:paraId="20F0EABB" w14:textId="6BE15816" w:rsidR="00364457" w:rsidRDefault="00364457">
      <w:pPr>
        <w:pStyle w:val="TOC2"/>
        <w:tabs>
          <w:tab w:val="right" w:leader="dot" w:pos="9402"/>
        </w:tabs>
        <w:rPr>
          <w:noProof/>
        </w:rPr>
      </w:pPr>
      <w:hyperlink w:anchor="_Toc236139949" w:history="1">
        <w:r w:rsidRPr="00E50FA0">
          <w:rPr>
            <w:rStyle w:val="Hyperlink"/>
            <w:noProof/>
          </w:rPr>
          <w:t>Page 8 — Export Analysis</w:t>
        </w:r>
        <w:r>
          <w:rPr>
            <w:noProof/>
            <w:webHidden/>
          </w:rPr>
          <w:tab/>
        </w:r>
        <w:r>
          <w:rPr>
            <w:noProof/>
            <w:webHidden/>
          </w:rPr>
          <w:fldChar w:fldCharType="begin"/>
        </w:r>
        <w:r>
          <w:rPr>
            <w:noProof/>
            <w:webHidden/>
          </w:rPr>
          <w:instrText xml:space="preserve"> PAGEREF _Toc236139949 \h </w:instrText>
        </w:r>
        <w:r>
          <w:rPr>
            <w:noProof/>
            <w:webHidden/>
          </w:rPr>
        </w:r>
        <w:r>
          <w:rPr>
            <w:noProof/>
            <w:webHidden/>
          </w:rPr>
          <w:fldChar w:fldCharType="separate"/>
        </w:r>
        <w:r>
          <w:rPr>
            <w:noProof/>
            <w:webHidden/>
          </w:rPr>
          <w:t>18</w:t>
        </w:r>
        <w:r>
          <w:rPr>
            <w:noProof/>
            <w:webHidden/>
          </w:rPr>
          <w:fldChar w:fldCharType="end"/>
        </w:r>
      </w:hyperlink>
    </w:p>
    <w:p w14:paraId="5569D389" w14:textId="119BED0A" w:rsidR="00364457" w:rsidRDefault="00364457">
      <w:pPr>
        <w:pStyle w:val="TOC2"/>
        <w:tabs>
          <w:tab w:val="right" w:leader="dot" w:pos="9402"/>
        </w:tabs>
        <w:rPr>
          <w:noProof/>
        </w:rPr>
      </w:pPr>
      <w:hyperlink w:anchor="_Toc236139950" w:history="1">
        <w:r w:rsidRPr="00E50FA0">
          <w:rPr>
            <w:rStyle w:val="Hyperlink"/>
            <w:noProof/>
          </w:rPr>
          <w:t>Page 9 — Balance Sheet</w:t>
        </w:r>
        <w:r>
          <w:rPr>
            <w:noProof/>
            <w:webHidden/>
          </w:rPr>
          <w:tab/>
        </w:r>
        <w:r>
          <w:rPr>
            <w:noProof/>
            <w:webHidden/>
          </w:rPr>
          <w:fldChar w:fldCharType="begin"/>
        </w:r>
        <w:r>
          <w:rPr>
            <w:noProof/>
            <w:webHidden/>
          </w:rPr>
          <w:instrText xml:space="preserve"> PAGEREF _Toc236139950 \h </w:instrText>
        </w:r>
        <w:r>
          <w:rPr>
            <w:noProof/>
            <w:webHidden/>
          </w:rPr>
        </w:r>
        <w:r>
          <w:rPr>
            <w:noProof/>
            <w:webHidden/>
          </w:rPr>
          <w:fldChar w:fldCharType="separate"/>
        </w:r>
        <w:r>
          <w:rPr>
            <w:noProof/>
            <w:webHidden/>
          </w:rPr>
          <w:t>19</w:t>
        </w:r>
        <w:r>
          <w:rPr>
            <w:noProof/>
            <w:webHidden/>
          </w:rPr>
          <w:fldChar w:fldCharType="end"/>
        </w:r>
      </w:hyperlink>
    </w:p>
    <w:p w14:paraId="57E5132C" w14:textId="511769FD" w:rsidR="00364457" w:rsidRDefault="00364457">
      <w:pPr>
        <w:pStyle w:val="TOC2"/>
        <w:tabs>
          <w:tab w:val="right" w:leader="dot" w:pos="9402"/>
        </w:tabs>
        <w:rPr>
          <w:noProof/>
        </w:rPr>
      </w:pPr>
      <w:hyperlink w:anchor="_Toc236139951" w:history="1">
        <w:r w:rsidRPr="00E50FA0">
          <w:rPr>
            <w:rStyle w:val="Hyperlink"/>
            <w:noProof/>
          </w:rPr>
          <w:t>Page 10 — Forecast Center</w:t>
        </w:r>
        <w:r>
          <w:rPr>
            <w:noProof/>
            <w:webHidden/>
          </w:rPr>
          <w:tab/>
        </w:r>
        <w:r>
          <w:rPr>
            <w:noProof/>
            <w:webHidden/>
          </w:rPr>
          <w:fldChar w:fldCharType="begin"/>
        </w:r>
        <w:r>
          <w:rPr>
            <w:noProof/>
            <w:webHidden/>
          </w:rPr>
          <w:instrText xml:space="preserve"> PAGEREF _Toc236139951 \h </w:instrText>
        </w:r>
        <w:r>
          <w:rPr>
            <w:noProof/>
            <w:webHidden/>
          </w:rPr>
        </w:r>
        <w:r>
          <w:rPr>
            <w:noProof/>
            <w:webHidden/>
          </w:rPr>
          <w:fldChar w:fldCharType="separate"/>
        </w:r>
        <w:r>
          <w:rPr>
            <w:noProof/>
            <w:webHidden/>
          </w:rPr>
          <w:t>21</w:t>
        </w:r>
        <w:r>
          <w:rPr>
            <w:noProof/>
            <w:webHidden/>
          </w:rPr>
          <w:fldChar w:fldCharType="end"/>
        </w:r>
      </w:hyperlink>
    </w:p>
    <w:p w14:paraId="0A1D681D" w14:textId="4F7E8A6A" w:rsidR="00364457" w:rsidRDefault="00364457">
      <w:pPr>
        <w:pStyle w:val="TOC2"/>
        <w:tabs>
          <w:tab w:val="right" w:leader="dot" w:pos="9402"/>
        </w:tabs>
        <w:rPr>
          <w:noProof/>
        </w:rPr>
      </w:pPr>
      <w:hyperlink w:anchor="_Toc236139952" w:history="1">
        <w:r w:rsidRPr="00E50FA0">
          <w:rPr>
            <w:rStyle w:val="Hyperlink"/>
            <w:noProof/>
          </w:rPr>
          <w:t>Page 11 — Automated Insights</w:t>
        </w:r>
        <w:r>
          <w:rPr>
            <w:noProof/>
            <w:webHidden/>
          </w:rPr>
          <w:tab/>
        </w:r>
        <w:r>
          <w:rPr>
            <w:noProof/>
            <w:webHidden/>
          </w:rPr>
          <w:fldChar w:fldCharType="begin"/>
        </w:r>
        <w:r>
          <w:rPr>
            <w:noProof/>
            <w:webHidden/>
          </w:rPr>
          <w:instrText xml:space="preserve"> PAGEREF _Toc236139952 \h </w:instrText>
        </w:r>
        <w:r>
          <w:rPr>
            <w:noProof/>
            <w:webHidden/>
          </w:rPr>
        </w:r>
        <w:r>
          <w:rPr>
            <w:noProof/>
            <w:webHidden/>
          </w:rPr>
          <w:fldChar w:fldCharType="separate"/>
        </w:r>
        <w:r>
          <w:rPr>
            <w:noProof/>
            <w:webHidden/>
          </w:rPr>
          <w:t>23</w:t>
        </w:r>
        <w:r>
          <w:rPr>
            <w:noProof/>
            <w:webHidden/>
          </w:rPr>
          <w:fldChar w:fldCharType="end"/>
        </w:r>
      </w:hyperlink>
    </w:p>
    <w:p w14:paraId="252FCDF2" w14:textId="055E261E" w:rsidR="00364457" w:rsidRDefault="00364457">
      <w:pPr>
        <w:pStyle w:val="TOC2"/>
        <w:tabs>
          <w:tab w:val="right" w:leader="dot" w:pos="9402"/>
        </w:tabs>
        <w:rPr>
          <w:noProof/>
        </w:rPr>
      </w:pPr>
      <w:hyperlink w:anchor="_Toc236139953" w:history="1">
        <w:r w:rsidRPr="00E50FA0">
          <w:rPr>
            <w:rStyle w:val="Hyperlink"/>
            <w:noProof/>
          </w:rPr>
          <w:t>Page 12 — Data Dictionary</w:t>
        </w:r>
        <w:r>
          <w:rPr>
            <w:noProof/>
            <w:webHidden/>
          </w:rPr>
          <w:tab/>
        </w:r>
        <w:r>
          <w:rPr>
            <w:noProof/>
            <w:webHidden/>
          </w:rPr>
          <w:fldChar w:fldCharType="begin"/>
        </w:r>
        <w:r>
          <w:rPr>
            <w:noProof/>
            <w:webHidden/>
          </w:rPr>
          <w:instrText xml:space="preserve"> PAGEREF _Toc236139953 \h </w:instrText>
        </w:r>
        <w:r>
          <w:rPr>
            <w:noProof/>
            <w:webHidden/>
          </w:rPr>
        </w:r>
        <w:r>
          <w:rPr>
            <w:noProof/>
            <w:webHidden/>
          </w:rPr>
          <w:fldChar w:fldCharType="separate"/>
        </w:r>
        <w:r>
          <w:rPr>
            <w:noProof/>
            <w:webHidden/>
          </w:rPr>
          <w:t>24</w:t>
        </w:r>
        <w:r>
          <w:rPr>
            <w:noProof/>
            <w:webHidden/>
          </w:rPr>
          <w:fldChar w:fldCharType="end"/>
        </w:r>
      </w:hyperlink>
    </w:p>
    <w:p w14:paraId="35FC733D" w14:textId="134137B6" w:rsidR="00364457" w:rsidRDefault="00364457">
      <w:pPr>
        <w:pStyle w:val="TOC1"/>
        <w:tabs>
          <w:tab w:val="right" w:leader="dot" w:pos="9402"/>
        </w:tabs>
        <w:rPr>
          <w:noProof/>
        </w:rPr>
      </w:pPr>
      <w:hyperlink w:anchor="_Toc236139954" w:history="1">
        <w:r w:rsidRPr="00E50FA0">
          <w:rPr>
            <w:rStyle w:val="Hyperlink"/>
            <w:noProof/>
          </w:rPr>
          <w:t>Part 5 — The business questions, answered directly</w:t>
        </w:r>
        <w:r>
          <w:rPr>
            <w:noProof/>
            <w:webHidden/>
          </w:rPr>
          <w:tab/>
        </w:r>
        <w:r>
          <w:rPr>
            <w:noProof/>
            <w:webHidden/>
          </w:rPr>
          <w:fldChar w:fldCharType="begin"/>
        </w:r>
        <w:r>
          <w:rPr>
            <w:noProof/>
            <w:webHidden/>
          </w:rPr>
          <w:instrText xml:space="preserve"> PAGEREF _Toc236139954 \h </w:instrText>
        </w:r>
        <w:r>
          <w:rPr>
            <w:noProof/>
            <w:webHidden/>
          </w:rPr>
        </w:r>
        <w:r>
          <w:rPr>
            <w:noProof/>
            <w:webHidden/>
          </w:rPr>
          <w:fldChar w:fldCharType="separate"/>
        </w:r>
        <w:r>
          <w:rPr>
            <w:noProof/>
            <w:webHidden/>
          </w:rPr>
          <w:t>26</w:t>
        </w:r>
        <w:r>
          <w:rPr>
            <w:noProof/>
            <w:webHidden/>
          </w:rPr>
          <w:fldChar w:fldCharType="end"/>
        </w:r>
      </w:hyperlink>
    </w:p>
    <w:p w14:paraId="30DDB916" w14:textId="349F1AB1" w:rsidR="00364457" w:rsidRDefault="00364457">
      <w:pPr>
        <w:pStyle w:val="TOC1"/>
        <w:tabs>
          <w:tab w:val="right" w:leader="dot" w:pos="9402"/>
        </w:tabs>
        <w:rPr>
          <w:noProof/>
        </w:rPr>
      </w:pPr>
      <w:hyperlink w:anchor="_Toc236139955" w:history="1">
        <w:r w:rsidRPr="00E50FA0">
          <w:rPr>
            <w:rStyle w:val="Hyperlink"/>
            <w:noProof/>
          </w:rPr>
          <w:t>Part 6 — What this workbook cannot tell you</w:t>
        </w:r>
        <w:r>
          <w:rPr>
            <w:noProof/>
            <w:webHidden/>
          </w:rPr>
          <w:tab/>
        </w:r>
        <w:r>
          <w:rPr>
            <w:noProof/>
            <w:webHidden/>
          </w:rPr>
          <w:fldChar w:fldCharType="begin"/>
        </w:r>
        <w:r>
          <w:rPr>
            <w:noProof/>
            <w:webHidden/>
          </w:rPr>
          <w:instrText xml:space="preserve"> PAGEREF _Toc236139955 \h </w:instrText>
        </w:r>
        <w:r>
          <w:rPr>
            <w:noProof/>
            <w:webHidden/>
          </w:rPr>
        </w:r>
        <w:r>
          <w:rPr>
            <w:noProof/>
            <w:webHidden/>
          </w:rPr>
          <w:fldChar w:fldCharType="separate"/>
        </w:r>
        <w:r>
          <w:rPr>
            <w:noProof/>
            <w:webHidden/>
          </w:rPr>
          <w:t>27</w:t>
        </w:r>
        <w:r>
          <w:rPr>
            <w:noProof/>
            <w:webHidden/>
          </w:rPr>
          <w:fldChar w:fldCharType="end"/>
        </w:r>
      </w:hyperlink>
    </w:p>
    <w:p w14:paraId="4512573C" w14:textId="7EAC1603" w:rsidR="00364457" w:rsidRDefault="00364457">
      <w:pPr>
        <w:pStyle w:val="TOC1"/>
        <w:tabs>
          <w:tab w:val="right" w:leader="dot" w:pos="9402"/>
        </w:tabs>
        <w:rPr>
          <w:noProof/>
        </w:rPr>
      </w:pPr>
      <w:hyperlink w:anchor="_Toc236139956" w:history="1">
        <w:r w:rsidRPr="00E50FA0">
          <w:rPr>
            <w:rStyle w:val="Hyperlink"/>
            <w:noProof/>
          </w:rPr>
          <w:t>Part 7 — Quick reference: every chart in one line</w:t>
        </w:r>
        <w:r>
          <w:rPr>
            <w:noProof/>
            <w:webHidden/>
          </w:rPr>
          <w:tab/>
        </w:r>
        <w:r>
          <w:rPr>
            <w:noProof/>
            <w:webHidden/>
          </w:rPr>
          <w:fldChar w:fldCharType="begin"/>
        </w:r>
        <w:r>
          <w:rPr>
            <w:noProof/>
            <w:webHidden/>
          </w:rPr>
          <w:instrText xml:space="preserve"> PAGEREF _Toc236139956 \h </w:instrText>
        </w:r>
        <w:r>
          <w:rPr>
            <w:noProof/>
            <w:webHidden/>
          </w:rPr>
        </w:r>
        <w:r>
          <w:rPr>
            <w:noProof/>
            <w:webHidden/>
          </w:rPr>
          <w:fldChar w:fldCharType="separate"/>
        </w:r>
        <w:r>
          <w:rPr>
            <w:noProof/>
            <w:webHidden/>
          </w:rPr>
          <w:t>28</w:t>
        </w:r>
        <w:r>
          <w:rPr>
            <w:noProof/>
            <w:webHidden/>
          </w:rPr>
          <w:fldChar w:fldCharType="end"/>
        </w:r>
      </w:hyperlink>
    </w:p>
    <w:p w14:paraId="6BA97542" w14:textId="59D27722" w:rsidR="00364457" w:rsidRDefault="00364457">
      <w:pPr>
        <w:pStyle w:val="TOC1"/>
        <w:tabs>
          <w:tab w:val="right" w:leader="dot" w:pos="9402"/>
        </w:tabs>
        <w:rPr>
          <w:noProof/>
        </w:rPr>
      </w:pPr>
      <w:hyperlink w:anchor="_Toc236139957" w:history="1">
        <w:r w:rsidRPr="00E50FA0">
          <w:rPr>
            <w:rStyle w:val="Hyperlink"/>
            <w:noProof/>
          </w:rPr>
          <w:t>A closing note on using this responsibly</w:t>
        </w:r>
        <w:r>
          <w:rPr>
            <w:noProof/>
            <w:webHidden/>
          </w:rPr>
          <w:tab/>
        </w:r>
        <w:r>
          <w:rPr>
            <w:noProof/>
            <w:webHidden/>
          </w:rPr>
          <w:fldChar w:fldCharType="begin"/>
        </w:r>
        <w:r>
          <w:rPr>
            <w:noProof/>
            <w:webHidden/>
          </w:rPr>
          <w:instrText xml:space="preserve"> PAGEREF _Toc236139957 \h </w:instrText>
        </w:r>
        <w:r>
          <w:rPr>
            <w:noProof/>
            <w:webHidden/>
          </w:rPr>
        </w:r>
        <w:r>
          <w:rPr>
            <w:noProof/>
            <w:webHidden/>
          </w:rPr>
          <w:fldChar w:fldCharType="separate"/>
        </w:r>
        <w:r>
          <w:rPr>
            <w:noProof/>
            <w:webHidden/>
          </w:rPr>
          <w:t>30</w:t>
        </w:r>
        <w:r>
          <w:rPr>
            <w:noProof/>
            <w:webHidden/>
          </w:rPr>
          <w:fldChar w:fldCharType="end"/>
        </w:r>
      </w:hyperlink>
    </w:p>
    <w:p w14:paraId="0CD5BA7A" w14:textId="5F04445C" w:rsidR="00FC207D" w:rsidRDefault="00457720">
      <w:r>
        <w:fldChar w:fldCharType="end"/>
      </w:r>
    </w:p>
    <w:p w14:paraId="7E5F9EE0" w14:textId="77777777" w:rsidR="00FC207D" w:rsidRDefault="00FC207D"/>
    <w:p w14:paraId="355EFF4C" w14:textId="77777777" w:rsidR="00FC207D" w:rsidRDefault="00457720">
      <w:r>
        <w:rPr>
          <w:i/>
          <w:color w:val="5C6B7A"/>
          <w:sz w:val="18"/>
        </w:rPr>
        <w:t>If the contents list above is blank, click it once, then press F9 (or right-click and choose “Update Field”). Word builds it from the headings.</w:t>
      </w:r>
    </w:p>
    <w:p w14:paraId="1874CD45" w14:textId="77777777" w:rsidR="00FC207D" w:rsidRDefault="00457720">
      <w:r>
        <w:br w:type="page"/>
      </w:r>
    </w:p>
    <w:p w14:paraId="53F38E8E" w14:textId="77777777" w:rsidR="00FC207D" w:rsidRDefault="00457720">
      <w:pPr>
        <w:pStyle w:val="Heading1"/>
        <w:pBdr>
          <w:bottom w:val="single" w:sz="12" w:space="4" w:color="C2410C"/>
        </w:pBdr>
      </w:pPr>
      <w:bookmarkStart w:id="1" w:name="_Toc236139933"/>
      <w:r>
        <w:lastRenderedPageBreak/>
        <w:t>Part 1 — How to use this guide</w:t>
      </w:r>
      <w:bookmarkEnd w:id="1"/>
    </w:p>
    <w:p w14:paraId="41B0CA28" w14:textId="77777777" w:rsidR="00FC207D" w:rsidRDefault="00457720">
      <w:r>
        <w:t>The dashboard has twelve pages and roughly seventy charts and tables. This guide walks through them in the same order the dashboard does. For every chart and every table you will find the same four lines:</w:t>
      </w:r>
    </w:p>
    <w:tbl>
      <w:tblPr>
        <w:tblStyle w:val="TableGrid"/>
        <w:tblW w:w="0" w:type="auto"/>
        <w:jc w:val="center"/>
        <w:tblLayout w:type="fixed"/>
        <w:tblLook w:val="04A0" w:firstRow="1" w:lastRow="0" w:firstColumn="1" w:lastColumn="0" w:noHBand="0" w:noVBand="1"/>
      </w:tblPr>
      <w:tblGrid>
        <w:gridCol w:w="2381"/>
        <w:gridCol w:w="7030"/>
      </w:tblGrid>
      <w:tr w:rsidR="00FC207D" w14:paraId="314B4B6C" w14:textId="77777777">
        <w:trPr>
          <w:jc w:val="center"/>
        </w:trPr>
        <w:tc>
          <w:tcPr>
            <w:tcW w:w="2381" w:type="dxa"/>
            <w:shd w:val="clear" w:color="auto" w:fill="1A2027"/>
          </w:tcPr>
          <w:p w14:paraId="364841F0" w14:textId="77777777" w:rsidR="00FC207D" w:rsidRDefault="00457720">
            <w:pPr>
              <w:spacing w:before="20" w:after="20"/>
            </w:pPr>
            <w:r>
              <w:rPr>
                <w:b/>
                <w:color w:val="FFFFFF"/>
                <w:sz w:val="19"/>
              </w:rPr>
              <w:t>Line</w:t>
            </w:r>
          </w:p>
        </w:tc>
        <w:tc>
          <w:tcPr>
            <w:tcW w:w="7030" w:type="dxa"/>
            <w:shd w:val="clear" w:color="auto" w:fill="1A2027"/>
          </w:tcPr>
          <w:p w14:paraId="0D167320" w14:textId="77777777" w:rsidR="00FC207D" w:rsidRDefault="00457720">
            <w:pPr>
              <w:spacing w:before="20" w:after="20"/>
            </w:pPr>
            <w:r>
              <w:rPr>
                <w:b/>
                <w:color w:val="FFFFFF"/>
                <w:sz w:val="19"/>
              </w:rPr>
              <w:t>What it answers</w:t>
            </w:r>
          </w:p>
        </w:tc>
      </w:tr>
      <w:tr w:rsidR="00FC207D" w14:paraId="05022882" w14:textId="77777777">
        <w:trPr>
          <w:jc w:val="center"/>
        </w:trPr>
        <w:tc>
          <w:tcPr>
            <w:tcW w:w="2381" w:type="dxa"/>
          </w:tcPr>
          <w:p w14:paraId="30993BF0" w14:textId="77777777" w:rsidR="00FC207D" w:rsidRDefault="00457720">
            <w:pPr>
              <w:spacing w:before="20" w:after="20"/>
            </w:pPr>
            <w:r>
              <w:rPr>
                <w:b/>
                <w:sz w:val="19"/>
              </w:rPr>
              <w:t>What it shows</w:t>
            </w:r>
          </w:p>
        </w:tc>
        <w:tc>
          <w:tcPr>
            <w:tcW w:w="7030" w:type="dxa"/>
          </w:tcPr>
          <w:p w14:paraId="019D2787" w14:textId="77777777" w:rsidR="00FC207D" w:rsidRDefault="00457720">
            <w:pPr>
              <w:spacing w:before="20" w:after="20"/>
            </w:pPr>
            <w:r>
              <w:rPr>
                <w:sz w:val="19"/>
              </w:rPr>
              <w:t>In one sentence, what is on the screen.</w:t>
            </w:r>
          </w:p>
        </w:tc>
      </w:tr>
      <w:tr w:rsidR="00FC207D" w14:paraId="6D1E59EE" w14:textId="77777777">
        <w:trPr>
          <w:jc w:val="center"/>
        </w:trPr>
        <w:tc>
          <w:tcPr>
            <w:tcW w:w="2381" w:type="dxa"/>
            <w:shd w:val="clear" w:color="auto" w:fill="EEF1F5"/>
          </w:tcPr>
          <w:p w14:paraId="3ED8BB20" w14:textId="77777777" w:rsidR="00FC207D" w:rsidRDefault="00457720">
            <w:pPr>
              <w:spacing w:before="20" w:after="20"/>
            </w:pPr>
            <w:r>
              <w:rPr>
                <w:b/>
                <w:sz w:val="19"/>
              </w:rPr>
              <w:t>How to read it</w:t>
            </w:r>
          </w:p>
        </w:tc>
        <w:tc>
          <w:tcPr>
            <w:tcW w:w="7030" w:type="dxa"/>
            <w:shd w:val="clear" w:color="auto" w:fill="EEF1F5"/>
          </w:tcPr>
          <w:p w14:paraId="1B8F8CEE" w14:textId="77777777" w:rsidR="00FC207D" w:rsidRDefault="00457720">
            <w:pPr>
              <w:spacing w:before="20" w:after="20"/>
            </w:pPr>
            <w:r>
              <w:rPr>
                <w:sz w:val="19"/>
              </w:rPr>
              <w:t>Where to look, and what a high or low value means.</w:t>
            </w:r>
          </w:p>
        </w:tc>
      </w:tr>
      <w:tr w:rsidR="00FC207D" w14:paraId="162483BE" w14:textId="77777777">
        <w:trPr>
          <w:jc w:val="center"/>
        </w:trPr>
        <w:tc>
          <w:tcPr>
            <w:tcW w:w="2381" w:type="dxa"/>
          </w:tcPr>
          <w:p w14:paraId="406CE6A3" w14:textId="77777777" w:rsidR="00FC207D" w:rsidRDefault="00457720">
            <w:pPr>
              <w:spacing w:before="20" w:after="20"/>
            </w:pPr>
            <w:r>
              <w:rPr>
                <w:b/>
                <w:sz w:val="19"/>
              </w:rPr>
              <w:t>What it says now</w:t>
            </w:r>
          </w:p>
        </w:tc>
        <w:tc>
          <w:tcPr>
            <w:tcW w:w="7030" w:type="dxa"/>
          </w:tcPr>
          <w:p w14:paraId="2CD8D9B3" w14:textId="77777777" w:rsidR="00FC207D" w:rsidRDefault="00457720">
            <w:pPr>
              <w:spacing w:before="20" w:after="20"/>
            </w:pPr>
            <w:r>
              <w:rPr>
                <w:sz w:val="19"/>
              </w:rPr>
              <w:t>The actual figures from the current workbook.</w:t>
            </w:r>
          </w:p>
        </w:tc>
      </w:tr>
      <w:tr w:rsidR="00FC207D" w14:paraId="0EC70A02" w14:textId="77777777">
        <w:trPr>
          <w:jc w:val="center"/>
        </w:trPr>
        <w:tc>
          <w:tcPr>
            <w:tcW w:w="2381" w:type="dxa"/>
            <w:shd w:val="clear" w:color="auto" w:fill="EEF1F5"/>
          </w:tcPr>
          <w:p w14:paraId="11DED017" w14:textId="77777777" w:rsidR="00FC207D" w:rsidRDefault="00457720">
            <w:pPr>
              <w:spacing w:before="20" w:after="20"/>
            </w:pPr>
            <w:r>
              <w:rPr>
                <w:b/>
                <w:sz w:val="19"/>
              </w:rPr>
              <w:t>What to do with it</w:t>
            </w:r>
          </w:p>
        </w:tc>
        <w:tc>
          <w:tcPr>
            <w:tcW w:w="7030" w:type="dxa"/>
            <w:shd w:val="clear" w:color="auto" w:fill="EEF1F5"/>
          </w:tcPr>
          <w:p w14:paraId="2BE1C172" w14:textId="77777777" w:rsidR="00FC207D" w:rsidRDefault="00457720">
            <w:pPr>
              <w:spacing w:before="20" w:after="20"/>
            </w:pPr>
            <w:r>
              <w:rPr>
                <w:sz w:val="19"/>
              </w:rPr>
              <w:t>The decision or action the chart supports.</w:t>
            </w:r>
          </w:p>
        </w:tc>
      </w:tr>
    </w:tbl>
    <w:p w14:paraId="04D7AF2B" w14:textId="77777777" w:rsidR="00FC207D" w:rsidRDefault="00FC207D">
      <w:pPr>
        <w:spacing w:after="80"/>
      </w:pPr>
    </w:p>
    <w:p w14:paraId="6167C030" w14:textId="77777777" w:rsidR="00FC207D" w:rsidRDefault="00457720">
      <w:pPr>
        <w:pStyle w:val="Heading2"/>
      </w:pPr>
      <w:bookmarkStart w:id="2" w:name="_Toc236139934"/>
      <w:r>
        <w:t>The one rule worth knowing before you start</w:t>
      </w:r>
      <w:bookmarkEnd w:id="2"/>
    </w:p>
    <w:p w14:paraId="6444DAC9" w14:textId="77777777" w:rsidR="00FC207D" w:rsidRDefault="00457720">
      <w:r>
        <w:t>Wherever the workbook cannot support an analysis, the dashboard shows a dashed box reading “Data not available in uploaded workbook.”, followed by the specific reason. That is deliberate, and it is a result in its own right. It means the honest answer is “we cannot tell from this data” rather than a confident-looking number with nothing behind it. Twelve of the dashboard's thirty-four findings are of this kind, and they are listed in Part 6 of this guide.</w:t>
      </w:r>
    </w:p>
    <w:p w14:paraId="408A39B2" w14:textId="77777777" w:rsidR="00FC207D" w:rsidRDefault="00457720">
      <w:pPr>
        <w:pStyle w:val="Heading2"/>
      </w:pPr>
      <w:bookmarkStart w:id="3" w:name="_Toc236139935"/>
      <w:r>
        <w:t>Three habits that will save you from a wrong conclusion</w:t>
      </w:r>
      <w:bookmarkEnd w:id="3"/>
    </w:p>
    <w:p w14:paraId="11D431FE" w14:textId="77777777" w:rsidR="00FC207D" w:rsidRDefault="00457720">
      <w:pPr>
        <w:pStyle w:val="ListBullet"/>
        <w:spacing w:after="60"/>
        <w:ind w:left="340"/>
      </w:pPr>
      <w:r>
        <w:rPr>
          <w:b/>
        </w:rPr>
        <w:t xml:space="preserve">Read the Source line. </w:t>
      </w:r>
      <w:r>
        <w:t>Every chart names the workbook sheet it came from, directly underneath it. If two charts disagree, the source line usually explains why.</w:t>
      </w:r>
    </w:p>
    <w:p w14:paraId="148E85F6" w14:textId="77777777" w:rsidR="00FC207D" w:rsidRDefault="00457720">
      <w:pPr>
        <w:pStyle w:val="ListBullet"/>
        <w:spacing w:after="60"/>
        <w:ind w:left="340"/>
      </w:pPr>
      <w:r>
        <w:rPr>
          <w:b/>
        </w:rPr>
        <w:t xml:space="preserve">Open the Notes. </w:t>
      </w:r>
      <w:r>
        <w:t>The Notes button on each chart holds the sample size, the caveats and the unit statements. Before a chart goes into a presentation, open its Notes.</w:t>
      </w:r>
    </w:p>
    <w:p w14:paraId="3AB5FA0C" w14:textId="77777777" w:rsidR="00FC207D" w:rsidRDefault="00457720">
      <w:pPr>
        <w:pStyle w:val="ListBullet"/>
        <w:spacing w:after="60"/>
        <w:ind w:left="340"/>
      </w:pPr>
      <w:r>
        <w:rPr>
          <w:b/>
        </w:rPr>
        <w:t xml:space="preserve">Prefer the range to the line. </w:t>
      </w:r>
      <w:r>
        <w:t>The single forecast line is the middle of a range. The range is the forecast. Planning against the line alone will eventually cost money.</w:t>
      </w:r>
    </w:p>
    <w:p w14:paraId="7246635E" w14:textId="77777777" w:rsidR="00FC207D" w:rsidRDefault="00457720">
      <w:r>
        <w:br w:type="page"/>
      </w:r>
    </w:p>
    <w:p w14:paraId="115EF228" w14:textId="77777777" w:rsidR="00FC207D" w:rsidRDefault="00457720">
      <w:pPr>
        <w:pStyle w:val="Heading1"/>
        <w:pBdr>
          <w:bottom w:val="single" w:sz="12" w:space="4" w:color="C2410C"/>
        </w:pBdr>
      </w:pPr>
      <w:bookmarkStart w:id="4" w:name="_Toc236139936"/>
      <w:r>
        <w:lastRenderedPageBreak/>
        <w:t>Part 2 — The essentials, in one page</w:t>
      </w:r>
      <w:bookmarkEnd w:id="4"/>
    </w:p>
    <w:p w14:paraId="027C9651" w14:textId="77777777" w:rsidR="00FC207D" w:rsidRDefault="00457720">
      <w:pPr>
        <w:pStyle w:val="Heading2"/>
      </w:pPr>
      <w:bookmarkStart w:id="5" w:name="_Toc236139937"/>
      <w:r>
        <w:t>Where the market stands on 20 July 2026</w:t>
      </w:r>
      <w:bookmarkEnd w:id="5"/>
    </w:p>
    <w:tbl>
      <w:tblPr>
        <w:tblStyle w:val="TableGrid"/>
        <w:tblW w:w="0" w:type="auto"/>
        <w:jc w:val="center"/>
        <w:tblLayout w:type="fixed"/>
        <w:tblLook w:val="04A0" w:firstRow="1" w:lastRow="0" w:firstColumn="1" w:lastColumn="0" w:noHBand="0" w:noVBand="1"/>
      </w:tblPr>
      <w:tblGrid>
        <w:gridCol w:w="2268"/>
        <w:gridCol w:w="1701"/>
        <w:gridCol w:w="1814"/>
        <w:gridCol w:w="1814"/>
        <w:gridCol w:w="1814"/>
      </w:tblGrid>
      <w:tr w:rsidR="00FC207D" w14:paraId="5330A4AF" w14:textId="77777777">
        <w:trPr>
          <w:jc w:val="center"/>
        </w:trPr>
        <w:tc>
          <w:tcPr>
            <w:tcW w:w="2268" w:type="dxa"/>
            <w:shd w:val="clear" w:color="auto" w:fill="1A2027"/>
          </w:tcPr>
          <w:p w14:paraId="009F543B" w14:textId="77777777" w:rsidR="00FC207D" w:rsidRDefault="00457720">
            <w:pPr>
              <w:spacing w:before="20" w:after="20"/>
            </w:pPr>
            <w:r>
              <w:rPr>
                <w:b/>
                <w:color w:val="FFFFFF"/>
                <w:sz w:val="17"/>
              </w:rPr>
              <w:t>Variety</w:t>
            </w:r>
          </w:p>
        </w:tc>
        <w:tc>
          <w:tcPr>
            <w:tcW w:w="1701" w:type="dxa"/>
            <w:shd w:val="clear" w:color="auto" w:fill="1A2027"/>
          </w:tcPr>
          <w:p w14:paraId="7B6F14C1" w14:textId="77777777" w:rsidR="00FC207D" w:rsidRDefault="00457720">
            <w:pPr>
              <w:spacing w:before="20" w:after="20"/>
            </w:pPr>
            <w:r>
              <w:rPr>
                <w:b/>
                <w:color w:val="FFFFFF"/>
                <w:sz w:val="17"/>
              </w:rPr>
              <w:t>Latest price</w:t>
            </w:r>
          </w:p>
        </w:tc>
        <w:tc>
          <w:tcPr>
            <w:tcW w:w="1814" w:type="dxa"/>
            <w:shd w:val="clear" w:color="auto" w:fill="1A2027"/>
          </w:tcPr>
          <w:p w14:paraId="6F7C1F39" w14:textId="77777777" w:rsidR="00FC207D" w:rsidRDefault="00457720">
            <w:pPr>
              <w:spacing w:before="20" w:after="20"/>
            </w:pPr>
            <w:r>
              <w:rPr>
                <w:b/>
                <w:color w:val="FFFFFF"/>
                <w:sz w:val="17"/>
              </w:rPr>
              <w:t>Week on week</w:t>
            </w:r>
          </w:p>
        </w:tc>
        <w:tc>
          <w:tcPr>
            <w:tcW w:w="1814" w:type="dxa"/>
            <w:shd w:val="clear" w:color="auto" w:fill="1A2027"/>
          </w:tcPr>
          <w:p w14:paraId="07C6C91E" w14:textId="77777777" w:rsidR="00FC207D" w:rsidRDefault="00457720">
            <w:pPr>
              <w:spacing w:before="20" w:after="20"/>
            </w:pPr>
            <w:r>
              <w:rPr>
                <w:b/>
                <w:color w:val="FFFFFF"/>
                <w:sz w:val="17"/>
              </w:rPr>
              <w:t>Month on month</w:t>
            </w:r>
          </w:p>
        </w:tc>
        <w:tc>
          <w:tcPr>
            <w:tcW w:w="1814" w:type="dxa"/>
            <w:shd w:val="clear" w:color="auto" w:fill="1A2027"/>
          </w:tcPr>
          <w:p w14:paraId="701E3DAA" w14:textId="77777777" w:rsidR="00FC207D" w:rsidRDefault="00457720">
            <w:pPr>
              <w:spacing w:before="20" w:after="20"/>
            </w:pPr>
            <w:r>
              <w:rPr>
                <w:b/>
                <w:color w:val="FFFFFF"/>
                <w:sz w:val="17"/>
              </w:rPr>
              <w:t>Year on year</w:t>
            </w:r>
          </w:p>
        </w:tc>
      </w:tr>
      <w:tr w:rsidR="00FC207D" w14:paraId="21729BA3" w14:textId="77777777">
        <w:trPr>
          <w:jc w:val="center"/>
        </w:trPr>
        <w:tc>
          <w:tcPr>
            <w:tcW w:w="2268" w:type="dxa"/>
          </w:tcPr>
          <w:p w14:paraId="0C2AA638" w14:textId="77777777" w:rsidR="00FC207D" w:rsidRDefault="00457720">
            <w:pPr>
              <w:spacing w:before="20" w:after="20"/>
            </w:pPr>
            <w:r>
              <w:rPr>
                <w:b/>
                <w:sz w:val="17"/>
              </w:rPr>
              <w:t>Teja</w:t>
            </w:r>
          </w:p>
        </w:tc>
        <w:tc>
          <w:tcPr>
            <w:tcW w:w="1701" w:type="dxa"/>
          </w:tcPr>
          <w:p w14:paraId="5B37613F" w14:textId="77777777" w:rsidR="00FC207D" w:rsidRDefault="00457720">
            <w:pPr>
              <w:spacing w:before="20" w:after="20"/>
            </w:pPr>
            <w:r>
              <w:rPr>
                <w:sz w:val="17"/>
              </w:rPr>
              <w:t>20,750</w:t>
            </w:r>
          </w:p>
        </w:tc>
        <w:tc>
          <w:tcPr>
            <w:tcW w:w="1814" w:type="dxa"/>
          </w:tcPr>
          <w:p w14:paraId="769AA2D9" w14:textId="77777777" w:rsidR="00FC207D" w:rsidRDefault="00457720">
            <w:pPr>
              <w:spacing w:before="20" w:after="20"/>
            </w:pPr>
            <w:r>
              <w:rPr>
                <w:sz w:val="17"/>
              </w:rPr>
              <w:t>−</w:t>
            </w:r>
            <w:r>
              <w:rPr>
                <w:sz w:val="17"/>
              </w:rPr>
              <w:t>1.19%</w:t>
            </w:r>
          </w:p>
        </w:tc>
        <w:tc>
          <w:tcPr>
            <w:tcW w:w="1814" w:type="dxa"/>
          </w:tcPr>
          <w:p w14:paraId="25664D6E" w14:textId="77777777" w:rsidR="00FC207D" w:rsidRDefault="00457720">
            <w:pPr>
              <w:spacing w:before="20" w:after="20"/>
            </w:pPr>
            <w:r>
              <w:rPr>
                <w:sz w:val="17"/>
              </w:rPr>
              <w:t>−</w:t>
            </w:r>
            <w:r>
              <w:rPr>
                <w:sz w:val="17"/>
              </w:rPr>
              <w:t>1.19%</w:t>
            </w:r>
          </w:p>
        </w:tc>
        <w:tc>
          <w:tcPr>
            <w:tcW w:w="1814" w:type="dxa"/>
          </w:tcPr>
          <w:p w14:paraId="60B52C55" w14:textId="77777777" w:rsidR="00FC207D" w:rsidRDefault="00457720">
            <w:pPr>
              <w:spacing w:before="20" w:after="20"/>
            </w:pPr>
            <w:r>
              <w:rPr>
                <w:sz w:val="17"/>
              </w:rPr>
              <w:t>+59.6%</w:t>
            </w:r>
          </w:p>
        </w:tc>
      </w:tr>
      <w:tr w:rsidR="00FC207D" w14:paraId="192F6ABF" w14:textId="77777777">
        <w:trPr>
          <w:jc w:val="center"/>
        </w:trPr>
        <w:tc>
          <w:tcPr>
            <w:tcW w:w="2268" w:type="dxa"/>
            <w:shd w:val="clear" w:color="auto" w:fill="EEF1F5"/>
          </w:tcPr>
          <w:p w14:paraId="44C97F20" w14:textId="77777777" w:rsidR="00FC207D" w:rsidRDefault="00457720">
            <w:pPr>
              <w:spacing w:before="20" w:after="20"/>
            </w:pPr>
            <w:r>
              <w:rPr>
                <w:b/>
                <w:sz w:val="17"/>
              </w:rPr>
              <w:t>LCA 334</w:t>
            </w:r>
          </w:p>
        </w:tc>
        <w:tc>
          <w:tcPr>
            <w:tcW w:w="1701" w:type="dxa"/>
            <w:shd w:val="clear" w:color="auto" w:fill="EEF1F5"/>
          </w:tcPr>
          <w:p w14:paraId="011ED056" w14:textId="77777777" w:rsidR="00FC207D" w:rsidRDefault="00457720">
            <w:pPr>
              <w:spacing w:before="20" w:after="20"/>
            </w:pPr>
            <w:r>
              <w:rPr>
                <w:sz w:val="17"/>
              </w:rPr>
              <w:t>25,750</w:t>
            </w:r>
          </w:p>
        </w:tc>
        <w:tc>
          <w:tcPr>
            <w:tcW w:w="1814" w:type="dxa"/>
            <w:shd w:val="clear" w:color="auto" w:fill="EEF1F5"/>
          </w:tcPr>
          <w:p w14:paraId="162B2153" w14:textId="77777777" w:rsidR="00FC207D" w:rsidRDefault="00457720">
            <w:pPr>
              <w:spacing w:before="20" w:after="20"/>
            </w:pPr>
            <w:r>
              <w:rPr>
                <w:sz w:val="17"/>
              </w:rPr>
              <w:t>−</w:t>
            </w:r>
            <w:r>
              <w:rPr>
                <w:sz w:val="17"/>
              </w:rPr>
              <w:t>2.83%</w:t>
            </w:r>
          </w:p>
        </w:tc>
        <w:tc>
          <w:tcPr>
            <w:tcW w:w="1814" w:type="dxa"/>
            <w:shd w:val="clear" w:color="auto" w:fill="EEF1F5"/>
          </w:tcPr>
          <w:p w14:paraId="0FAA3BD5" w14:textId="77777777" w:rsidR="00FC207D" w:rsidRDefault="00457720">
            <w:pPr>
              <w:spacing w:before="20" w:after="20"/>
            </w:pPr>
            <w:r>
              <w:rPr>
                <w:sz w:val="17"/>
              </w:rPr>
              <w:t>+4.04%</w:t>
            </w:r>
          </w:p>
        </w:tc>
        <w:tc>
          <w:tcPr>
            <w:tcW w:w="1814" w:type="dxa"/>
            <w:shd w:val="clear" w:color="auto" w:fill="EEF1F5"/>
          </w:tcPr>
          <w:p w14:paraId="10C60EB8" w14:textId="77777777" w:rsidR="00FC207D" w:rsidRDefault="00457720">
            <w:pPr>
              <w:spacing w:before="20" w:after="20"/>
            </w:pPr>
            <w:r>
              <w:rPr>
                <w:sz w:val="17"/>
              </w:rPr>
              <w:t>+114.6%</w:t>
            </w:r>
          </w:p>
        </w:tc>
      </w:tr>
      <w:tr w:rsidR="00FC207D" w14:paraId="1313B58A" w14:textId="77777777">
        <w:trPr>
          <w:jc w:val="center"/>
        </w:trPr>
        <w:tc>
          <w:tcPr>
            <w:tcW w:w="2268" w:type="dxa"/>
          </w:tcPr>
          <w:p w14:paraId="4B1EDE91" w14:textId="77777777" w:rsidR="00FC207D" w:rsidRDefault="00457720">
            <w:pPr>
              <w:spacing w:before="20" w:after="20"/>
            </w:pPr>
            <w:r>
              <w:rPr>
                <w:b/>
                <w:sz w:val="17"/>
              </w:rPr>
              <w:t>Byadgi</w:t>
            </w:r>
          </w:p>
        </w:tc>
        <w:tc>
          <w:tcPr>
            <w:tcW w:w="1701" w:type="dxa"/>
          </w:tcPr>
          <w:p w14:paraId="7A4D3335" w14:textId="77777777" w:rsidR="00FC207D" w:rsidRDefault="00457720">
            <w:pPr>
              <w:spacing w:before="20" w:after="20"/>
            </w:pPr>
            <w:r>
              <w:rPr>
                <w:sz w:val="17"/>
              </w:rPr>
              <w:t>25,500</w:t>
            </w:r>
          </w:p>
        </w:tc>
        <w:tc>
          <w:tcPr>
            <w:tcW w:w="1814" w:type="dxa"/>
          </w:tcPr>
          <w:p w14:paraId="7EB26831" w14:textId="77777777" w:rsidR="00FC207D" w:rsidRDefault="00457720">
            <w:pPr>
              <w:spacing w:before="20" w:after="20"/>
            </w:pPr>
            <w:r>
              <w:rPr>
                <w:sz w:val="17"/>
              </w:rPr>
              <w:t>+2.00%</w:t>
            </w:r>
          </w:p>
        </w:tc>
        <w:tc>
          <w:tcPr>
            <w:tcW w:w="1814" w:type="dxa"/>
          </w:tcPr>
          <w:p w14:paraId="1D542E64" w14:textId="77777777" w:rsidR="00FC207D" w:rsidRDefault="00457720">
            <w:pPr>
              <w:spacing w:before="20" w:after="20"/>
            </w:pPr>
            <w:r>
              <w:rPr>
                <w:sz w:val="17"/>
              </w:rPr>
              <w:t>+2.00%</w:t>
            </w:r>
          </w:p>
        </w:tc>
        <w:tc>
          <w:tcPr>
            <w:tcW w:w="1814" w:type="dxa"/>
          </w:tcPr>
          <w:p w14:paraId="41847F48" w14:textId="77777777" w:rsidR="00FC207D" w:rsidRDefault="00457720">
            <w:pPr>
              <w:spacing w:before="20" w:after="20"/>
            </w:pPr>
            <w:r>
              <w:rPr>
                <w:sz w:val="17"/>
              </w:rPr>
              <w:t>+117.0%</w:t>
            </w:r>
          </w:p>
        </w:tc>
      </w:tr>
      <w:tr w:rsidR="00FC207D" w14:paraId="194F2D0E" w14:textId="77777777">
        <w:trPr>
          <w:jc w:val="center"/>
        </w:trPr>
        <w:tc>
          <w:tcPr>
            <w:tcW w:w="2268" w:type="dxa"/>
            <w:shd w:val="clear" w:color="auto" w:fill="EEF1F5"/>
          </w:tcPr>
          <w:p w14:paraId="76283470" w14:textId="77777777" w:rsidR="00FC207D" w:rsidRDefault="00457720">
            <w:pPr>
              <w:spacing w:before="20" w:after="20"/>
            </w:pPr>
            <w:r>
              <w:rPr>
                <w:b/>
                <w:sz w:val="17"/>
              </w:rPr>
              <w:t>No.273</w:t>
            </w:r>
          </w:p>
        </w:tc>
        <w:tc>
          <w:tcPr>
            <w:tcW w:w="1701" w:type="dxa"/>
            <w:shd w:val="clear" w:color="auto" w:fill="EEF1F5"/>
          </w:tcPr>
          <w:p w14:paraId="7F70AD90" w14:textId="77777777" w:rsidR="00FC207D" w:rsidRDefault="00457720">
            <w:pPr>
              <w:spacing w:before="20" w:after="20"/>
            </w:pPr>
            <w:r>
              <w:rPr>
                <w:sz w:val="17"/>
              </w:rPr>
              <w:t>25,000</w:t>
            </w:r>
          </w:p>
        </w:tc>
        <w:tc>
          <w:tcPr>
            <w:tcW w:w="1814" w:type="dxa"/>
            <w:shd w:val="clear" w:color="auto" w:fill="EEF1F5"/>
          </w:tcPr>
          <w:p w14:paraId="20BF5757" w14:textId="77777777" w:rsidR="00FC207D" w:rsidRDefault="00457720">
            <w:pPr>
              <w:spacing w:before="20" w:after="20"/>
            </w:pPr>
            <w:r>
              <w:rPr>
                <w:sz w:val="17"/>
              </w:rPr>
              <w:t>+2.04%</w:t>
            </w:r>
          </w:p>
        </w:tc>
        <w:tc>
          <w:tcPr>
            <w:tcW w:w="1814" w:type="dxa"/>
            <w:shd w:val="clear" w:color="auto" w:fill="EEF1F5"/>
          </w:tcPr>
          <w:p w14:paraId="678658FA" w14:textId="77777777" w:rsidR="00FC207D" w:rsidRDefault="00457720">
            <w:pPr>
              <w:spacing w:before="20" w:after="20"/>
            </w:pPr>
            <w:r>
              <w:rPr>
                <w:sz w:val="17"/>
              </w:rPr>
              <w:t>+4.17%</w:t>
            </w:r>
          </w:p>
        </w:tc>
        <w:tc>
          <w:tcPr>
            <w:tcW w:w="1814" w:type="dxa"/>
            <w:shd w:val="clear" w:color="auto" w:fill="EEF1F5"/>
          </w:tcPr>
          <w:p w14:paraId="28106DC0" w14:textId="77777777" w:rsidR="00FC207D" w:rsidRDefault="00457720">
            <w:pPr>
              <w:spacing w:before="20" w:after="20"/>
            </w:pPr>
            <w:r>
              <w:rPr>
                <w:sz w:val="17"/>
              </w:rPr>
              <w:t>+117.4%</w:t>
            </w:r>
          </w:p>
        </w:tc>
      </w:tr>
      <w:tr w:rsidR="00FC207D" w14:paraId="32848714" w14:textId="77777777">
        <w:trPr>
          <w:jc w:val="center"/>
        </w:trPr>
        <w:tc>
          <w:tcPr>
            <w:tcW w:w="2268" w:type="dxa"/>
          </w:tcPr>
          <w:p w14:paraId="0D801E72" w14:textId="77777777" w:rsidR="00FC207D" w:rsidRDefault="00457720">
            <w:pPr>
              <w:spacing w:before="20" w:after="20"/>
            </w:pPr>
            <w:r>
              <w:rPr>
                <w:b/>
                <w:sz w:val="17"/>
              </w:rPr>
              <w:t>Denvor Delux</w:t>
            </w:r>
          </w:p>
        </w:tc>
        <w:tc>
          <w:tcPr>
            <w:tcW w:w="1701" w:type="dxa"/>
          </w:tcPr>
          <w:p w14:paraId="071CC346" w14:textId="77777777" w:rsidR="00FC207D" w:rsidRDefault="00457720">
            <w:pPr>
              <w:spacing w:before="20" w:after="20"/>
            </w:pPr>
            <w:r>
              <w:rPr>
                <w:sz w:val="17"/>
              </w:rPr>
              <w:t>25,000</w:t>
            </w:r>
          </w:p>
        </w:tc>
        <w:tc>
          <w:tcPr>
            <w:tcW w:w="1814" w:type="dxa"/>
          </w:tcPr>
          <w:p w14:paraId="757C0F52" w14:textId="77777777" w:rsidR="00FC207D" w:rsidRDefault="00457720">
            <w:pPr>
              <w:spacing w:before="20" w:after="20"/>
            </w:pPr>
            <w:r>
              <w:rPr>
                <w:sz w:val="17"/>
              </w:rPr>
              <w:t>+2.04%</w:t>
            </w:r>
          </w:p>
        </w:tc>
        <w:tc>
          <w:tcPr>
            <w:tcW w:w="1814" w:type="dxa"/>
          </w:tcPr>
          <w:p w14:paraId="3364B427" w14:textId="77777777" w:rsidR="00FC207D" w:rsidRDefault="00457720">
            <w:pPr>
              <w:spacing w:before="20" w:after="20"/>
            </w:pPr>
            <w:r>
              <w:rPr>
                <w:sz w:val="17"/>
              </w:rPr>
              <w:t>+4.17%</w:t>
            </w:r>
          </w:p>
        </w:tc>
        <w:tc>
          <w:tcPr>
            <w:tcW w:w="1814" w:type="dxa"/>
          </w:tcPr>
          <w:p w14:paraId="395FFD48" w14:textId="77777777" w:rsidR="00FC207D" w:rsidRDefault="00457720">
            <w:pPr>
              <w:spacing w:before="20" w:after="20"/>
            </w:pPr>
            <w:r>
              <w:rPr>
                <w:sz w:val="17"/>
              </w:rPr>
              <w:t>+96.1%</w:t>
            </w:r>
          </w:p>
        </w:tc>
      </w:tr>
      <w:tr w:rsidR="00FC207D" w14:paraId="4820BF17" w14:textId="77777777">
        <w:trPr>
          <w:jc w:val="center"/>
        </w:trPr>
        <w:tc>
          <w:tcPr>
            <w:tcW w:w="2268" w:type="dxa"/>
            <w:shd w:val="clear" w:color="auto" w:fill="EEF1F5"/>
          </w:tcPr>
          <w:p w14:paraId="213ECE87" w14:textId="77777777" w:rsidR="00FC207D" w:rsidRDefault="00457720">
            <w:pPr>
              <w:spacing w:before="20" w:after="20"/>
            </w:pPr>
            <w:r>
              <w:rPr>
                <w:b/>
                <w:sz w:val="17"/>
              </w:rPr>
              <w:t>No.5</w:t>
            </w:r>
          </w:p>
        </w:tc>
        <w:tc>
          <w:tcPr>
            <w:tcW w:w="1701" w:type="dxa"/>
            <w:shd w:val="clear" w:color="auto" w:fill="EEF1F5"/>
          </w:tcPr>
          <w:p w14:paraId="0185D6BB" w14:textId="77777777" w:rsidR="00FC207D" w:rsidRDefault="00457720">
            <w:pPr>
              <w:spacing w:before="20" w:after="20"/>
            </w:pPr>
            <w:r>
              <w:rPr>
                <w:sz w:val="17"/>
              </w:rPr>
              <w:t>24,500</w:t>
            </w:r>
          </w:p>
        </w:tc>
        <w:tc>
          <w:tcPr>
            <w:tcW w:w="1814" w:type="dxa"/>
            <w:shd w:val="clear" w:color="auto" w:fill="EEF1F5"/>
          </w:tcPr>
          <w:p w14:paraId="068B7491" w14:textId="77777777" w:rsidR="00FC207D" w:rsidRDefault="00457720">
            <w:pPr>
              <w:spacing w:before="20" w:after="20"/>
            </w:pPr>
            <w:r>
              <w:rPr>
                <w:sz w:val="17"/>
              </w:rPr>
              <w:t>+2.08%</w:t>
            </w:r>
          </w:p>
        </w:tc>
        <w:tc>
          <w:tcPr>
            <w:tcW w:w="1814" w:type="dxa"/>
            <w:shd w:val="clear" w:color="auto" w:fill="EEF1F5"/>
          </w:tcPr>
          <w:p w14:paraId="2F038DBC" w14:textId="77777777" w:rsidR="00FC207D" w:rsidRDefault="00457720">
            <w:pPr>
              <w:spacing w:before="20" w:after="20"/>
            </w:pPr>
            <w:r>
              <w:rPr>
                <w:sz w:val="17"/>
              </w:rPr>
              <w:t>+2.08%</w:t>
            </w:r>
          </w:p>
        </w:tc>
        <w:tc>
          <w:tcPr>
            <w:tcW w:w="1814" w:type="dxa"/>
            <w:shd w:val="clear" w:color="auto" w:fill="EEF1F5"/>
          </w:tcPr>
          <w:p w14:paraId="366126F8" w14:textId="77777777" w:rsidR="00FC207D" w:rsidRDefault="00457720">
            <w:pPr>
              <w:spacing w:before="20" w:after="20"/>
            </w:pPr>
            <w:r>
              <w:rPr>
                <w:sz w:val="17"/>
              </w:rPr>
              <w:t>+88.5%</w:t>
            </w:r>
          </w:p>
        </w:tc>
      </w:tr>
      <w:tr w:rsidR="00FC207D" w14:paraId="57AED049" w14:textId="77777777">
        <w:trPr>
          <w:jc w:val="center"/>
        </w:trPr>
        <w:tc>
          <w:tcPr>
            <w:tcW w:w="2268" w:type="dxa"/>
          </w:tcPr>
          <w:p w14:paraId="2B4F9FFC" w14:textId="77777777" w:rsidR="00FC207D" w:rsidRDefault="00457720">
            <w:pPr>
              <w:spacing w:before="20" w:after="20"/>
            </w:pPr>
            <w:r>
              <w:rPr>
                <w:b/>
                <w:sz w:val="17"/>
              </w:rPr>
              <w:t>US 341</w:t>
            </w:r>
          </w:p>
        </w:tc>
        <w:tc>
          <w:tcPr>
            <w:tcW w:w="1701" w:type="dxa"/>
          </w:tcPr>
          <w:p w14:paraId="28B95D17" w14:textId="77777777" w:rsidR="00FC207D" w:rsidRDefault="00457720">
            <w:pPr>
              <w:spacing w:before="20" w:after="20"/>
            </w:pPr>
            <w:r>
              <w:rPr>
                <w:sz w:val="17"/>
              </w:rPr>
              <w:t>24,500</w:t>
            </w:r>
          </w:p>
        </w:tc>
        <w:tc>
          <w:tcPr>
            <w:tcW w:w="1814" w:type="dxa"/>
          </w:tcPr>
          <w:p w14:paraId="6A350D53" w14:textId="77777777" w:rsidR="00FC207D" w:rsidRDefault="00457720">
            <w:pPr>
              <w:spacing w:before="20" w:after="20"/>
            </w:pPr>
            <w:r>
              <w:rPr>
                <w:sz w:val="17"/>
              </w:rPr>
              <w:t>0.00%</w:t>
            </w:r>
          </w:p>
        </w:tc>
        <w:tc>
          <w:tcPr>
            <w:tcW w:w="1814" w:type="dxa"/>
          </w:tcPr>
          <w:p w14:paraId="104D1E6B" w14:textId="77777777" w:rsidR="00FC207D" w:rsidRDefault="00457720">
            <w:pPr>
              <w:spacing w:before="20" w:after="20"/>
            </w:pPr>
            <w:r>
              <w:rPr>
                <w:sz w:val="17"/>
              </w:rPr>
              <w:t>+2.08%</w:t>
            </w:r>
          </w:p>
        </w:tc>
        <w:tc>
          <w:tcPr>
            <w:tcW w:w="1814" w:type="dxa"/>
          </w:tcPr>
          <w:p w14:paraId="7994AC9C" w14:textId="77777777" w:rsidR="00FC207D" w:rsidRDefault="00457720">
            <w:pPr>
              <w:spacing w:before="20" w:after="20"/>
            </w:pPr>
            <w:r>
              <w:rPr>
                <w:sz w:val="17"/>
              </w:rPr>
              <w:t>+87.0%</w:t>
            </w:r>
          </w:p>
        </w:tc>
      </w:tr>
      <w:tr w:rsidR="00FC207D" w14:paraId="1284C315" w14:textId="77777777">
        <w:trPr>
          <w:jc w:val="center"/>
        </w:trPr>
        <w:tc>
          <w:tcPr>
            <w:tcW w:w="2268" w:type="dxa"/>
            <w:shd w:val="clear" w:color="auto" w:fill="EEF1F5"/>
          </w:tcPr>
          <w:p w14:paraId="687964D9" w14:textId="77777777" w:rsidR="00FC207D" w:rsidRDefault="00457720">
            <w:pPr>
              <w:spacing w:before="20" w:after="20"/>
            </w:pPr>
            <w:r>
              <w:rPr>
                <w:b/>
                <w:sz w:val="17"/>
              </w:rPr>
              <w:t>NCDEX Quality</w:t>
            </w:r>
          </w:p>
        </w:tc>
        <w:tc>
          <w:tcPr>
            <w:tcW w:w="1701" w:type="dxa"/>
            <w:shd w:val="clear" w:color="auto" w:fill="EEF1F5"/>
          </w:tcPr>
          <w:p w14:paraId="141EBAFE" w14:textId="77777777" w:rsidR="00FC207D" w:rsidRDefault="00457720">
            <w:pPr>
              <w:spacing w:before="20" w:after="20"/>
            </w:pPr>
            <w:r>
              <w:rPr>
                <w:sz w:val="17"/>
              </w:rPr>
              <w:t>22,000</w:t>
            </w:r>
          </w:p>
        </w:tc>
        <w:tc>
          <w:tcPr>
            <w:tcW w:w="1814" w:type="dxa"/>
            <w:shd w:val="clear" w:color="auto" w:fill="EEF1F5"/>
          </w:tcPr>
          <w:p w14:paraId="79F853CC" w14:textId="77777777" w:rsidR="00FC207D" w:rsidRDefault="00457720">
            <w:pPr>
              <w:spacing w:before="20" w:after="20"/>
            </w:pPr>
            <w:r>
              <w:rPr>
                <w:sz w:val="17"/>
              </w:rPr>
              <w:t>+2.33%</w:t>
            </w:r>
          </w:p>
        </w:tc>
        <w:tc>
          <w:tcPr>
            <w:tcW w:w="1814" w:type="dxa"/>
            <w:shd w:val="clear" w:color="auto" w:fill="EEF1F5"/>
          </w:tcPr>
          <w:p w14:paraId="46B3BBC9" w14:textId="77777777" w:rsidR="00FC207D" w:rsidRDefault="00457720">
            <w:pPr>
              <w:spacing w:before="20" w:after="20"/>
            </w:pPr>
            <w:r>
              <w:rPr>
                <w:sz w:val="17"/>
              </w:rPr>
              <w:t>+2.33%</w:t>
            </w:r>
          </w:p>
        </w:tc>
        <w:tc>
          <w:tcPr>
            <w:tcW w:w="1814" w:type="dxa"/>
            <w:shd w:val="clear" w:color="auto" w:fill="EEF1F5"/>
          </w:tcPr>
          <w:p w14:paraId="7837DF77" w14:textId="77777777" w:rsidR="00FC207D" w:rsidRDefault="00457720">
            <w:pPr>
              <w:spacing w:before="20" w:after="20"/>
            </w:pPr>
            <w:r>
              <w:rPr>
                <w:sz w:val="17"/>
              </w:rPr>
              <w:t>+109.5%</w:t>
            </w:r>
          </w:p>
        </w:tc>
      </w:tr>
      <w:tr w:rsidR="00FC207D" w14:paraId="5B03F4E0" w14:textId="77777777">
        <w:trPr>
          <w:jc w:val="center"/>
        </w:trPr>
        <w:tc>
          <w:tcPr>
            <w:tcW w:w="2268" w:type="dxa"/>
          </w:tcPr>
          <w:p w14:paraId="0A3CB102" w14:textId="77777777" w:rsidR="00FC207D" w:rsidRDefault="00457720">
            <w:pPr>
              <w:spacing w:before="20" w:after="20"/>
            </w:pPr>
            <w:r>
              <w:rPr>
                <w:b/>
                <w:sz w:val="17"/>
              </w:rPr>
              <w:t>Fatki</w:t>
            </w:r>
          </w:p>
        </w:tc>
        <w:tc>
          <w:tcPr>
            <w:tcW w:w="1701" w:type="dxa"/>
          </w:tcPr>
          <w:p w14:paraId="555F4BED" w14:textId="77777777" w:rsidR="00FC207D" w:rsidRDefault="00457720">
            <w:pPr>
              <w:spacing w:before="20" w:after="20"/>
            </w:pPr>
            <w:r>
              <w:rPr>
                <w:sz w:val="17"/>
              </w:rPr>
              <w:t>14,750</w:t>
            </w:r>
          </w:p>
        </w:tc>
        <w:tc>
          <w:tcPr>
            <w:tcW w:w="1814" w:type="dxa"/>
          </w:tcPr>
          <w:p w14:paraId="43F0B7C3" w14:textId="77777777" w:rsidR="00FC207D" w:rsidRDefault="00457720">
            <w:pPr>
              <w:spacing w:before="20" w:after="20"/>
            </w:pPr>
            <w:r>
              <w:rPr>
                <w:sz w:val="17"/>
              </w:rPr>
              <w:t>0.00%</w:t>
            </w:r>
          </w:p>
        </w:tc>
        <w:tc>
          <w:tcPr>
            <w:tcW w:w="1814" w:type="dxa"/>
          </w:tcPr>
          <w:p w14:paraId="04C68691" w14:textId="77777777" w:rsidR="00FC207D" w:rsidRDefault="00457720">
            <w:pPr>
              <w:spacing w:before="20" w:after="20"/>
            </w:pPr>
            <w:r>
              <w:rPr>
                <w:sz w:val="17"/>
              </w:rPr>
              <w:t>+13.46%</w:t>
            </w:r>
          </w:p>
        </w:tc>
        <w:tc>
          <w:tcPr>
            <w:tcW w:w="1814" w:type="dxa"/>
          </w:tcPr>
          <w:p w14:paraId="4F250A2B" w14:textId="77777777" w:rsidR="00FC207D" w:rsidRDefault="00457720">
            <w:pPr>
              <w:spacing w:before="20" w:after="20"/>
            </w:pPr>
            <w:r>
              <w:rPr>
                <w:sz w:val="17"/>
              </w:rPr>
              <w:t>+96.7%</w:t>
            </w:r>
          </w:p>
        </w:tc>
      </w:tr>
    </w:tbl>
    <w:p w14:paraId="41D62CBC" w14:textId="77777777" w:rsidR="00FC207D" w:rsidRDefault="00FC207D">
      <w:pPr>
        <w:spacing w:after="80"/>
      </w:pPr>
    </w:p>
    <w:p w14:paraId="507F0FB2" w14:textId="77777777" w:rsidR="00FC207D" w:rsidRDefault="00457720">
      <w:r>
        <w:rPr>
          <w:i/>
          <w:color w:val="5C6B7A"/>
          <w:sz w:val="18"/>
        </w:rPr>
        <w:t>Prices are in rupees per quintal, exactly as recorded on the Guntur variety-wise daily price sheet. Across the market, prices have roughly doubled in twelve months.</w:t>
      </w:r>
    </w:p>
    <w:p w14:paraId="358A12FB" w14:textId="77777777" w:rsidR="00FC207D" w:rsidRDefault="00457720">
      <w:pPr>
        <w:pStyle w:val="Heading2"/>
      </w:pPr>
      <w:bookmarkStart w:id="6" w:name="_Toc236139938"/>
      <w:r>
        <w:t>The five conclusions the data supports</w:t>
      </w:r>
      <w:bookmarkEnd w:id="6"/>
    </w:p>
    <w:p w14:paraId="0D06EF91" w14:textId="77777777" w:rsidR="00FC207D" w:rsidRDefault="00457720">
      <w:pPr>
        <w:pStyle w:val="ListBullet"/>
        <w:spacing w:after="60"/>
        <w:ind w:left="340"/>
      </w:pPr>
      <w:r>
        <w:rPr>
          <w:b/>
        </w:rPr>
        <w:t xml:space="preserve">1.  Teja leads price discovery. </w:t>
      </w:r>
      <w:r>
        <w:t>It is the dominant side of the relationship with every one of the other eight varieties, and its past movements help predict all of them. If you watch one variety for direction, watch Teja.</w:t>
      </w:r>
    </w:p>
    <w:p w14:paraId="5E2152FC" w14:textId="77777777" w:rsidR="00FC207D" w:rsidRDefault="00457720">
      <w:pPr>
        <w:pStyle w:val="ListBullet"/>
        <w:spacing w:after="60"/>
        <w:ind w:left="340"/>
      </w:pPr>
      <w:r>
        <w:rPr>
          <w:b/>
        </w:rPr>
        <w:t xml:space="preserve">2.  Guntur is the price-setting market. </w:t>
      </w:r>
      <w:r>
        <w:t>Guntur one-way drives Khammam fresh-lot prices and is the dominant partner in its two-way relationships with Warangal and Khammam cold storage. Khammam fresh lots influence nothing and are influenced by two markets.</w:t>
      </w:r>
    </w:p>
    <w:p w14:paraId="3F796810" w14:textId="77777777" w:rsidR="00FC207D" w:rsidRDefault="00457720">
      <w:pPr>
        <w:pStyle w:val="ListBullet"/>
        <w:spacing w:after="60"/>
        <w:ind w:left="340"/>
      </w:pPr>
      <w:r>
        <w:rPr>
          <w:b/>
        </w:rPr>
        <w:t xml:space="preserve">3.  The mandis are tied together in the long run. </w:t>
      </w:r>
      <w:r>
        <w:t>Three cointegrating relationships were found across the four market series. Prices cannot drift apart permanently, so an unusually wide spread between two mandis is a temporary dislocation, not a new level.</w:t>
      </w:r>
    </w:p>
    <w:p w14:paraId="2F99F179" w14:textId="77777777" w:rsidR="00FC207D" w:rsidRDefault="00457720">
      <w:pPr>
        <w:pStyle w:val="ListBullet"/>
        <w:spacing w:after="60"/>
        <w:ind w:left="340"/>
      </w:pPr>
      <w:r>
        <w:rPr>
          <w:b/>
        </w:rPr>
        <w:t xml:space="preserve">4.  Supply is tight, and that is the main bullish driver. </w:t>
      </w:r>
      <w:r>
        <w:t>The 2026 stock-to-use ratio is 5.67% against a nine-year average of 22.21%, and production is down 26.2% year on year. Arrivals in the latest month are 47% below the twelve-year average for that month. This is the strongest single argument for firm prices.</w:t>
      </w:r>
    </w:p>
    <w:p w14:paraId="3FD1899F" w14:textId="77777777" w:rsidR="00FC207D" w:rsidRDefault="00457720">
      <w:pPr>
        <w:pStyle w:val="ListBullet"/>
        <w:spacing w:after="60"/>
        <w:ind w:left="340"/>
      </w:pPr>
      <w:r>
        <w:rPr>
          <w:b/>
        </w:rPr>
        <w:t xml:space="preserve">5.  Arrivals matter far less than most desks assume. </w:t>
      </w:r>
      <w:r>
        <w:t>The relationship exists, but arrivals explain about 1% of weekly price movement, and the difference between the heaviest and lightest arrival weeks is not statistically significant. Do not trade on arrivals numbers alone.</w:t>
      </w:r>
    </w:p>
    <w:p w14:paraId="64996A5B" w14:textId="77777777" w:rsidR="00FC207D" w:rsidRDefault="00457720">
      <w:pPr>
        <w:pStyle w:val="Heading2"/>
      </w:pPr>
      <w:bookmarkStart w:id="7" w:name="_Toc236139939"/>
      <w:r>
        <w:t>The three cautions that matter most</w:t>
      </w:r>
      <w:bookmarkEnd w:id="7"/>
    </w:p>
    <w:tbl>
      <w:tblPr>
        <w:tblW w:w="0" w:type="auto"/>
        <w:jc w:val="center"/>
        <w:tblLayout w:type="fixed"/>
        <w:tblLook w:val="04A0" w:firstRow="1" w:lastRow="0" w:firstColumn="1" w:lastColumn="0" w:noHBand="0" w:noVBand="1"/>
      </w:tblPr>
      <w:tblGrid>
        <w:gridCol w:w="9411"/>
      </w:tblGrid>
      <w:tr w:rsidR="00FC207D" w14:paraId="70D85260" w14:textId="77777777">
        <w:trPr>
          <w:jc w:val="center"/>
        </w:trPr>
        <w:tc>
          <w:tcPr>
            <w:tcW w:w="9411" w:type="dxa"/>
            <w:tcBorders>
              <w:left w:val="single" w:sz="18" w:space="0" w:color="B91C1C"/>
            </w:tcBorders>
            <w:shd w:val="clear" w:color="auto" w:fill="FFF6E5"/>
          </w:tcPr>
          <w:p w14:paraId="6C921DD7" w14:textId="77777777" w:rsidR="00FC207D" w:rsidRDefault="00457720">
            <w:pPr>
              <w:spacing w:after="40"/>
            </w:pPr>
            <w:r>
              <w:rPr>
                <w:b/>
                <w:color w:val="B91C1C"/>
                <w:sz w:val="20"/>
              </w:rPr>
              <w:t>Caution 1 — the headline forecast is aggressive</w:t>
            </w:r>
          </w:p>
          <w:p w14:paraId="3C8FB9D1" w14:textId="77777777" w:rsidR="00FC207D" w:rsidRDefault="00457720">
            <w:pPr>
              <w:spacing w:after="0"/>
            </w:pPr>
            <w:r>
              <w:rPr>
                <w:sz w:val="20"/>
              </w:rPr>
              <w:t>The monthly model projects Teja at 26,867 by January 2027 — 28% above today. The same model backtests well (8.2% average error, 93% correct on direction), but it is extrapolating an unusually steep twelve-month rally in which prices already doubled. The 95% range for January is 19,688 to 34,045: wide enough to include no change at all. Treat the direction as the finding and the magnitude as uncertain.</w:t>
            </w:r>
          </w:p>
        </w:tc>
      </w:tr>
    </w:tbl>
    <w:p w14:paraId="35DD29B5" w14:textId="77777777" w:rsidR="00FC207D" w:rsidRDefault="00FC207D">
      <w:pPr>
        <w:spacing w:after="80"/>
      </w:pPr>
    </w:p>
    <w:tbl>
      <w:tblPr>
        <w:tblW w:w="0" w:type="auto"/>
        <w:jc w:val="center"/>
        <w:tblLayout w:type="fixed"/>
        <w:tblLook w:val="04A0" w:firstRow="1" w:lastRow="0" w:firstColumn="1" w:lastColumn="0" w:noHBand="0" w:noVBand="1"/>
      </w:tblPr>
      <w:tblGrid>
        <w:gridCol w:w="9411"/>
      </w:tblGrid>
      <w:tr w:rsidR="00FC207D" w14:paraId="0E5577A7" w14:textId="77777777">
        <w:trPr>
          <w:jc w:val="center"/>
        </w:trPr>
        <w:tc>
          <w:tcPr>
            <w:tcW w:w="9411" w:type="dxa"/>
            <w:tcBorders>
              <w:left w:val="single" w:sz="18" w:space="0" w:color="B91C1C"/>
            </w:tcBorders>
            <w:shd w:val="clear" w:color="auto" w:fill="FFF6E5"/>
          </w:tcPr>
          <w:p w14:paraId="0095CFE9" w14:textId="77777777" w:rsidR="00FC207D" w:rsidRDefault="00457720">
            <w:pPr>
              <w:spacing w:after="40"/>
            </w:pPr>
            <w:r>
              <w:rPr>
                <w:b/>
                <w:color w:val="B91C1C"/>
                <w:sz w:val="20"/>
              </w:rPr>
              <w:t>Caution 2 — weekly and monthly forecasts disagree</w:t>
            </w:r>
          </w:p>
          <w:p w14:paraId="0E55D83E" w14:textId="77777777" w:rsidR="00FC207D" w:rsidRDefault="00457720">
            <w:pPr>
              <w:spacing w:after="0"/>
            </w:pPr>
            <w:r>
              <w:rPr>
                <w:sz w:val="20"/>
              </w:rPr>
              <w:t>On monthly data the model projects +28% over six months. On weekly data it projects +0.3% — essentially flat. The monthly model is the more trustworthy of the two (it explains 54% of held-out variation; the weekly model explains none), so lean on monthly for direction. But a genuine disagreement this large is itself information: the near term is far less certain than the six-month picture.</w:t>
            </w:r>
          </w:p>
        </w:tc>
      </w:tr>
    </w:tbl>
    <w:p w14:paraId="7FDBF853" w14:textId="77777777" w:rsidR="00FC207D" w:rsidRDefault="00FC207D">
      <w:pPr>
        <w:spacing w:after="80"/>
      </w:pPr>
    </w:p>
    <w:tbl>
      <w:tblPr>
        <w:tblW w:w="0" w:type="auto"/>
        <w:jc w:val="center"/>
        <w:tblLayout w:type="fixed"/>
        <w:tblLook w:val="04A0" w:firstRow="1" w:lastRow="0" w:firstColumn="1" w:lastColumn="0" w:noHBand="0" w:noVBand="1"/>
      </w:tblPr>
      <w:tblGrid>
        <w:gridCol w:w="9411"/>
      </w:tblGrid>
      <w:tr w:rsidR="00FC207D" w14:paraId="42AC8DBF" w14:textId="77777777">
        <w:trPr>
          <w:jc w:val="center"/>
        </w:trPr>
        <w:tc>
          <w:tcPr>
            <w:tcW w:w="9411" w:type="dxa"/>
            <w:tcBorders>
              <w:left w:val="single" w:sz="18" w:space="0" w:color="B91C1C"/>
            </w:tcBorders>
            <w:shd w:val="clear" w:color="auto" w:fill="FFF6E5"/>
          </w:tcPr>
          <w:p w14:paraId="34D2889E" w14:textId="77777777" w:rsidR="00FC207D" w:rsidRDefault="00457720">
            <w:pPr>
              <w:spacing w:after="40"/>
            </w:pPr>
            <w:r>
              <w:rPr>
                <w:b/>
                <w:color w:val="B91C1C"/>
                <w:sz w:val="20"/>
              </w:rPr>
              <w:t>Caution 3 — two datasets have serious holes</w:t>
            </w:r>
          </w:p>
          <w:p w14:paraId="0BCFEC65" w14:textId="77777777" w:rsidR="00FC207D" w:rsidRDefault="00457720">
            <w:pPr>
              <w:spacing w:after="0"/>
            </w:pPr>
            <w:r>
              <w:rPr>
                <w:sz w:val="20"/>
              </w:rPr>
              <w:t>The exchange-rate sheet is missing 1,119 consecutive days (15 May 2019 to 7 June 2022 — 2020 and 2021 are absent entirely), and the cold-storage stock sheet holds only six reporting months. Every currency statistic in the dashboard spans that hole, and inventory-versus-price analysis cannot be done at all.</w:t>
            </w:r>
          </w:p>
        </w:tc>
      </w:tr>
    </w:tbl>
    <w:p w14:paraId="70C6B4EC" w14:textId="77777777" w:rsidR="00FC207D" w:rsidRDefault="00FC207D">
      <w:pPr>
        <w:spacing w:after="80"/>
      </w:pPr>
    </w:p>
    <w:p w14:paraId="1217A817" w14:textId="77777777" w:rsidR="00FC207D" w:rsidRDefault="00457720">
      <w:r>
        <w:br w:type="page"/>
      </w:r>
    </w:p>
    <w:p w14:paraId="309832A1" w14:textId="77777777" w:rsidR="00FC207D" w:rsidRDefault="00457720">
      <w:pPr>
        <w:pStyle w:val="Heading1"/>
        <w:pBdr>
          <w:bottom w:val="single" w:sz="12" w:space="4" w:color="C2410C"/>
        </w:pBdr>
      </w:pPr>
      <w:bookmarkStart w:id="8" w:name="_Toc236139940"/>
      <w:r>
        <w:lastRenderedPageBreak/>
        <w:t>Part 3 — The words the dashboard uses, in plain English</w:t>
      </w:r>
      <w:bookmarkEnd w:id="8"/>
    </w:p>
    <w:p w14:paraId="59DB0DC6" w14:textId="77777777" w:rsidR="00FC207D" w:rsidRDefault="00457720">
      <w:r>
        <w:t>Fifteen terms account for almost every statistic on the screen. You do not need the mathematics; you need to know what a high or low value means for a decision.</w:t>
      </w:r>
    </w:p>
    <w:tbl>
      <w:tblPr>
        <w:tblStyle w:val="TableGrid"/>
        <w:tblW w:w="0" w:type="auto"/>
        <w:jc w:val="center"/>
        <w:tblLayout w:type="fixed"/>
        <w:tblLook w:val="04A0" w:firstRow="1" w:lastRow="0" w:firstColumn="1" w:lastColumn="0" w:noHBand="0" w:noVBand="1"/>
      </w:tblPr>
      <w:tblGrid>
        <w:gridCol w:w="1701"/>
        <w:gridCol w:w="3572"/>
        <w:gridCol w:w="4139"/>
      </w:tblGrid>
      <w:tr w:rsidR="00FC207D" w14:paraId="713D8935" w14:textId="77777777">
        <w:trPr>
          <w:jc w:val="center"/>
        </w:trPr>
        <w:tc>
          <w:tcPr>
            <w:tcW w:w="1701" w:type="dxa"/>
            <w:shd w:val="clear" w:color="auto" w:fill="1A2027"/>
          </w:tcPr>
          <w:p w14:paraId="43AC431D" w14:textId="77777777" w:rsidR="00FC207D" w:rsidRDefault="00457720">
            <w:pPr>
              <w:spacing w:before="20" w:after="20"/>
            </w:pPr>
            <w:r>
              <w:rPr>
                <w:b/>
                <w:color w:val="FFFFFF"/>
                <w:sz w:val="17"/>
              </w:rPr>
              <w:t>Term</w:t>
            </w:r>
          </w:p>
        </w:tc>
        <w:tc>
          <w:tcPr>
            <w:tcW w:w="3572" w:type="dxa"/>
            <w:shd w:val="clear" w:color="auto" w:fill="1A2027"/>
          </w:tcPr>
          <w:p w14:paraId="429795BD" w14:textId="77777777" w:rsidR="00FC207D" w:rsidRDefault="00457720">
            <w:pPr>
              <w:spacing w:before="20" w:after="20"/>
            </w:pPr>
            <w:r>
              <w:rPr>
                <w:b/>
                <w:color w:val="FFFFFF"/>
                <w:sz w:val="17"/>
              </w:rPr>
              <w:t>In plain words</w:t>
            </w:r>
          </w:p>
        </w:tc>
        <w:tc>
          <w:tcPr>
            <w:tcW w:w="4139" w:type="dxa"/>
            <w:shd w:val="clear" w:color="auto" w:fill="1A2027"/>
          </w:tcPr>
          <w:p w14:paraId="4C584435" w14:textId="77777777" w:rsidR="00FC207D" w:rsidRDefault="00457720">
            <w:pPr>
              <w:spacing w:before="20" w:after="20"/>
            </w:pPr>
            <w:r>
              <w:rPr>
                <w:b/>
                <w:color w:val="FFFFFF"/>
                <w:sz w:val="17"/>
              </w:rPr>
              <w:t>How to judge the number</w:t>
            </w:r>
          </w:p>
        </w:tc>
      </w:tr>
      <w:tr w:rsidR="00FC207D" w14:paraId="6DC3B5FF" w14:textId="77777777">
        <w:trPr>
          <w:jc w:val="center"/>
        </w:trPr>
        <w:tc>
          <w:tcPr>
            <w:tcW w:w="1701" w:type="dxa"/>
          </w:tcPr>
          <w:p w14:paraId="60C59BEE" w14:textId="77777777" w:rsidR="00FC207D" w:rsidRDefault="00457720">
            <w:pPr>
              <w:spacing w:before="20" w:after="20"/>
            </w:pPr>
            <w:r>
              <w:rPr>
                <w:b/>
                <w:sz w:val="17"/>
              </w:rPr>
              <w:t>Correlation (r)</w:t>
            </w:r>
          </w:p>
        </w:tc>
        <w:tc>
          <w:tcPr>
            <w:tcW w:w="3572" w:type="dxa"/>
          </w:tcPr>
          <w:p w14:paraId="17FBE609" w14:textId="77777777" w:rsidR="00FC207D" w:rsidRDefault="00457720">
            <w:pPr>
              <w:spacing w:before="20" w:after="20"/>
            </w:pPr>
            <w:r>
              <w:rPr>
                <w:sz w:val="17"/>
              </w:rPr>
              <w:t>How closely two things move together, from −1 to +1.</w:t>
            </w:r>
          </w:p>
        </w:tc>
        <w:tc>
          <w:tcPr>
            <w:tcW w:w="4139" w:type="dxa"/>
          </w:tcPr>
          <w:p w14:paraId="35B4A250" w14:textId="77777777" w:rsidR="00FC207D" w:rsidRDefault="00457720">
            <w:pPr>
              <w:spacing w:before="20" w:after="20"/>
            </w:pPr>
            <w:r>
              <w:rPr>
                <w:sz w:val="17"/>
              </w:rPr>
              <w:t>Above 0.7 strong; 0.5–0.7 moderate; below 0.3 ignore it. Negative means they move in opposite directions.</w:t>
            </w:r>
          </w:p>
        </w:tc>
      </w:tr>
      <w:tr w:rsidR="00FC207D" w14:paraId="50EAB529" w14:textId="77777777">
        <w:trPr>
          <w:jc w:val="center"/>
        </w:trPr>
        <w:tc>
          <w:tcPr>
            <w:tcW w:w="1701" w:type="dxa"/>
            <w:shd w:val="clear" w:color="auto" w:fill="EEF1F5"/>
          </w:tcPr>
          <w:p w14:paraId="0829D6CD" w14:textId="77777777" w:rsidR="00FC207D" w:rsidRDefault="00457720">
            <w:pPr>
              <w:spacing w:before="20" w:after="20"/>
            </w:pPr>
            <w:r>
              <w:rPr>
                <w:b/>
                <w:sz w:val="17"/>
              </w:rPr>
              <w:t>p-value</w:t>
            </w:r>
          </w:p>
        </w:tc>
        <w:tc>
          <w:tcPr>
            <w:tcW w:w="3572" w:type="dxa"/>
            <w:shd w:val="clear" w:color="auto" w:fill="EEF1F5"/>
          </w:tcPr>
          <w:p w14:paraId="48221DF6" w14:textId="77777777" w:rsidR="00FC207D" w:rsidRDefault="00457720">
            <w:pPr>
              <w:spacing w:before="20" w:after="20"/>
            </w:pPr>
            <w:r>
              <w:rPr>
                <w:sz w:val="17"/>
              </w:rPr>
              <w:t>The chance that a pattern this strong could appear by pure luck.</w:t>
            </w:r>
          </w:p>
        </w:tc>
        <w:tc>
          <w:tcPr>
            <w:tcW w:w="4139" w:type="dxa"/>
            <w:shd w:val="clear" w:color="auto" w:fill="EEF1F5"/>
          </w:tcPr>
          <w:p w14:paraId="5FE435A4" w14:textId="77777777" w:rsidR="00FC207D" w:rsidRDefault="00457720">
            <w:pPr>
              <w:spacing w:before="20" w:after="20"/>
            </w:pPr>
            <w:r>
              <w:rPr>
                <w:sz w:val="17"/>
              </w:rPr>
              <w:t>Below 0.05 the pattern is worth believing. Above 0.05 treat it as unproven, however good the chart looks.</w:t>
            </w:r>
          </w:p>
        </w:tc>
      </w:tr>
      <w:tr w:rsidR="00FC207D" w14:paraId="7B857842" w14:textId="77777777">
        <w:trPr>
          <w:jc w:val="center"/>
        </w:trPr>
        <w:tc>
          <w:tcPr>
            <w:tcW w:w="1701" w:type="dxa"/>
          </w:tcPr>
          <w:p w14:paraId="5734C4E7" w14:textId="77777777" w:rsidR="00FC207D" w:rsidRDefault="00457720">
            <w:pPr>
              <w:spacing w:before="20" w:after="20"/>
            </w:pPr>
            <w:r>
              <w:rPr>
                <w:b/>
                <w:sz w:val="17"/>
              </w:rPr>
              <w:t>Significant</w:t>
            </w:r>
          </w:p>
        </w:tc>
        <w:tc>
          <w:tcPr>
            <w:tcW w:w="3572" w:type="dxa"/>
          </w:tcPr>
          <w:p w14:paraId="1E72B80C" w14:textId="77777777" w:rsidR="00FC207D" w:rsidRDefault="00457720">
            <w:pPr>
              <w:spacing w:before="20" w:after="20"/>
            </w:pPr>
            <w:r>
              <w:rPr>
                <w:sz w:val="17"/>
              </w:rPr>
              <w:t>Shorthand for “p-value below 0.05”.</w:t>
            </w:r>
          </w:p>
        </w:tc>
        <w:tc>
          <w:tcPr>
            <w:tcW w:w="4139" w:type="dxa"/>
          </w:tcPr>
          <w:p w14:paraId="320B6DF1" w14:textId="77777777" w:rsidR="00FC207D" w:rsidRDefault="00457720">
            <w:pPr>
              <w:spacing w:before="20" w:after="20"/>
            </w:pPr>
            <w:r>
              <w:rPr>
                <w:sz w:val="17"/>
              </w:rPr>
              <w:t>Not the same as “large”. A significant effect can still be tiny — the arrivals elasticity is exactly that.</w:t>
            </w:r>
          </w:p>
        </w:tc>
      </w:tr>
      <w:tr w:rsidR="00FC207D" w14:paraId="7DA88785" w14:textId="77777777">
        <w:trPr>
          <w:jc w:val="center"/>
        </w:trPr>
        <w:tc>
          <w:tcPr>
            <w:tcW w:w="1701" w:type="dxa"/>
            <w:shd w:val="clear" w:color="auto" w:fill="EEF1F5"/>
          </w:tcPr>
          <w:p w14:paraId="4A6387A5" w14:textId="77777777" w:rsidR="00FC207D" w:rsidRDefault="00457720">
            <w:pPr>
              <w:spacing w:before="20" w:after="20"/>
            </w:pPr>
            <w:r>
              <w:rPr>
                <w:b/>
                <w:sz w:val="17"/>
              </w:rPr>
              <w:t>Lag / lead</w:t>
            </w:r>
          </w:p>
        </w:tc>
        <w:tc>
          <w:tcPr>
            <w:tcW w:w="3572" w:type="dxa"/>
            <w:shd w:val="clear" w:color="auto" w:fill="EEF1F5"/>
          </w:tcPr>
          <w:p w14:paraId="67578E98" w14:textId="77777777" w:rsidR="00FC207D" w:rsidRDefault="00457720">
            <w:pPr>
              <w:spacing w:before="20" w:after="20"/>
            </w:pPr>
            <w:r>
              <w:rPr>
                <w:sz w:val="17"/>
              </w:rPr>
              <w:t>How far ahead one series moves before another follows.</w:t>
            </w:r>
          </w:p>
        </w:tc>
        <w:tc>
          <w:tcPr>
            <w:tcW w:w="4139" w:type="dxa"/>
            <w:shd w:val="clear" w:color="auto" w:fill="EEF1F5"/>
          </w:tcPr>
          <w:p w14:paraId="25064C44" w14:textId="77777777" w:rsidR="00FC207D" w:rsidRDefault="00457720">
            <w:pPr>
              <w:spacing w:before="20" w:after="20"/>
            </w:pPr>
            <w:r>
              <w:rPr>
                <w:sz w:val="17"/>
              </w:rPr>
              <w:t>A lead of 0 means they move on the same day, so there is no head start to trade on.</w:t>
            </w:r>
          </w:p>
        </w:tc>
      </w:tr>
      <w:tr w:rsidR="00FC207D" w14:paraId="78C9E869" w14:textId="77777777">
        <w:trPr>
          <w:jc w:val="center"/>
        </w:trPr>
        <w:tc>
          <w:tcPr>
            <w:tcW w:w="1701" w:type="dxa"/>
          </w:tcPr>
          <w:p w14:paraId="4563E9B5" w14:textId="77777777" w:rsidR="00FC207D" w:rsidRDefault="00457720">
            <w:pPr>
              <w:spacing w:before="20" w:after="20"/>
            </w:pPr>
            <w:r>
              <w:rPr>
                <w:b/>
                <w:sz w:val="17"/>
              </w:rPr>
              <w:t>Granger causality</w:t>
            </w:r>
          </w:p>
        </w:tc>
        <w:tc>
          <w:tcPr>
            <w:tcW w:w="3572" w:type="dxa"/>
          </w:tcPr>
          <w:p w14:paraId="2509B047" w14:textId="77777777" w:rsidR="00FC207D" w:rsidRDefault="00457720">
            <w:pPr>
              <w:spacing w:before="20" w:after="20"/>
            </w:pPr>
            <w:r>
              <w:rPr>
                <w:sz w:val="17"/>
              </w:rPr>
              <w:t>Whether yesterday's values of A help predict tomorrow's B.</w:t>
            </w:r>
          </w:p>
        </w:tc>
        <w:tc>
          <w:tcPr>
            <w:tcW w:w="4139" w:type="dxa"/>
          </w:tcPr>
          <w:p w14:paraId="7FBC605E" w14:textId="77777777" w:rsidR="00FC207D" w:rsidRDefault="00457720">
            <w:pPr>
              <w:spacing w:before="20" w:after="20"/>
            </w:pPr>
            <w:r>
              <w:rPr>
                <w:sz w:val="17"/>
              </w:rPr>
              <w:t>It shows which series carries information first. It does not prove one causes the other.</w:t>
            </w:r>
          </w:p>
        </w:tc>
      </w:tr>
      <w:tr w:rsidR="00FC207D" w14:paraId="084DC382" w14:textId="77777777">
        <w:trPr>
          <w:jc w:val="center"/>
        </w:trPr>
        <w:tc>
          <w:tcPr>
            <w:tcW w:w="1701" w:type="dxa"/>
            <w:shd w:val="clear" w:color="auto" w:fill="EEF1F5"/>
          </w:tcPr>
          <w:p w14:paraId="74E6047E" w14:textId="77777777" w:rsidR="00FC207D" w:rsidRDefault="00457720">
            <w:pPr>
              <w:spacing w:before="20" w:after="20"/>
            </w:pPr>
            <w:r>
              <w:rPr>
                <w:b/>
                <w:sz w:val="17"/>
              </w:rPr>
              <w:t>One-way vs feedback</w:t>
            </w:r>
          </w:p>
        </w:tc>
        <w:tc>
          <w:tcPr>
            <w:tcW w:w="3572" w:type="dxa"/>
            <w:shd w:val="clear" w:color="auto" w:fill="EEF1F5"/>
          </w:tcPr>
          <w:p w14:paraId="37475BD2" w14:textId="77777777" w:rsidR="00FC207D" w:rsidRDefault="00457720">
            <w:pPr>
              <w:spacing w:before="20" w:after="20"/>
            </w:pPr>
            <w:r>
              <w:rPr>
                <w:sz w:val="17"/>
              </w:rPr>
              <w:t>Whether influence runs in one direction only, or both ways.</w:t>
            </w:r>
          </w:p>
        </w:tc>
        <w:tc>
          <w:tcPr>
            <w:tcW w:w="4139" w:type="dxa"/>
            <w:shd w:val="clear" w:color="auto" w:fill="EEF1F5"/>
          </w:tcPr>
          <w:p w14:paraId="479A5F7B" w14:textId="77777777" w:rsidR="00FC207D" w:rsidRDefault="00457720">
            <w:pPr>
              <w:spacing w:before="20" w:after="20"/>
            </w:pPr>
            <w:r>
              <w:rPr>
                <w:sz w:val="17"/>
              </w:rPr>
              <w:t>One-way is real leadership. Feedback means both markets set each other's price — normal in a well-arbitraged trade.</w:t>
            </w:r>
          </w:p>
        </w:tc>
      </w:tr>
      <w:tr w:rsidR="00FC207D" w14:paraId="33405C9D" w14:textId="77777777">
        <w:trPr>
          <w:jc w:val="center"/>
        </w:trPr>
        <w:tc>
          <w:tcPr>
            <w:tcW w:w="1701" w:type="dxa"/>
          </w:tcPr>
          <w:p w14:paraId="2A521331" w14:textId="77777777" w:rsidR="00FC207D" w:rsidRDefault="00457720">
            <w:pPr>
              <w:spacing w:before="20" w:after="20"/>
            </w:pPr>
            <w:r>
              <w:rPr>
                <w:b/>
                <w:sz w:val="17"/>
              </w:rPr>
              <w:t>Cointegration</w:t>
            </w:r>
          </w:p>
        </w:tc>
        <w:tc>
          <w:tcPr>
            <w:tcW w:w="3572" w:type="dxa"/>
          </w:tcPr>
          <w:p w14:paraId="29B704C9" w14:textId="77777777" w:rsidR="00FC207D" w:rsidRDefault="00457720">
            <w:pPr>
              <w:spacing w:before="20" w:after="20"/>
            </w:pPr>
            <w:r>
              <w:rPr>
                <w:sz w:val="17"/>
              </w:rPr>
              <w:t>Two prices tied by a long-run relationship they cannot escape.</w:t>
            </w:r>
          </w:p>
        </w:tc>
        <w:tc>
          <w:tcPr>
            <w:tcW w:w="4139" w:type="dxa"/>
          </w:tcPr>
          <w:p w14:paraId="6D3F5F85" w14:textId="77777777" w:rsidR="00FC207D" w:rsidRDefault="00457720">
            <w:pPr>
              <w:spacing w:before="20" w:after="20"/>
            </w:pPr>
            <w:r>
              <w:rPr>
                <w:sz w:val="17"/>
              </w:rPr>
              <w:t>If cointegrated, an unusually wide spread will close. If not, a spread can keep widening indefinitely.</w:t>
            </w:r>
          </w:p>
        </w:tc>
      </w:tr>
      <w:tr w:rsidR="00FC207D" w14:paraId="1772C755" w14:textId="77777777">
        <w:trPr>
          <w:jc w:val="center"/>
        </w:trPr>
        <w:tc>
          <w:tcPr>
            <w:tcW w:w="1701" w:type="dxa"/>
            <w:shd w:val="clear" w:color="auto" w:fill="EEF1F5"/>
          </w:tcPr>
          <w:p w14:paraId="472DD112" w14:textId="77777777" w:rsidR="00FC207D" w:rsidRDefault="00457720">
            <w:pPr>
              <w:spacing w:before="20" w:after="20"/>
            </w:pPr>
            <w:r>
              <w:rPr>
                <w:b/>
                <w:sz w:val="17"/>
              </w:rPr>
              <w:t>Elasticity</w:t>
            </w:r>
          </w:p>
        </w:tc>
        <w:tc>
          <w:tcPr>
            <w:tcW w:w="3572" w:type="dxa"/>
            <w:shd w:val="clear" w:color="auto" w:fill="EEF1F5"/>
          </w:tcPr>
          <w:p w14:paraId="43BA77CE" w14:textId="77777777" w:rsidR="00FC207D" w:rsidRDefault="00457720">
            <w:pPr>
              <w:spacing w:before="20" w:after="20"/>
            </w:pPr>
            <w:r>
              <w:rPr>
                <w:sz w:val="17"/>
              </w:rPr>
              <w:t>The % change in price caused by a 1% change in arrivals.</w:t>
            </w:r>
          </w:p>
        </w:tc>
        <w:tc>
          <w:tcPr>
            <w:tcW w:w="4139" w:type="dxa"/>
            <w:shd w:val="clear" w:color="auto" w:fill="EEF1F5"/>
          </w:tcPr>
          <w:p w14:paraId="6392F2A0" w14:textId="77777777" w:rsidR="00FC207D" w:rsidRDefault="00457720">
            <w:pPr>
              <w:spacing w:before="20" w:after="20"/>
            </w:pPr>
            <w:r>
              <w:rPr>
                <w:sz w:val="17"/>
              </w:rPr>
              <w:t>−</w:t>
            </w:r>
            <w:r>
              <w:rPr>
                <w:sz w:val="17"/>
              </w:rPr>
              <w:t>0.50 would be a strong supply effect. The value here is about −0.01, which is almost nothing.</w:t>
            </w:r>
          </w:p>
        </w:tc>
      </w:tr>
      <w:tr w:rsidR="00FC207D" w14:paraId="0E58EF7A" w14:textId="77777777">
        <w:trPr>
          <w:jc w:val="center"/>
        </w:trPr>
        <w:tc>
          <w:tcPr>
            <w:tcW w:w="1701" w:type="dxa"/>
          </w:tcPr>
          <w:p w14:paraId="2955CE3D" w14:textId="77777777" w:rsidR="00FC207D" w:rsidRDefault="00457720">
            <w:pPr>
              <w:spacing w:before="20" w:after="20"/>
            </w:pPr>
            <w:r>
              <w:rPr>
                <w:b/>
                <w:sz w:val="17"/>
              </w:rPr>
              <w:t>Seasonal index</w:t>
            </w:r>
          </w:p>
        </w:tc>
        <w:tc>
          <w:tcPr>
            <w:tcW w:w="3572" w:type="dxa"/>
          </w:tcPr>
          <w:p w14:paraId="5BD5C324" w14:textId="77777777" w:rsidR="00FC207D" w:rsidRDefault="00457720">
            <w:pPr>
              <w:spacing w:before="20" w:after="20"/>
            </w:pPr>
            <w:r>
              <w:rPr>
                <w:sz w:val="17"/>
              </w:rPr>
              <w:t>How a calendar month compares with the yearly average.</w:t>
            </w:r>
          </w:p>
        </w:tc>
        <w:tc>
          <w:tcPr>
            <w:tcW w:w="4139" w:type="dxa"/>
          </w:tcPr>
          <w:p w14:paraId="32AC12C5" w14:textId="77777777" w:rsidR="00FC207D" w:rsidRDefault="00457720">
            <w:pPr>
              <w:spacing w:before="20" w:after="20"/>
            </w:pPr>
            <w:r>
              <w:rPr>
                <w:sz w:val="17"/>
              </w:rPr>
              <w:t>1.08 means that month usually runs 8% above average. 0.90 means 10% below.</w:t>
            </w:r>
          </w:p>
        </w:tc>
      </w:tr>
      <w:tr w:rsidR="00FC207D" w14:paraId="56B7D97E" w14:textId="77777777">
        <w:trPr>
          <w:jc w:val="center"/>
        </w:trPr>
        <w:tc>
          <w:tcPr>
            <w:tcW w:w="1701" w:type="dxa"/>
            <w:shd w:val="clear" w:color="auto" w:fill="EEF1F5"/>
          </w:tcPr>
          <w:p w14:paraId="04E7E1FB" w14:textId="77777777" w:rsidR="00FC207D" w:rsidRDefault="00457720">
            <w:pPr>
              <w:spacing w:before="20" w:after="20"/>
            </w:pPr>
            <w:r>
              <w:rPr>
                <w:b/>
                <w:sz w:val="17"/>
              </w:rPr>
              <w:t>Stationary / differencing</w:t>
            </w:r>
          </w:p>
        </w:tc>
        <w:tc>
          <w:tcPr>
            <w:tcW w:w="3572" w:type="dxa"/>
            <w:shd w:val="clear" w:color="auto" w:fill="EEF1F5"/>
          </w:tcPr>
          <w:p w14:paraId="4ED518AC" w14:textId="77777777" w:rsidR="00FC207D" w:rsidRDefault="00457720">
            <w:pPr>
              <w:spacing w:before="20" w:after="20"/>
            </w:pPr>
            <w:r>
              <w:rPr>
                <w:sz w:val="17"/>
              </w:rPr>
              <w:t>Whether a series wanders with no anchor (like a price) or returns to a level.</w:t>
            </w:r>
          </w:p>
        </w:tc>
        <w:tc>
          <w:tcPr>
            <w:tcW w:w="4139" w:type="dxa"/>
            <w:shd w:val="clear" w:color="auto" w:fill="EEF1F5"/>
          </w:tcPr>
          <w:p w14:paraId="60206B0E" w14:textId="77777777" w:rsidR="00FC207D" w:rsidRDefault="00457720">
            <w:pPr>
              <w:spacing w:before="20" w:after="20"/>
            </w:pPr>
            <w:r>
              <w:rPr>
                <w:sz w:val="17"/>
              </w:rPr>
              <w:t>Prices here wander, so the models work on period-to-period changes rather than levels. Purely technical.</w:t>
            </w:r>
          </w:p>
        </w:tc>
      </w:tr>
      <w:tr w:rsidR="00FC207D" w14:paraId="6B720474" w14:textId="77777777">
        <w:trPr>
          <w:jc w:val="center"/>
        </w:trPr>
        <w:tc>
          <w:tcPr>
            <w:tcW w:w="1701" w:type="dxa"/>
          </w:tcPr>
          <w:p w14:paraId="661F95B5" w14:textId="77777777" w:rsidR="00FC207D" w:rsidRDefault="00457720">
            <w:pPr>
              <w:spacing w:before="20" w:after="20"/>
            </w:pPr>
            <w:r>
              <w:rPr>
                <w:b/>
                <w:sz w:val="17"/>
              </w:rPr>
              <w:t>Confidence interval (80%)</w:t>
            </w:r>
          </w:p>
        </w:tc>
        <w:tc>
          <w:tcPr>
            <w:tcW w:w="3572" w:type="dxa"/>
          </w:tcPr>
          <w:p w14:paraId="64BF1FE9" w14:textId="77777777" w:rsidR="00FC207D" w:rsidRDefault="00457720">
            <w:pPr>
              <w:spacing w:before="20" w:after="20"/>
            </w:pPr>
            <w:r>
              <w:rPr>
                <w:sz w:val="17"/>
              </w:rPr>
              <w:t>The model's own estimate of its uncertainty.</w:t>
            </w:r>
          </w:p>
        </w:tc>
        <w:tc>
          <w:tcPr>
            <w:tcW w:w="4139" w:type="dxa"/>
          </w:tcPr>
          <w:p w14:paraId="133821B6" w14:textId="77777777" w:rsidR="00FC207D" w:rsidRDefault="00457720">
            <w:pPr>
              <w:spacing w:before="20" w:after="20"/>
            </w:pPr>
            <w:r>
              <w:rPr>
                <w:sz w:val="17"/>
              </w:rPr>
              <w:t>Usually too narrow, because it assumes the model itself is right.</w:t>
            </w:r>
          </w:p>
        </w:tc>
      </w:tr>
      <w:tr w:rsidR="00FC207D" w14:paraId="4A17D619" w14:textId="77777777">
        <w:trPr>
          <w:jc w:val="center"/>
        </w:trPr>
        <w:tc>
          <w:tcPr>
            <w:tcW w:w="1701" w:type="dxa"/>
            <w:shd w:val="clear" w:color="auto" w:fill="EEF1F5"/>
          </w:tcPr>
          <w:p w14:paraId="1021BEF8" w14:textId="77777777" w:rsidR="00FC207D" w:rsidRDefault="00457720">
            <w:pPr>
              <w:spacing w:before="20" w:after="20"/>
            </w:pPr>
            <w:r>
              <w:rPr>
                <w:b/>
                <w:sz w:val="17"/>
              </w:rPr>
              <w:t>Prediction interval (95%)</w:t>
            </w:r>
          </w:p>
        </w:tc>
        <w:tc>
          <w:tcPr>
            <w:tcW w:w="3572" w:type="dxa"/>
            <w:shd w:val="clear" w:color="auto" w:fill="EEF1F5"/>
          </w:tcPr>
          <w:p w14:paraId="79A7E810" w14:textId="77777777" w:rsidR="00FC207D" w:rsidRDefault="00457720">
            <w:pPr>
              <w:spacing w:before="20" w:after="20"/>
            </w:pPr>
            <w:r>
              <w:rPr>
                <w:sz w:val="17"/>
              </w:rPr>
              <w:t>The same range widened by the errors the model actually made in past tests.</w:t>
            </w:r>
          </w:p>
        </w:tc>
        <w:tc>
          <w:tcPr>
            <w:tcW w:w="4139" w:type="dxa"/>
            <w:shd w:val="clear" w:color="auto" w:fill="EEF1F5"/>
          </w:tcPr>
          <w:p w14:paraId="397EA1F4" w14:textId="77777777" w:rsidR="00FC207D" w:rsidRDefault="00457720">
            <w:pPr>
              <w:spacing w:before="20" w:after="20"/>
            </w:pPr>
            <w:r>
              <w:rPr>
                <w:sz w:val="17"/>
              </w:rPr>
              <w:t>This is the honest planning range. Use this one.</w:t>
            </w:r>
          </w:p>
        </w:tc>
      </w:tr>
      <w:tr w:rsidR="00FC207D" w14:paraId="6F179982" w14:textId="77777777">
        <w:trPr>
          <w:jc w:val="center"/>
        </w:trPr>
        <w:tc>
          <w:tcPr>
            <w:tcW w:w="1701" w:type="dxa"/>
          </w:tcPr>
          <w:p w14:paraId="0F7D495D" w14:textId="77777777" w:rsidR="00FC207D" w:rsidRDefault="00457720">
            <w:pPr>
              <w:spacing w:before="20" w:after="20"/>
            </w:pPr>
            <w:r>
              <w:rPr>
                <w:b/>
                <w:sz w:val="17"/>
              </w:rPr>
              <w:t>Backtest</w:t>
            </w:r>
          </w:p>
        </w:tc>
        <w:tc>
          <w:tcPr>
            <w:tcW w:w="3572" w:type="dxa"/>
          </w:tcPr>
          <w:p w14:paraId="547424D0" w14:textId="77777777" w:rsidR="00FC207D" w:rsidRDefault="00457720">
            <w:pPr>
              <w:spacing w:before="20" w:after="20"/>
            </w:pPr>
            <w:r>
              <w:rPr>
                <w:sz w:val="17"/>
              </w:rPr>
              <w:t>Re-running the model on history it had not seen, to check it.</w:t>
            </w:r>
          </w:p>
        </w:tc>
        <w:tc>
          <w:tcPr>
            <w:tcW w:w="4139" w:type="dxa"/>
          </w:tcPr>
          <w:p w14:paraId="06B529F7" w14:textId="77777777" w:rsidR="00FC207D" w:rsidRDefault="00457720">
            <w:pPr>
              <w:spacing w:before="20" w:after="20"/>
            </w:pPr>
            <w:r>
              <w:rPr>
                <w:sz w:val="17"/>
              </w:rPr>
              <w:t>More folds and more held-out points means a more trustworthy score.</w:t>
            </w:r>
          </w:p>
        </w:tc>
      </w:tr>
      <w:tr w:rsidR="00FC207D" w14:paraId="59859356" w14:textId="77777777">
        <w:trPr>
          <w:jc w:val="center"/>
        </w:trPr>
        <w:tc>
          <w:tcPr>
            <w:tcW w:w="1701" w:type="dxa"/>
            <w:shd w:val="clear" w:color="auto" w:fill="EEF1F5"/>
          </w:tcPr>
          <w:p w14:paraId="7768F394" w14:textId="77777777" w:rsidR="00FC207D" w:rsidRDefault="00457720">
            <w:pPr>
              <w:spacing w:before="20" w:after="20"/>
            </w:pPr>
            <w:r>
              <w:rPr>
                <w:b/>
                <w:sz w:val="17"/>
              </w:rPr>
              <w:t>RMSE / MAPE</w:t>
            </w:r>
          </w:p>
        </w:tc>
        <w:tc>
          <w:tcPr>
            <w:tcW w:w="3572" w:type="dxa"/>
            <w:shd w:val="clear" w:color="auto" w:fill="EEF1F5"/>
          </w:tcPr>
          <w:p w14:paraId="10556F94" w14:textId="77777777" w:rsidR="00FC207D" w:rsidRDefault="00457720">
            <w:pPr>
              <w:spacing w:before="20" w:after="20"/>
            </w:pPr>
            <w:r>
              <w:rPr>
                <w:sz w:val="17"/>
              </w:rPr>
              <w:t>Average size of past mistakes, in rupees and in percent.</w:t>
            </w:r>
          </w:p>
        </w:tc>
        <w:tc>
          <w:tcPr>
            <w:tcW w:w="4139" w:type="dxa"/>
            <w:shd w:val="clear" w:color="auto" w:fill="EEF1F5"/>
          </w:tcPr>
          <w:p w14:paraId="38A62927" w14:textId="77777777" w:rsidR="00FC207D" w:rsidRDefault="00457720">
            <w:pPr>
              <w:spacing w:before="20" w:after="20"/>
            </w:pPr>
            <w:r>
              <w:rPr>
                <w:sz w:val="17"/>
              </w:rPr>
              <w:t>Lower is better. MAPE of 8% means the model was typically off by 8%.</w:t>
            </w:r>
          </w:p>
        </w:tc>
      </w:tr>
      <w:tr w:rsidR="00FC207D" w14:paraId="429D2C40" w14:textId="77777777">
        <w:trPr>
          <w:jc w:val="center"/>
        </w:trPr>
        <w:tc>
          <w:tcPr>
            <w:tcW w:w="1701" w:type="dxa"/>
          </w:tcPr>
          <w:p w14:paraId="74721FBC" w14:textId="77777777" w:rsidR="00FC207D" w:rsidRDefault="00457720">
            <w:pPr>
              <w:spacing w:before="20" w:after="20"/>
            </w:pPr>
            <w:r>
              <w:rPr>
                <w:b/>
                <w:sz w:val="17"/>
              </w:rPr>
              <w:t>Directional accuracy</w:t>
            </w:r>
          </w:p>
        </w:tc>
        <w:tc>
          <w:tcPr>
            <w:tcW w:w="3572" w:type="dxa"/>
          </w:tcPr>
          <w:p w14:paraId="593852CD" w14:textId="77777777" w:rsidR="00FC207D" w:rsidRDefault="00457720">
            <w:pPr>
              <w:spacing w:before="20" w:after="20"/>
            </w:pPr>
            <w:r>
              <w:rPr>
                <w:sz w:val="17"/>
              </w:rPr>
              <w:t>How often the model got up-or-down right from today's price.</w:t>
            </w:r>
          </w:p>
        </w:tc>
        <w:tc>
          <w:tcPr>
            <w:tcW w:w="4139" w:type="dxa"/>
          </w:tcPr>
          <w:p w14:paraId="60CD64B4" w14:textId="77777777" w:rsidR="00FC207D" w:rsidRDefault="00457720">
            <w:pPr>
              <w:spacing w:before="20" w:after="20"/>
            </w:pPr>
            <w:r>
              <w:rPr>
                <w:sz w:val="17"/>
              </w:rPr>
              <w:t>Above 55% is useful. Near 50% is a coin toss.</w:t>
            </w:r>
          </w:p>
        </w:tc>
      </w:tr>
      <w:tr w:rsidR="00FC207D" w14:paraId="066270AB" w14:textId="77777777">
        <w:trPr>
          <w:jc w:val="center"/>
        </w:trPr>
        <w:tc>
          <w:tcPr>
            <w:tcW w:w="1701" w:type="dxa"/>
            <w:shd w:val="clear" w:color="auto" w:fill="EEF1F5"/>
          </w:tcPr>
          <w:p w14:paraId="22B76B71" w14:textId="77777777" w:rsidR="00FC207D" w:rsidRDefault="00457720">
            <w:pPr>
              <w:spacing w:before="20" w:after="20"/>
            </w:pPr>
            <w:r>
              <w:rPr>
                <w:b/>
                <w:sz w:val="17"/>
              </w:rPr>
              <w:t>R² (out of sample)</w:t>
            </w:r>
          </w:p>
        </w:tc>
        <w:tc>
          <w:tcPr>
            <w:tcW w:w="3572" w:type="dxa"/>
            <w:shd w:val="clear" w:color="auto" w:fill="EEF1F5"/>
          </w:tcPr>
          <w:p w14:paraId="71A19FDF" w14:textId="77777777" w:rsidR="00FC207D" w:rsidRDefault="00457720">
            <w:pPr>
              <w:spacing w:before="20" w:after="20"/>
            </w:pPr>
            <w:r>
              <w:rPr>
                <w:sz w:val="17"/>
              </w:rPr>
              <w:t>How much of the real movement the model explained on unseen data.</w:t>
            </w:r>
          </w:p>
        </w:tc>
        <w:tc>
          <w:tcPr>
            <w:tcW w:w="4139" w:type="dxa"/>
            <w:shd w:val="clear" w:color="auto" w:fill="EEF1F5"/>
          </w:tcPr>
          <w:p w14:paraId="607F1556" w14:textId="77777777" w:rsidR="00FC207D" w:rsidRDefault="00457720">
            <w:pPr>
              <w:spacing w:before="20" w:after="20"/>
            </w:pPr>
            <w:r>
              <w:rPr>
                <w:sz w:val="17"/>
              </w:rPr>
              <w:t>Can be negative. Negative means a flat line would have beaten the model.</w:t>
            </w:r>
          </w:p>
        </w:tc>
      </w:tr>
      <w:tr w:rsidR="00FC207D" w14:paraId="1B6E345B" w14:textId="77777777">
        <w:trPr>
          <w:jc w:val="center"/>
        </w:trPr>
        <w:tc>
          <w:tcPr>
            <w:tcW w:w="1701" w:type="dxa"/>
          </w:tcPr>
          <w:p w14:paraId="0988FD3B" w14:textId="77777777" w:rsidR="00FC207D" w:rsidRDefault="00457720">
            <w:pPr>
              <w:spacing w:before="20" w:after="20"/>
            </w:pPr>
            <w:r>
              <w:rPr>
                <w:b/>
                <w:sz w:val="17"/>
              </w:rPr>
              <w:t>VIF</w:t>
            </w:r>
          </w:p>
        </w:tc>
        <w:tc>
          <w:tcPr>
            <w:tcW w:w="3572" w:type="dxa"/>
          </w:tcPr>
          <w:p w14:paraId="6767813F" w14:textId="77777777" w:rsidR="00FC207D" w:rsidRDefault="00457720">
            <w:pPr>
              <w:spacing w:before="20" w:after="20"/>
            </w:pPr>
            <w:r>
              <w:rPr>
                <w:sz w:val="17"/>
              </w:rPr>
              <w:t>Whether two drivers are really telling you the same thing.</w:t>
            </w:r>
          </w:p>
        </w:tc>
        <w:tc>
          <w:tcPr>
            <w:tcW w:w="4139" w:type="dxa"/>
          </w:tcPr>
          <w:p w14:paraId="08D62C4D" w14:textId="77777777" w:rsidR="00FC207D" w:rsidRDefault="00457720">
            <w:pPr>
              <w:spacing w:before="20" w:after="20"/>
            </w:pPr>
            <w:r>
              <w:rPr>
                <w:sz w:val="17"/>
              </w:rPr>
              <w:t>Above 5 they overlap; you cannot credit an effect to one rather than the other.</w:t>
            </w:r>
          </w:p>
        </w:tc>
      </w:tr>
    </w:tbl>
    <w:p w14:paraId="6DDB4B3E" w14:textId="77777777" w:rsidR="00FC207D" w:rsidRDefault="00FC207D">
      <w:pPr>
        <w:spacing w:after="80"/>
      </w:pPr>
    </w:p>
    <w:p w14:paraId="10E26E9B" w14:textId="77777777" w:rsidR="00FC207D" w:rsidRDefault="00457720">
      <w:r>
        <w:br w:type="page"/>
      </w:r>
    </w:p>
    <w:p w14:paraId="59B9E522" w14:textId="77777777" w:rsidR="00FC207D" w:rsidRDefault="00457720">
      <w:pPr>
        <w:pStyle w:val="Heading1"/>
        <w:pBdr>
          <w:bottom w:val="single" w:sz="12" w:space="4" w:color="C2410C"/>
        </w:pBdr>
      </w:pPr>
      <w:bookmarkStart w:id="9" w:name="_Toc236139941"/>
      <w:r>
        <w:lastRenderedPageBreak/>
        <w:t>Part 4 — The twelve pages, one at a time</w:t>
      </w:r>
      <w:bookmarkEnd w:id="9"/>
    </w:p>
    <w:p w14:paraId="4B98255D" w14:textId="77777777" w:rsidR="00FC207D" w:rsidRDefault="00457720">
      <w:pPr>
        <w:pStyle w:val="Heading2"/>
      </w:pPr>
      <w:bookmarkStart w:id="10" w:name="_Toc236139942"/>
      <w:r>
        <w:t>Page 1 — Executive Summary</w:t>
      </w:r>
      <w:bookmarkEnd w:id="10"/>
    </w:p>
    <w:p w14:paraId="26DE3CB9" w14:textId="77777777" w:rsidR="00FC207D" w:rsidRDefault="00457720">
      <w:pPr>
        <w:spacing w:after="60"/>
      </w:pPr>
      <w:r>
        <w:rPr>
          <w:b/>
          <w:color w:val="C2410C"/>
          <w:sz w:val="20"/>
        </w:rPr>
        <w:t xml:space="preserve">Purpose  </w:t>
      </w:r>
      <w:r>
        <w:t>The five-minute briefing: where prices are, which way the mood is leaning, and what the models and the automated analysis are saying. Start here every time.</w:t>
      </w:r>
    </w:p>
    <w:p w14:paraId="36CC5A2D" w14:textId="77777777" w:rsidR="00FC207D" w:rsidRDefault="00457720">
      <w:pPr>
        <w:pStyle w:val="Heading3"/>
      </w:pPr>
      <w:r>
        <w:t>Summary cards — latest price per variety</w:t>
      </w:r>
    </w:p>
    <w:p w14:paraId="58AC4970" w14:textId="77777777" w:rsidR="00FC207D" w:rsidRDefault="00457720">
      <w:pPr>
        <w:spacing w:after="60"/>
      </w:pPr>
      <w:r>
        <w:rPr>
          <w:b/>
          <w:color w:val="C2410C"/>
          <w:sz w:val="20"/>
        </w:rPr>
        <w:t xml:space="preserve">What it shows  </w:t>
      </w:r>
      <w:r>
        <w:t>Four cards showing the most recent quote for the headline varieties, each with its week, month and year change.</w:t>
      </w:r>
    </w:p>
    <w:p w14:paraId="648A2667" w14:textId="77777777" w:rsidR="00FC207D" w:rsidRDefault="00457720">
      <w:pPr>
        <w:spacing w:after="60"/>
      </w:pPr>
      <w:r>
        <w:rPr>
          <w:b/>
          <w:color w:val="C2410C"/>
          <w:sz w:val="20"/>
        </w:rPr>
        <w:t xml:space="preserve">How to read it  </w:t>
      </w:r>
      <w:r>
        <w:t>The large number is the latest price. The coloured line beneath is the weekly change — green up, red down. The small print carries the month and year change and the quote date.</w:t>
      </w:r>
    </w:p>
    <w:p w14:paraId="22F019A8" w14:textId="77777777" w:rsidR="00FC207D" w:rsidRDefault="00457720">
      <w:pPr>
        <w:spacing w:after="60"/>
      </w:pPr>
      <w:r>
        <w:rPr>
          <w:b/>
          <w:color w:val="C2410C"/>
          <w:sz w:val="20"/>
        </w:rPr>
        <w:t xml:space="preserve">What it says now  </w:t>
      </w:r>
      <w:r>
        <w:t>Teja 20,750 and LCA 334 25,750, both easing slightly on the week (−1.2% and −2.8%) but up 59.6% and 114.6% on the year. Every variety in the workbook has risen sharply over twelve months.</w:t>
      </w:r>
    </w:p>
    <w:p w14:paraId="70150C82" w14:textId="77777777" w:rsidR="00FC207D" w:rsidRDefault="00457720">
      <w:pPr>
        <w:spacing w:after="60"/>
      </w:pPr>
      <w:r>
        <w:rPr>
          <w:b/>
          <w:color w:val="C2410C"/>
          <w:sz w:val="20"/>
        </w:rPr>
        <w:t xml:space="preserve">What to do with it  </w:t>
      </w:r>
      <w:r>
        <w:t>Use it as the opening fact of any conversation. The contrast between a flat week and a doubled year is the real story: the market has re-rated, and is now pausing.</w:t>
      </w:r>
    </w:p>
    <w:p w14:paraId="728DC631" w14:textId="77777777" w:rsidR="00FC207D" w:rsidRDefault="00FC207D">
      <w:pPr>
        <w:spacing w:after="40"/>
      </w:pPr>
    </w:p>
    <w:p w14:paraId="43F94674" w14:textId="77777777" w:rsidR="00FC207D" w:rsidRDefault="00457720">
      <w:pPr>
        <w:pStyle w:val="Heading3"/>
      </w:pPr>
      <w:r>
        <w:t>Table — change by horizon, all varieties</w:t>
      </w:r>
    </w:p>
    <w:p w14:paraId="4D10A555" w14:textId="77777777" w:rsidR="00FC207D" w:rsidRDefault="00457720">
      <w:pPr>
        <w:spacing w:after="60"/>
      </w:pPr>
      <w:r>
        <w:rPr>
          <w:b/>
          <w:color w:val="C2410C"/>
          <w:sz w:val="20"/>
        </w:rPr>
        <w:t xml:space="preserve">What it shows  </w:t>
      </w:r>
      <w:r>
        <w:t>Every variety against every time horizon: previous quote, week, fortnight, month, quarter and year.</w:t>
      </w:r>
    </w:p>
    <w:p w14:paraId="12A39BE0" w14:textId="77777777" w:rsidR="00FC207D" w:rsidRDefault="00457720">
      <w:pPr>
        <w:spacing w:after="60"/>
      </w:pPr>
      <w:r>
        <w:rPr>
          <w:b/>
          <w:color w:val="C2410C"/>
          <w:sz w:val="20"/>
        </w:rPr>
        <w:t xml:space="preserve">How to read it  </w:t>
      </w:r>
      <w:r>
        <w:t>Read across a row to see whether a move is recent or long-standing. Where several columns show the same figure, the price has simply not moved between those dates.</w:t>
      </w:r>
    </w:p>
    <w:p w14:paraId="299FACBB" w14:textId="77777777" w:rsidR="00FC207D" w:rsidRDefault="00457720">
      <w:pPr>
        <w:spacing w:after="60"/>
      </w:pPr>
      <w:r>
        <w:rPr>
          <w:b/>
          <w:color w:val="C2410C"/>
          <w:sz w:val="20"/>
        </w:rPr>
        <w:t xml:space="preserve">What it says now  </w:t>
      </w:r>
      <w:r>
        <w:t>LCA 334 shows +114.6% on the year but −2.8% on the week — the strongest riser is also the one now giving ground. Fatki is the odd one out, up 13.5% on the month while others moved 2%.</w:t>
      </w:r>
    </w:p>
    <w:p w14:paraId="6DB238EE" w14:textId="77777777" w:rsidR="00FC207D" w:rsidRDefault="00457720">
      <w:pPr>
        <w:spacing w:after="60"/>
      </w:pPr>
      <w:r>
        <w:rPr>
          <w:b/>
          <w:color w:val="C2410C"/>
          <w:sz w:val="20"/>
        </w:rPr>
        <w:t xml:space="preserve">What to do with it  </w:t>
      </w:r>
      <w:r>
        <w:t>Use it to separate momentum from history. A variety that is up on the year but down on the month has already had its move.</w:t>
      </w:r>
    </w:p>
    <w:p w14:paraId="693EE8BC" w14:textId="77777777" w:rsidR="00FC207D" w:rsidRDefault="00FC207D">
      <w:pPr>
        <w:spacing w:after="40"/>
      </w:pPr>
    </w:p>
    <w:p w14:paraId="2D737241" w14:textId="77777777" w:rsidR="00FC207D" w:rsidRDefault="00457720">
      <w:pPr>
        <w:pStyle w:val="Heading3"/>
      </w:pPr>
      <w:r>
        <w:t>Sentiment gauge and its component table</w:t>
      </w:r>
    </w:p>
    <w:p w14:paraId="40F2E80D" w14:textId="77777777" w:rsidR="00FC207D" w:rsidRDefault="00457720">
      <w:pPr>
        <w:spacing w:after="60"/>
      </w:pPr>
      <w:r>
        <w:rPr>
          <w:b/>
          <w:color w:val="C2410C"/>
          <w:sz w:val="20"/>
        </w:rPr>
        <w:t xml:space="preserve">What it shows  </w:t>
      </w:r>
      <w:r>
        <w:t>A single bullish-to-bearish needle, built from five separate measures, each scored from −1 (bearish) to +1 (bullish) and averaged.</w:t>
      </w:r>
    </w:p>
    <w:p w14:paraId="41BD1CA7" w14:textId="77777777" w:rsidR="00FC207D" w:rsidRDefault="00457720">
      <w:pPr>
        <w:spacing w:after="60"/>
      </w:pPr>
      <w:r>
        <w:rPr>
          <w:b/>
          <w:color w:val="C2410C"/>
          <w:sz w:val="20"/>
        </w:rPr>
        <w:t xml:space="preserve">How to read it  </w:t>
      </w:r>
      <w:r>
        <w:t>The needle position is the average. The table below is the important part: it shows which of the five are driving the reading and which disagree.</w:t>
      </w:r>
    </w:p>
    <w:p w14:paraId="0F011C05" w14:textId="77777777" w:rsidR="00FC207D" w:rsidRDefault="00457720">
      <w:pPr>
        <w:spacing w:after="60"/>
      </w:pPr>
      <w:r>
        <w:rPr>
          <w:b/>
          <w:color w:val="C2410C"/>
          <w:sz w:val="20"/>
        </w:rPr>
        <w:t xml:space="preserve">What it says now  </w:t>
      </w:r>
      <w:r>
        <w:t>Teja scores +0.64 (“Strongly bullish”). Trend +1.00 (price 21.5% above its 180-day average), Arrivals pressure +1.00 (47% below the seasonal norm), Range position +0.92 (96% of the way up the one-year range), Seasonal setup +0.25, but Momentum only +0.04. LCA 334 scores +0.61 on a similar mix, though its seasonal component is negative (−0.24).</w:t>
      </w:r>
    </w:p>
    <w:p w14:paraId="389CAE21" w14:textId="77777777" w:rsidR="00FC207D" w:rsidRDefault="00457720">
      <w:pPr>
        <w:spacing w:after="60"/>
      </w:pPr>
      <w:r>
        <w:rPr>
          <w:b/>
          <w:color w:val="C2410C"/>
          <w:sz w:val="20"/>
        </w:rPr>
        <w:t xml:space="preserve">What to do with it  </w:t>
      </w:r>
      <w:r>
        <w:t>Read the components, not the needle. Four of five are bullish because supply is tight and the trend is up — but momentum has stalled and the price is already near the top of its range. That is a “tight market that has already re-priced”, which argues for buying on dips rather than chasing.</w:t>
      </w:r>
    </w:p>
    <w:p w14:paraId="6DD0F84F" w14:textId="77777777" w:rsidR="00FC207D" w:rsidRDefault="00FC207D">
      <w:pPr>
        <w:spacing w:after="40"/>
      </w:pPr>
    </w:p>
    <w:p w14:paraId="04D2E41E" w14:textId="77777777" w:rsidR="00FC207D" w:rsidRDefault="00457720">
      <w:pPr>
        <w:pStyle w:val="Heading3"/>
      </w:pPr>
      <w:r>
        <w:t>Chart — Guntur variety prices</w:t>
      </w:r>
    </w:p>
    <w:p w14:paraId="2985F84A" w14:textId="77777777" w:rsidR="00FC207D" w:rsidRDefault="00457720">
      <w:pPr>
        <w:spacing w:after="60"/>
      </w:pPr>
      <w:r>
        <w:rPr>
          <w:b/>
          <w:color w:val="C2410C"/>
          <w:sz w:val="20"/>
        </w:rPr>
        <w:t xml:space="preserve">What it shows  </w:t>
      </w:r>
      <w:r>
        <w:t>All nine varieties on one set of axes over the filtered window.</w:t>
      </w:r>
    </w:p>
    <w:p w14:paraId="1392FADD" w14:textId="77777777" w:rsidR="00FC207D" w:rsidRDefault="00457720">
      <w:pPr>
        <w:spacing w:after="60"/>
      </w:pPr>
      <w:r>
        <w:rPr>
          <w:b/>
          <w:color w:val="C2410C"/>
          <w:sz w:val="20"/>
        </w:rPr>
        <w:lastRenderedPageBreak/>
        <w:t xml:space="preserve">How to read it  </w:t>
      </w:r>
      <w:r>
        <w:t>Look for lines moving as a bundle (an integrated market) versus one line breaking away. The highlighted line is your selected variety.</w:t>
      </w:r>
    </w:p>
    <w:p w14:paraId="08AEAACF" w14:textId="77777777" w:rsidR="00FC207D" w:rsidRDefault="00457720">
      <w:pPr>
        <w:spacing w:after="60"/>
      </w:pPr>
      <w:r>
        <w:rPr>
          <w:b/>
          <w:color w:val="C2410C"/>
          <w:sz w:val="20"/>
        </w:rPr>
        <w:t xml:space="preserve">What it says now  </w:t>
      </w:r>
      <w:r>
        <w:t>The lines move together almost perfectly, with Fatki sitting far below the rest and moving less closely with them. The whole complex rose from roughly 10,000 in 2014 to the low 20,000s now, with a sharp fall through 2024–25 and an equally sharp recovery from late 2025.</w:t>
      </w:r>
    </w:p>
    <w:p w14:paraId="2FDB755B" w14:textId="77777777" w:rsidR="00FC207D" w:rsidRDefault="00457720">
      <w:pPr>
        <w:spacing w:after="60"/>
      </w:pPr>
      <w:r>
        <w:rPr>
          <w:b/>
          <w:color w:val="C2410C"/>
          <w:sz w:val="20"/>
        </w:rPr>
        <w:t xml:space="preserve">What to do with it  </w:t>
      </w:r>
      <w:r>
        <w:t>Confirms that variety choice is a question of price level and grade, not of direction. One market view covers all nine.</w:t>
      </w:r>
    </w:p>
    <w:p w14:paraId="1131F9B4" w14:textId="77777777" w:rsidR="00FC207D" w:rsidRDefault="00FC207D">
      <w:pPr>
        <w:spacing w:after="40"/>
      </w:pPr>
    </w:p>
    <w:p w14:paraId="45453978" w14:textId="77777777" w:rsidR="00FC207D" w:rsidRDefault="00457720">
      <w:pPr>
        <w:pStyle w:val="Heading3"/>
      </w:pPr>
      <w:r>
        <w:t>Supply and trade cards</w:t>
      </w:r>
    </w:p>
    <w:p w14:paraId="0BBA8A96" w14:textId="77777777" w:rsidR="00FC207D" w:rsidRDefault="00457720">
      <w:pPr>
        <w:spacing w:after="60"/>
      </w:pPr>
      <w:r>
        <w:rPr>
          <w:b/>
          <w:color w:val="C2410C"/>
          <w:sz w:val="20"/>
        </w:rPr>
        <w:t xml:space="preserve">What it shows  </w:t>
      </w:r>
      <w:r>
        <w:t>Arrivals for the latest month against the same month's multi-year average, the offtake-to-arrivals ratio, latest exports, and the stock-to-use ratio.</w:t>
      </w:r>
    </w:p>
    <w:p w14:paraId="0E6355BE" w14:textId="77777777" w:rsidR="00FC207D" w:rsidRDefault="00457720">
      <w:pPr>
        <w:spacing w:after="60"/>
      </w:pPr>
      <w:r>
        <w:rPr>
          <w:b/>
          <w:color w:val="C2410C"/>
          <w:sz w:val="20"/>
        </w:rPr>
        <w:t xml:space="preserve">How to read it  </w:t>
      </w:r>
      <w:r>
        <w:t>Each card compares today with a historical norm. For arrivals and stocks, lower than normal is price-supportive; for offtake, a falling ratio means material is piling up.</w:t>
      </w:r>
    </w:p>
    <w:p w14:paraId="13DD04CF" w14:textId="77777777" w:rsidR="00FC207D" w:rsidRDefault="00457720">
      <w:pPr>
        <w:spacing w:after="60"/>
      </w:pPr>
      <w:r>
        <w:rPr>
          <w:b/>
          <w:color w:val="C2410C"/>
          <w:sz w:val="20"/>
        </w:rPr>
        <w:t xml:space="preserve">What it says now  </w:t>
      </w:r>
      <w:r>
        <w:t>Arrivals are 47% below the twelve-year average for the month. The offtake-to-arrivals ratio is 62.1% against a long-run average of 75.6%. Stock-to-use for 2026 is 5.67% against a 22.21% average.</w:t>
      </w:r>
    </w:p>
    <w:p w14:paraId="210E482D" w14:textId="77777777" w:rsidR="00FC207D" w:rsidRDefault="00457720">
      <w:pPr>
        <w:spacing w:after="60"/>
      </w:pPr>
      <w:r>
        <w:rPr>
          <w:b/>
          <w:color w:val="C2410C"/>
          <w:sz w:val="20"/>
        </w:rPr>
        <w:t xml:space="preserve">What to do with it  </w:t>
      </w:r>
      <w:r>
        <w:t>Two of the three are firmly bullish. The weak offtake ratio is the dissenting signal: less of what arrives is being lifted, which hints at buyer resistance at these levels.</w:t>
      </w:r>
    </w:p>
    <w:p w14:paraId="3BF3AB0F" w14:textId="77777777" w:rsidR="00FC207D" w:rsidRDefault="00FC207D">
      <w:pPr>
        <w:spacing w:after="40"/>
      </w:pPr>
    </w:p>
    <w:p w14:paraId="0DF62795" w14:textId="77777777" w:rsidR="00FC207D" w:rsidRDefault="00457720">
      <w:pPr>
        <w:pStyle w:val="Heading3"/>
      </w:pPr>
      <w:r>
        <w:t>Chart — price against arrivals</w:t>
      </w:r>
    </w:p>
    <w:p w14:paraId="37593D65" w14:textId="77777777" w:rsidR="00FC207D" w:rsidRDefault="00457720">
      <w:pPr>
        <w:spacing w:after="60"/>
      </w:pPr>
      <w:r>
        <w:rPr>
          <w:b/>
          <w:color w:val="C2410C"/>
          <w:sz w:val="20"/>
        </w:rPr>
        <w:t xml:space="preserve">What it shows  </w:t>
      </w:r>
      <w:r>
        <w:t>The selected variety's price as a line, with arrivals as bars on a second scale.</w:t>
      </w:r>
    </w:p>
    <w:p w14:paraId="7595235B" w14:textId="77777777" w:rsidR="00FC207D" w:rsidRDefault="00457720">
      <w:pPr>
        <w:spacing w:after="60"/>
      </w:pPr>
      <w:r>
        <w:rPr>
          <w:b/>
          <w:color w:val="C2410C"/>
          <w:sz w:val="20"/>
        </w:rPr>
        <w:t xml:space="preserve">How to read it  </w:t>
      </w:r>
      <w:r>
        <w:t>You are looking for tall bars coinciding with dips in the line. If that pattern is not obvious, arrivals are not driving price.</w:t>
      </w:r>
    </w:p>
    <w:p w14:paraId="757A47D3" w14:textId="77777777" w:rsidR="00FC207D" w:rsidRDefault="00457720">
      <w:pPr>
        <w:spacing w:after="60"/>
      </w:pPr>
      <w:r>
        <w:rPr>
          <w:b/>
          <w:color w:val="C2410C"/>
          <w:sz w:val="20"/>
        </w:rPr>
        <w:t xml:space="preserve">What it says now  </w:t>
      </w:r>
      <w:r>
        <w:t>The pattern is weak. Arrivals peak every February to April with no reliable price response, and the strongest price moves happen without an arrivals event.</w:t>
      </w:r>
    </w:p>
    <w:p w14:paraId="6F226DE6" w14:textId="77777777" w:rsidR="00FC207D" w:rsidRDefault="00457720">
      <w:pPr>
        <w:spacing w:after="60"/>
      </w:pPr>
      <w:r>
        <w:rPr>
          <w:b/>
          <w:color w:val="C2410C"/>
          <w:sz w:val="20"/>
        </w:rPr>
        <w:t xml:space="preserve">What to do with it  </w:t>
      </w:r>
      <w:r>
        <w:t>Sets expectations correctly before you reach the Arrival Analysis page: arrivals are context, not a trigger.</w:t>
      </w:r>
    </w:p>
    <w:p w14:paraId="16DF0153" w14:textId="77777777" w:rsidR="00FC207D" w:rsidRDefault="00FC207D">
      <w:pPr>
        <w:spacing w:after="40"/>
      </w:pPr>
    </w:p>
    <w:p w14:paraId="04428EDE" w14:textId="77777777" w:rsidR="00FC207D" w:rsidRDefault="00457720">
      <w:pPr>
        <w:pStyle w:val="Heading3"/>
      </w:pPr>
      <w:r>
        <w:t>Forecast summary and key insights</w:t>
      </w:r>
    </w:p>
    <w:p w14:paraId="086F9998" w14:textId="77777777" w:rsidR="00FC207D" w:rsidRDefault="00457720">
      <w:pPr>
        <w:spacing w:after="60"/>
      </w:pPr>
      <w:r>
        <w:rPr>
          <w:b/>
          <w:color w:val="C2410C"/>
          <w:sz w:val="20"/>
        </w:rPr>
        <w:t xml:space="preserve">What it shows  </w:t>
      </w:r>
      <w:r>
        <w:t>The winning model's six-month projection for both focus varieties, then the strongest automated findings.</w:t>
      </w:r>
    </w:p>
    <w:p w14:paraId="3C63FF83" w14:textId="77777777" w:rsidR="00FC207D" w:rsidRDefault="00457720">
      <w:pPr>
        <w:spacing w:after="60"/>
      </w:pPr>
      <w:r>
        <w:rPr>
          <w:b/>
          <w:color w:val="C2410C"/>
          <w:sz w:val="20"/>
        </w:rPr>
        <w:t xml:space="preserve">How to read it  </w:t>
      </w:r>
      <w:r>
        <w:t>The table gives the latest price, the projection, the change and the 95% range. The insight cards below are ranked by how strong the evidence is.</w:t>
      </w:r>
    </w:p>
    <w:p w14:paraId="634E0D45" w14:textId="77777777" w:rsidR="00FC207D" w:rsidRDefault="00457720">
      <w:pPr>
        <w:spacing w:after="60"/>
      </w:pPr>
      <w:r>
        <w:rPr>
          <w:b/>
          <w:color w:val="C2410C"/>
          <w:sz w:val="20"/>
        </w:rPr>
        <w:t xml:space="preserve">What it says now  </w:t>
      </w:r>
      <w:r>
        <w:t>Teja projected to 26,867 by January 2027 (+28%, range 19,688–34,045); LCA 334 to 32,472 (+24.5%, range 22,761–42,184). Both from a VECM model with 93% directional accuracy in testing.</w:t>
      </w:r>
    </w:p>
    <w:p w14:paraId="445FF140" w14:textId="77777777" w:rsidR="00FC207D" w:rsidRDefault="00457720">
      <w:pPr>
        <w:spacing w:after="60"/>
      </w:pPr>
      <w:r>
        <w:rPr>
          <w:b/>
          <w:color w:val="C2410C"/>
          <w:sz w:val="20"/>
        </w:rPr>
        <w:t xml:space="preserve">What to do with it  </w:t>
      </w:r>
      <w:r>
        <w:t>Take the direction seriously and the exact number lightly. Note how wide both ranges are — the lower bound for Teja is close to today's price.</w:t>
      </w:r>
    </w:p>
    <w:p w14:paraId="2FB6EE48"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04510F45" w14:textId="77777777">
        <w:trPr>
          <w:jc w:val="center"/>
        </w:trPr>
        <w:tc>
          <w:tcPr>
            <w:tcW w:w="9411" w:type="dxa"/>
            <w:tcBorders>
              <w:left w:val="single" w:sz="18" w:space="0" w:color="C2410C"/>
            </w:tcBorders>
            <w:shd w:val="clear" w:color="auto" w:fill="FDF1E7"/>
          </w:tcPr>
          <w:p w14:paraId="17E00551" w14:textId="77777777" w:rsidR="00FC207D" w:rsidRDefault="00457720">
            <w:pPr>
              <w:spacing w:after="40"/>
            </w:pPr>
            <w:r>
              <w:rPr>
                <w:b/>
                <w:color w:val="C2410C"/>
                <w:sz w:val="20"/>
              </w:rPr>
              <w:t>Conclusion for Page 1</w:t>
            </w:r>
          </w:p>
          <w:p w14:paraId="0838C102" w14:textId="77777777" w:rsidR="00FC207D" w:rsidRDefault="00457720">
            <w:pPr>
              <w:spacing w:after="0"/>
            </w:pPr>
            <w:r>
              <w:rPr>
                <w:sz w:val="20"/>
              </w:rPr>
              <w:t>A tight-supply market that has already doubled in a year and is now pausing. The evidence for firmness is genuine and comes from stocks and arrivals, not from momentum. The bullish case is about the next six months, not the next fortnight.</w:t>
            </w:r>
          </w:p>
        </w:tc>
      </w:tr>
    </w:tbl>
    <w:p w14:paraId="34C37D9E" w14:textId="77777777" w:rsidR="00FC207D" w:rsidRDefault="00FC207D">
      <w:pPr>
        <w:spacing w:after="80"/>
      </w:pPr>
    </w:p>
    <w:p w14:paraId="4AB6EF0A" w14:textId="77777777" w:rsidR="00FC207D" w:rsidRDefault="00457720">
      <w:pPr>
        <w:pStyle w:val="Heading2"/>
      </w:pPr>
      <w:bookmarkStart w:id="11" w:name="_Toc236139943"/>
      <w:r>
        <w:lastRenderedPageBreak/>
        <w:t>Page 2 — Market Overview</w:t>
      </w:r>
      <w:bookmarkEnd w:id="11"/>
    </w:p>
    <w:p w14:paraId="66FD27E6" w14:textId="77777777" w:rsidR="00FC207D" w:rsidRDefault="00457720">
      <w:pPr>
        <w:spacing w:after="60"/>
      </w:pPr>
      <w:r>
        <w:rPr>
          <w:b/>
          <w:color w:val="C2410C"/>
          <w:sz w:val="20"/>
        </w:rPr>
        <w:t xml:space="preserve">Purpose  </w:t>
      </w:r>
      <w:r>
        <w:t>Compare the three mandis on a like-for-like basis and establish, before anything else, how far each dataset actually reaches.</w:t>
      </w:r>
    </w:p>
    <w:p w14:paraId="18F09785" w14:textId="77777777" w:rsidR="00FC207D" w:rsidRDefault="00457720">
      <w:pPr>
        <w:pStyle w:val="Heading3"/>
      </w:pPr>
      <w:r>
        <w:t>Chart — Teja price by market</w:t>
      </w:r>
    </w:p>
    <w:p w14:paraId="60F1918C" w14:textId="77777777" w:rsidR="00FC207D" w:rsidRDefault="00457720">
      <w:pPr>
        <w:spacing w:after="60"/>
      </w:pPr>
      <w:r>
        <w:rPr>
          <w:b/>
          <w:color w:val="C2410C"/>
          <w:sz w:val="20"/>
        </w:rPr>
        <w:t xml:space="preserve">What it shows  </w:t>
      </w:r>
      <w:r>
        <w:t>The same variety (Teja) quoted in Guntur, Warangal and both Khammam segments.</w:t>
      </w:r>
    </w:p>
    <w:p w14:paraId="2E698599" w14:textId="77777777" w:rsidR="00FC207D" w:rsidRDefault="00457720">
      <w:pPr>
        <w:spacing w:after="60"/>
      </w:pPr>
      <w:r>
        <w:rPr>
          <w:b/>
          <w:color w:val="C2410C"/>
          <w:sz w:val="20"/>
        </w:rPr>
        <w:t xml:space="preserve">How to read it  </w:t>
      </w:r>
      <w:r>
        <w:t>Because the variety is held constant, any gap between lines is a genuine location difference and not a quality difference.</w:t>
      </w:r>
    </w:p>
    <w:p w14:paraId="2136FAFA" w14:textId="77777777" w:rsidR="00FC207D" w:rsidRDefault="00457720">
      <w:pPr>
        <w:spacing w:after="60"/>
      </w:pPr>
      <w:r>
        <w:rPr>
          <w:b/>
          <w:color w:val="C2410C"/>
          <w:sz w:val="20"/>
        </w:rPr>
        <w:t xml:space="preserve">What it says now  </w:t>
      </w:r>
      <w:r>
        <w:t>Guntur 20,750, Warangal 20,000, Khammam cold storage 19,500, Khammam fresh 16,750. Guntur trades at the top; Khammam fresh lots are consistently the cheapest and the most erratic.</w:t>
      </w:r>
    </w:p>
    <w:p w14:paraId="55470BBB" w14:textId="77777777" w:rsidR="00FC207D" w:rsidRDefault="00457720">
      <w:pPr>
        <w:spacing w:after="60"/>
      </w:pPr>
      <w:r>
        <w:rPr>
          <w:b/>
          <w:color w:val="C2410C"/>
          <w:sz w:val="20"/>
        </w:rPr>
        <w:t xml:space="preserve">What to do with it  </w:t>
      </w:r>
      <w:r>
        <w:t>Establishes the normal pecking order. A Warangal price above Guntur would be unusual and worth investigating.</w:t>
      </w:r>
    </w:p>
    <w:p w14:paraId="2199E6A4" w14:textId="77777777" w:rsidR="00FC207D" w:rsidRDefault="00FC207D">
      <w:pPr>
        <w:spacing w:after="40"/>
      </w:pPr>
    </w:p>
    <w:p w14:paraId="2831F606" w14:textId="77777777" w:rsidR="00FC207D" w:rsidRDefault="00457720">
      <w:pPr>
        <w:pStyle w:val="Heading3"/>
      </w:pPr>
      <w:r>
        <w:t>Chart — arrivals by market</w:t>
      </w:r>
    </w:p>
    <w:p w14:paraId="1FB812DB" w14:textId="77777777" w:rsidR="00FC207D" w:rsidRDefault="00457720">
      <w:pPr>
        <w:spacing w:after="60"/>
      </w:pPr>
      <w:r>
        <w:rPr>
          <w:b/>
          <w:color w:val="C2410C"/>
          <w:sz w:val="20"/>
        </w:rPr>
        <w:t xml:space="preserve">What it shows  </w:t>
      </w:r>
      <w:r>
        <w:t>Arrival volumes for each mandi, in that sheet's own bag unit.</w:t>
      </w:r>
    </w:p>
    <w:p w14:paraId="73B82AC1" w14:textId="77777777" w:rsidR="00FC207D" w:rsidRDefault="00457720">
      <w:pPr>
        <w:spacing w:after="60"/>
      </w:pPr>
      <w:r>
        <w:rPr>
          <w:b/>
          <w:color w:val="C2410C"/>
          <w:sz w:val="20"/>
        </w:rPr>
        <w:t xml:space="preserve">How to read it  </w:t>
      </w:r>
      <w:r>
        <w:t>Compare shapes, not levels — the bag definitions differ between markets.</w:t>
      </w:r>
    </w:p>
    <w:p w14:paraId="7B4D2E16" w14:textId="77777777" w:rsidR="00FC207D" w:rsidRDefault="00457720">
      <w:pPr>
        <w:spacing w:after="60"/>
      </w:pPr>
      <w:r>
        <w:rPr>
          <w:b/>
          <w:color w:val="C2410C"/>
          <w:sz w:val="20"/>
        </w:rPr>
        <w:t xml:space="preserve">What it says now  </w:t>
      </w:r>
      <w:r>
        <w:t>Guntur dominates on volume. All markets share the same February-to-April harvest shape.</w:t>
      </w:r>
    </w:p>
    <w:p w14:paraId="5AEE0B7C" w14:textId="77777777" w:rsidR="00FC207D" w:rsidRDefault="00457720">
      <w:pPr>
        <w:spacing w:after="60"/>
      </w:pPr>
      <w:r>
        <w:rPr>
          <w:b/>
          <w:color w:val="C2410C"/>
          <w:sz w:val="20"/>
        </w:rPr>
        <w:t xml:space="preserve">What to do with it  </w:t>
      </w:r>
      <w:r>
        <w:t>Use for relative timing across mandis. Do not compare the bag counts directly; use the tonnage table beneath instead.</w:t>
      </w:r>
    </w:p>
    <w:p w14:paraId="793B79DF" w14:textId="77777777" w:rsidR="00FC207D" w:rsidRDefault="00FC207D">
      <w:pPr>
        <w:spacing w:after="40"/>
      </w:pPr>
    </w:p>
    <w:p w14:paraId="79BF5A71" w14:textId="77777777" w:rsidR="00FC207D" w:rsidRDefault="00457720">
      <w:pPr>
        <w:pStyle w:val="Heading3"/>
      </w:pPr>
      <w:r>
        <w:t>Table — arrivals in tonnes, by market and year</w:t>
      </w:r>
    </w:p>
    <w:p w14:paraId="3CFD99C3" w14:textId="77777777" w:rsidR="00FC207D" w:rsidRDefault="00457720">
      <w:pPr>
        <w:spacing w:after="60"/>
      </w:pPr>
      <w:r>
        <w:rPr>
          <w:b/>
          <w:color w:val="C2410C"/>
          <w:sz w:val="20"/>
        </w:rPr>
        <w:t xml:space="preserve">What it shows  </w:t>
      </w:r>
      <w:r>
        <w:t>Bags converted to tonnes using each sheet's own stated bag weight.</w:t>
      </w:r>
    </w:p>
    <w:p w14:paraId="6800994A" w14:textId="77777777" w:rsidR="00FC207D" w:rsidRDefault="00457720">
      <w:pPr>
        <w:spacing w:after="60"/>
      </w:pPr>
      <w:r>
        <w:rPr>
          <w:b/>
          <w:color w:val="C2410C"/>
          <w:sz w:val="20"/>
        </w:rPr>
        <w:t xml:space="preserve">How to read it  </w:t>
      </w:r>
      <w:r>
        <w:t>This is the only place in the dashboard where volumes are comparable across markets.</w:t>
      </w:r>
    </w:p>
    <w:p w14:paraId="7A05A8B6" w14:textId="77777777" w:rsidR="00FC207D" w:rsidRDefault="00457720">
      <w:pPr>
        <w:spacing w:after="60"/>
      </w:pPr>
      <w:r>
        <w:rPr>
          <w:b/>
          <w:color w:val="C2410C"/>
          <w:sz w:val="20"/>
        </w:rPr>
        <w:t xml:space="preserve">What it says now  </w:t>
      </w:r>
      <w:r>
        <w:t>Guntur bags weigh 45 kg; Warangal and both Khammam sheets state 40 kg. A raw bag comparison therefore overstates Warangal and Khammam by about 11%.</w:t>
      </w:r>
    </w:p>
    <w:p w14:paraId="46263F7C" w14:textId="77777777" w:rsidR="00FC207D" w:rsidRDefault="00457720">
      <w:pPr>
        <w:spacing w:after="60"/>
      </w:pPr>
      <w:r>
        <w:rPr>
          <w:b/>
          <w:color w:val="C2410C"/>
          <w:sz w:val="20"/>
        </w:rPr>
        <w:t xml:space="preserve">What to do with it  </w:t>
      </w:r>
      <w:r>
        <w:t>Always use this table, not the bag chart, for any cross-market volume statement. Note that partial years appear artificially small.</w:t>
      </w:r>
    </w:p>
    <w:p w14:paraId="445E4B24" w14:textId="77777777" w:rsidR="00FC207D" w:rsidRDefault="00FC207D">
      <w:pPr>
        <w:spacing w:after="40"/>
      </w:pPr>
    </w:p>
    <w:p w14:paraId="70758EC6" w14:textId="77777777" w:rsidR="00FC207D" w:rsidRDefault="00457720">
      <w:pPr>
        <w:pStyle w:val="Heading3"/>
      </w:pPr>
      <w:r>
        <w:t>Table — dataset coverage</w:t>
      </w:r>
    </w:p>
    <w:p w14:paraId="68F334F1" w14:textId="77777777" w:rsidR="00FC207D" w:rsidRDefault="00457720">
      <w:pPr>
        <w:spacing w:after="60"/>
      </w:pPr>
      <w:r>
        <w:rPr>
          <w:b/>
          <w:color w:val="C2410C"/>
          <w:sz w:val="20"/>
        </w:rPr>
        <w:t xml:space="preserve">What it shows  </w:t>
      </w:r>
      <w:r>
        <w:t>Every sheet in the workbook with its row count and date span.</w:t>
      </w:r>
    </w:p>
    <w:p w14:paraId="5542FADC" w14:textId="77777777" w:rsidR="00FC207D" w:rsidRDefault="00457720">
      <w:pPr>
        <w:spacing w:after="60"/>
      </w:pPr>
      <w:r>
        <w:rPr>
          <w:b/>
          <w:color w:val="C2410C"/>
          <w:sz w:val="20"/>
        </w:rPr>
        <w:t xml:space="preserve">How to read it  </w:t>
      </w:r>
      <w:r>
        <w:t>Look at the From and To columns. No analysis can be better than the data behind it.</w:t>
      </w:r>
    </w:p>
    <w:p w14:paraId="059EA6B0" w14:textId="77777777" w:rsidR="00FC207D" w:rsidRDefault="00457720">
      <w:pPr>
        <w:spacing w:after="60"/>
      </w:pPr>
      <w:r>
        <w:rPr>
          <w:b/>
          <w:color w:val="C2410C"/>
          <w:sz w:val="20"/>
        </w:rPr>
        <w:t xml:space="preserve">What it says now  </w:t>
      </w:r>
      <w:r>
        <w:t>Guntur prices and arrivals run from January 2014. Warangal starts March 2015. Both Khammam sheets start June 2017. Cold-storage stock has six rows. Any three-market comparison is therefore limited to 2017 onward.</w:t>
      </w:r>
    </w:p>
    <w:p w14:paraId="326D5C78" w14:textId="77777777" w:rsidR="00FC207D" w:rsidRDefault="00457720">
      <w:pPr>
        <w:spacing w:after="60"/>
      </w:pPr>
      <w:r>
        <w:rPr>
          <w:b/>
          <w:color w:val="C2410C"/>
          <w:sz w:val="20"/>
        </w:rPr>
        <w:t xml:space="preserve">What to do with it  </w:t>
      </w:r>
      <w:r>
        <w:t>Check this before promising an analysis. It explains why market-integration figures rest on 261 overlapping days rather than twelve years.</w:t>
      </w:r>
    </w:p>
    <w:p w14:paraId="288139B8"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6A9AF5E2" w14:textId="77777777">
        <w:trPr>
          <w:jc w:val="center"/>
        </w:trPr>
        <w:tc>
          <w:tcPr>
            <w:tcW w:w="9411" w:type="dxa"/>
            <w:tcBorders>
              <w:left w:val="single" w:sz="18" w:space="0" w:color="C2410C"/>
            </w:tcBorders>
            <w:shd w:val="clear" w:color="auto" w:fill="FDF1E7"/>
          </w:tcPr>
          <w:p w14:paraId="008FFE52" w14:textId="77777777" w:rsidR="00FC207D" w:rsidRDefault="00457720">
            <w:pPr>
              <w:spacing w:after="40"/>
            </w:pPr>
            <w:r>
              <w:rPr>
                <w:b/>
                <w:color w:val="C2410C"/>
                <w:sz w:val="20"/>
              </w:rPr>
              <w:t>Conclusion for Page 2</w:t>
            </w:r>
          </w:p>
          <w:p w14:paraId="2F1C454A" w14:textId="77777777" w:rsidR="00FC207D" w:rsidRDefault="00457720">
            <w:pPr>
              <w:spacing w:after="0"/>
            </w:pPr>
            <w:r>
              <w:rPr>
                <w:sz w:val="20"/>
              </w:rPr>
              <w:t>Guntur is the largest and best-documented market and sets the highest price. Comparisons across all three mandis are only possible from mid-2017, and only in tonnes — not in bags.</w:t>
            </w:r>
          </w:p>
        </w:tc>
      </w:tr>
    </w:tbl>
    <w:p w14:paraId="55D7C7D0" w14:textId="77777777" w:rsidR="00FC207D" w:rsidRDefault="00FC207D">
      <w:pPr>
        <w:spacing w:after="80"/>
      </w:pPr>
    </w:p>
    <w:p w14:paraId="52195D83" w14:textId="77777777" w:rsidR="00FC207D" w:rsidRDefault="00457720">
      <w:pPr>
        <w:pStyle w:val="Heading2"/>
      </w:pPr>
      <w:bookmarkStart w:id="12" w:name="_Toc236139944"/>
      <w:r>
        <w:lastRenderedPageBreak/>
        <w:t>Page 3 — Price Analysis</w:t>
      </w:r>
      <w:bookmarkEnd w:id="12"/>
    </w:p>
    <w:p w14:paraId="32255A75" w14:textId="77777777" w:rsidR="00FC207D" w:rsidRDefault="00457720">
      <w:pPr>
        <w:spacing w:after="60"/>
      </w:pPr>
      <w:r>
        <w:rPr>
          <w:b/>
          <w:color w:val="C2410C"/>
          <w:sz w:val="20"/>
        </w:rPr>
        <w:t xml:space="preserve">Purpose  </w:t>
      </w:r>
      <w:r>
        <w:t>The single-variety deep dive: trend, how volatile it is, what is seasonal versus structural, and whether the series is well behaved enough to model.</w:t>
      </w:r>
    </w:p>
    <w:p w14:paraId="5E0C1B9C" w14:textId="77777777" w:rsidR="00FC207D" w:rsidRDefault="00457720">
      <w:pPr>
        <w:pStyle w:val="Heading3"/>
      </w:pPr>
      <w:r>
        <w:t>Chart — price with moving averages and ±2σ bands</w:t>
      </w:r>
    </w:p>
    <w:p w14:paraId="118C1919" w14:textId="77777777" w:rsidR="00FC207D" w:rsidRDefault="00457720">
      <w:pPr>
        <w:spacing w:after="60"/>
      </w:pPr>
      <w:r>
        <w:rPr>
          <w:b/>
          <w:color w:val="C2410C"/>
          <w:sz w:val="20"/>
        </w:rPr>
        <w:t xml:space="preserve">What it shows  </w:t>
      </w:r>
      <w:r>
        <w:t>The price, a 30-period simple average, an exponential average, and a shaded band two standard deviations wide.</w:t>
      </w:r>
    </w:p>
    <w:p w14:paraId="46AB9D5D" w14:textId="77777777" w:rsidR="00FC207D" w:rsidRDefault="00457720">
      <w:pPr>
        <w:spacing w:after="60"/>
      </w:pPr>
      <w:r>
        <w:rPr>
          <w:b/>
          <w:color w:val="C2410C"/>
          <w:sz w:val="20"/>
        </w:rPr>
        <w:t xml:space="preserve">How to read it  </w:t>
      </w:r>
      <w:r>
        <w:t>Price above both averages is an uptrend. Touching the top of the shaded band means the move is unusually stretched relative to recent history.</w:t>
      </w:r>
    </w:p>
    <w:p w14:paraId="40C0C4FD" w14:textId="77777777" w:rsidR="00FC207D" w:rsidRDefault="00457720">
      <w:pPr>
        <w:spacing w:after="60"/>
      </w:pPr>
      <w:r>
        <w:rPr>
          <w:b/>
          <w:color w:val="C2410C"/>
          <w:sz w:val="20"/>
        </w:rPr>
        <w:t xml:space="preserve">What it says now  </w:t>
      </w:r>
      <w:r>
        <w:t>Teja is above both averages and 21.5% above its 180-day average — a clear, strong uptrend that is now stretched.</w:t>
      </w:r>
    </w:p>
    <w:p w14:paraId="3E51ED56" w14:textId="77777777" w:rsidR="00FC207D" w:rsidRDefault="00457720">
      <w:pPr>
        <w:spacing w:after="60"/>
      </w:pPr>
      <w:r>
        <w:rPr>
          <w:b/>
          <w:color w:val="C2410C"/>
          <w:sz w:val="20"/>
        </w:rPr>
        <w:t xml:space="preserve">What to do with it  </w:t>
      </w:r>
      <w:r>
        <w:t>Good for timing an entry within an established view. Stretched does not mean it will reverse; it means the reward for chasing is poor.</w:t>
      </w:r>
    </w:p>
    <w:p w14:paraId="680AC465" w14:textId="77777777" w:rsidR="00FC207D" w:rsidRDefault="00FC207D">
      <w:pPr>
        <w:spacing w:after="40"/>
      </w:pPr>
    </w:p>
    <w:p w14:paraId="001D53D3" w14:textId="77777777" w:rsidR="00FC207D" w:rsidRDefault="00457720">
      <w:pPr>
        <w:pStyle w:val="Heading3"/>
      </w:pPr>
      <w:r>
        <w:t>Chart — rolling volatility (annualised)</w:t>
      </w:r>
    </w:p>
    <w:p w14:paraId="0025862B" w14:textId="77777777" w:rsidR="00FC207D" w:rsidRDefault="00457720">
      <w:pPr>
        <w:spacing w:after="60"/>
      </w:pPr>
      <w:r>
        <w:rPr>
          <w:b/>
          <w:color w:val="C2410C"/>
          <w:sz w:val="20"/>
        </w:rPr>
        <w:t xml:space="preserve">What it shows  </w:t>
      </w:r>
      <w:r>
        <w:t>How much the price has been moving about, expressed as a yearly percentage.</w:t>
      </w:r>
    </w:p>
    <w:p w14:paraId="3A98E229" w14:textId="77777777" w:rsidR="00FC207D" w:rsidRDefault="00457720">
      <w:pPr>
        <w:spacing w:after="60"/>
      </w:pPr>
      <w:r>
        <w:rPr>
          <w:b/>
          <w:color w:val="C2410C"/>
          <w:sz w:val="20"/>
        </w:rPr>
        <w:t xml:space="preserve">How to read it  </w:t>
      </w:r>
      <w:r>
        <w:t>Higher means wider swings. Compare the current level with the typical level.</w:t>
      </w:r>
    </w:p>
    <w:p w14:paraId="16290C23" w14:textId="77777777" w:rsidR="00FC207D" w:rsidRDefault="00457720">
      <w:pPr>
        <w:spacing w:after="60"/>
      </w:pPr>
      <w:r>
        <w:rPr>
          <w:b/>
          <w:color w:val="C2410C"/>
          <w:sz w:val="20"/>
        </w:rPr>
        <w:t xml:space="preserve">What it says now  </w:t>
      </w:r>
      <w:r>
        <w:t>Teja is at 32% against a long-run median of 31% — normal. The sample ranges from 12% to 77%, so this market can become three times more volatile than it is today. LCA 334 is at 28.3% against a 28.9% median.</w:t>
      </w:r>
    </w:p>
    <w:p w14:paraId="3FC352FD" w14:textId="77777777" w:rsidR="00FC207D" w:rsidRDefault="00457720">
      <w:pPr>
        <w:spacing w:after="60"/>
      </w:pPr>
      <w:r>
        <w:rPr>
          <w:b/>
          <w:color w:val="C2410C"/>
          <w:sz w:val="20"/>
        </w:rPr>
        <w:t xml:space="preserve">What to do with it  </w:t>
      </w:r>
      <w:r>
        <w:t>Sets position sizing and hedge cost expectations. Today's calm is average, not unusually safe — and every forecast interval widens when volatility rises.</w:t>
      </w:r>
    </w:p>
    <w:p w14:paraId="43537732" w14:textId="77777777" w:rsidR="00FC207D" w:rsidRDefault="00FC207D">
      <w:pPr>
        <w:spacing w:after="40"/>
      </w:pPr>
    </w:p>
    <w:p w14:paraId="74109759" w14:textId="77777777" w:rsidR="00FC207D" w:rsidRDefault="00457720">
      <w:pPr>
        <w:pStyle w:val="Heading3"/>
      </w:pPr>
      <w:r>
        <w:t>Chart — relative performance, rebased to 100</w:t>
      </w:r>
    </w:p>
    <w:p w14:paraId="3B8B1789" w14:textId="77777777" w:rsidR="00FC207D" w:rsidRDefault="00457720">
      <w:pPr>
        <w:spacing w:after="60"/>
      </w:pPr>
      <w:r>
        <w:rPr>
          <w:b/>
          <w:color w:val="C2410C"/>
          <w:sz w:val="20"/>
        </w:rPr>
        <w:t xml:space="preserve">What it shows  </w:t>
      </w:r>
      <w:r>
        <w:t>Every variety re-indexed to 100 at the start of the window, so lines show percentage gains rather than price levels.</w:t>
      </w:r>
    </w:p>
    <w:p w14:paraId="6212B351" w14:textId="77777777" w:rsidR="00FC207D" w:rsidRDefault="00457720">
      <w:pPr>
        <w:spacing w:after="60"/>
      </w:pPr>
      <w:r>
        <w:rPr>
          <w:b/>
          <w:color w:val="C2410C"/>
          <w:sz w:val="20"/>
        </w:rPr>
        <w:t xml:space="preserve">How to read it  </w:t>
      </w:r>
      <w:r>
        <w:t>The highest line has performed best over the window, regardless of its rupee price.</w:t>
      </w:r>
    </w:p>
    <w:p w14:paraId="02760E62" w14:textId="77777777" w:rsidR="00FC207D" w:rsidRDefault="00457720">
      <w:pPr>
        <w:spacing w:after="60"/>
      </w:pPr>
      <w:r>
        <w:rPr>
          <w:b/>
          <w:color w:val="C2410C"/>
          <w:sz w:val="20"/>
        </w:rPr>
        <w:t xml:space="preserve">What it says now  </w:t>
      </w:r>
      <w:r>
        <w:t>Over twelve months LCA 334, No.273 and Byadgi have gained 114–117% while Teja gained 59.6% and No.5 and US 341 about 88%. The premium grades have massively outperformed.</w:t>
      </w:r>
    </w:p>
    <w:p w14:paraId="061284EB" w14:textId="77777777" w:rsidR="00FC207D" w:rsidRDefault="00457720">
      <w:pPr>
        <w:spacing w:after="60"/>
      </w:pPr>
      <w:r>
        <w:rPr>
          <w:b/>
          <w:color w:val="C2410C"/>
          <w:sz w:val="20"/>
        </w:rPr>
        <w:t xml:space="preserve">What to do with it  </w:t>
      </w:r>
      <w:r>
        <w:t>This is the single most useful chart for grade selection. If you hold Teja, you have captured only half the move the premium grades delivered.</w:t>
      </w:r>
    </w:p>
    <w:p w14:paraId="0F81F182" w14:textId="77777777" w:rsidR="00FC207D" w:rsidRDefault="00FC207D">
      <w:pPr>
        <w:spacing w:after="40"/>
      </w:pPr>
    </w:p>
    <w:p w14:paraId="071AD34D" w14:textId="77777777" w:rsidR="00FC207D" w:rsidRDefault="00457720">
      <w:pPr>
        <w:pStyle w:val="Heading3"/>
      </w:pPr>
      <w:r>
        <w:t>Tables — descriptive statistics and change by horizon</w:t>
      </w:r>
    </w:p>
    <w:p w14:paraId="2B28D55A" w14:textId="77777777" w:rsidR="00FC207D" w:rsidRDefault="00457720">
      <w:pPr>
        <w:spacing w:after="60"/>
      </w:pPr>
      <w:r>
        <w:rPr>
          <w:b/>
          <w:color w:val="C2410C"/>
          <w:sz w:val="20"/>
        </w:rPr>
        <w:t xml:space="preserve">What it shows  </w:t>
      </w:r>
      <w:r>
        <w:t>The statistical profile of the series (average, spread, extremes, shape) beside its change over each horizon.</w:t>
      </w:r>
    </w:p>
    <w:p w14:paraId="588DAB82" w14:textId="77777777" w:rsidR="00FC207D" w:rsidRDefault="00457720">
      <w:pPr>
        <w:spacing w:after="60"/>
      </w:pPr>
      <w:r>
        <w:rPr>
          <w:b/>
          <w:color w:val="C2410C"/>
          <w:sz w:val="20"/>
        </w:rPr>
        <w:t xml:space="preserve">How to read it  </w:t>
      </w:r>
      <w:r>
        <w:t>The coefficient of variation is the useful one: it expresses the spread as a share of the average, so it is comparable across varieties.</w:t>
      </w:r>
    </w:p>
    <w:p w14:paraId="4DF97933" w14:textId="77777777" w:rsidR="00FC207D" w:rsidRDefault="00457720">
      <w:pPr>
        <w:spacing w:after="60"/>
      </w:pPr>
      <w:r>
        <w:rPr>
          <w:b/>
          <w:color w:val="C2410C"/>
          <w:sz w:val="20"/>
        </w:rPr>
        <w:t xml:space="preserve">What it says now  </w:t>
      </w:r>
      <w:r>
        <w:t>Teja's weekly series averages 13,847 with a standard deviation of 4,626 — a coefficient of variation of 33%. It has ranged from 4,750 to 24,450 over the period.</w:t>
      </w:r>
    </w:p>
    <w:p w14:paraId="76AB68F3" w14:textId="77777777" w:rsidR="00FC207D" w:rsidRDefault="00457720">
      <w:pPr>
        <w:spacing w:after="60"/>
      </w:pPr>
      <w:r>
        <w:rPr>
          <w:b/>
          <w:color w:val="C2410C"/>
          <w:sz w:val="20"/>
        </w:rPr>
        <w:t xml:space="preserve">What to do with it  </w:t>
      </w:r>
      <w:r>
        <w:t>Frames what “normal” means. Today's 20,750 sits near the historical top, not in the middle of the range.</w:t>
      </w:r>
    </w:p>
    <w:p w14:paraId="28E620CC" w14:textId="77777777" w:rsidR="00FC207D" w:rsidRDefault="00FC207D">
      <w:pPr>
        <w:spacing w:after="40"/>
      </w:pPr>
    </w:p>
    <w:p w14:paraId="1F8508F4" w14:textId="77777777" w:rsidR="00FC207D" w:rsidRDefault="00457720">
      <w:pPr>
        <w:pStyle w:val="Heading3"/>
      </w:pPr>
      <w:r>
        <w:lastRenderedPageBreak/>
        <w:t>Chart — decomposition into trend, seasonal and irregular</w:t>
      </w:r>
    </w:p>
    <w:p w14:paraId="4DB5401F" w14:textId="77777777" w:rsidR="00FC207D" w:rsidRDefault="00457720">
      <w:pPr>
        <w:spacing w:after="60"/>
      </w:pPr>
      <w:r>
        <w:rPr>
          <w:b/>
          <w:color w:val="C2410C"/>
          <w:sz w:val="20"/>
        </w:rPr>
        <w:t xml:space="preserve">What it shows  </w:t>
      </w:r>
      <w:r>
        <w:t>The series split into three stacked panels: the underlying trend, the repeating calendar pattern, and everything left over.</w:t>
      </w:r>
    </w:p>
    <w:p w14:paraId="3D69CA0A" w14:textId="77777777" w:rsidR="00FC207D" w:rsidRDefault="00457720">
      <w:pPr>
        <w:spacing w:after="60"/>
      </w:pPr>
      <w:r>
        <w:rPr>
          <w:b/>
          <w:color w:val="C2410C"/>
          <w:sz w:val="20"/>
        </w:rPr>
        <w:t xml:space="preserve">How to read it  </w:t>
      </w:r>
      <w:r>
        <w:t>The relative size of the panels tells you what actually drives the price. A large trend panel means the level matters more than the calendar.</w:t>
      </w:r>
    </w:p>
    <w:p w14:paraId="1E78C73D" w14:textId="77777777" w:rsidR="00FC207D" w:rsidRDefault="00457720">
      <w:pPr>
        <w:spacing w:after="60"/>
      </w:pPr>
      <w:r>
        <w:rPr>
          <w:b/>
          <w:color w:val="C2410C"/>
          <w:sz w:val="20"/>
        </w:rPr>
        <w:t xml:space="preserve">What it says now  </w:t>
      </w:r>
      <w:r>
        <w:t>For Teja on monthly data: trend explains 90% of the variation, seasonality just 4%, and irregular movement 6%.</w:t>
      </w:r>
    </w:p>
    <w:p w14:paraId="1A802E54" w14:textId="77777777" w:rsidR="00FC207D" w:rsidRDefault="00457720">
      <w:pPr>
        <w:spacing w:after="60"/>
      </w:pPr>
      <w:r>
        <w:rPr>
          <w:b/>
          <w:color w:val="C2410C"/>
          <w:sz w:val="20"/>
        </w:rPr>
        <w:t xml:space="preserve">What to do with it  </w:t>
      </w:r>
      <w:r>
        <w:t>This is a decisive finding. Seasonal timing is worth a few percent; the trend is worth tens of percent. Get the direction right first and worry about the month second.</w:t>
      </w:r>
    </w:p>
    <w:p w14:paraId="427E04B6" w14:textId="77777777" w:rsidR="00FC207D" w:rsidRDefault="00FC207D">
      <w:pPr>
        <w:spacing w:after="40"/>
      </w:pPr>
    </w:p>
    <w:p w14:paraId="77879CCB" w14:textId="77777777" w:rsidR="00FC207D" w:rsidRDefault="00457720">
      <w:pPr>
        <w:pStyle w:val="Heading3"/>
      </w:pPr>
      <w:r>
        <w:t>Tables and charts — stationarity, autocorrelation, outliers</w:t>
      </w:r>
    </w:p>
    <w:p w14:paraId="2897206B" w14:textId="77777777" w:rsidR="00FC207D" w:rsidRDefault="00457720">
      <w:pPr>
        <w:spacing w:after="60"/>
      </w:pPr>
      <w:r>
        <w:rPr>
          <w:b/>
          <w:color w:val="C2410C"/>
          <w:sz w:val="20"/>
        </w:rPr>
        <w:t xml:space="preserve">What it shows  </w:t>
      </w:r>
      <w:r>
        <w:t>Technical checks on whether the series wanders without an anchor, how long its memory is, and which observations are unusual.</w:t>
      </w:r>
    </w:p>
    <w:p w14:paraId="48C36856" w14:textId="77777777" w:rsidR="00FC207D" w:rsidRDefault="00457720">
      <w:pPr>
        <w:spacing w:after="60"/>
      </w:pPr>
      <w:r>
        <w:rPr>
          <w:b/>
          <w:color w:val="C2410C"/>
          <w:sz w:val="20"/>
        </w:rPr>
        <w:t xml:space="preserve">How to read it  </w:t>
      </w:r>
      <w:r>
        <w:t>Mostly of interest to whoever validates the forecasts. The conclusion line is the part to read.</w:t>
      </w:r>
    </w:p>
    <w:p w14:paraId="0B867F51" w14:textId="77777777" w:rsidR="00FC207D" w:rsidRDefault="00457720">
      <w:pPr>
        <w:spacing w:after="60"/>
      </w:pPr>
      <w:r>
        <w:rPr>
          <w:b/>
          <w:color w:val="C2410C"/>
          <w:sz w:val="20"/>
        </w:rPr>
        <w:t xml:space="preserve">What it says now  </w:t>
      </w:r>
      <w:r>
        <w:t>Both tests agree Teja's weekly price has no anchor (ADF p=0.56, KPSS p=0.01), so the models work on changes, not levels. Autocorrelation stays significant out to lag 30 — the signature of a strongly trending series. No observation is flagged as an outlier.</w:t>
      </w:r>
    </w:p>
    <w:p w14:paraId="41CEF242" w14:textId="77777777" w:rsidR="00FC207D" w:rsidRDefault="00457720">
      <w:pPr>
        <w:spacing w:after="60"/>
      </w:pPr>
      <w:r>
        <w:rPr>
          <w:b/>
          <w:color w:val="C2410C"/>
          <w:sz w:val="20"/>
        </w:rPr>
        <w:t xml:space="preserve">What to do with it  </w:t>
      </w:r>
      <w:r>
        <w:t>Reassurance that the forecasting is set up correctly, and that the data contains no obvious keying errors. Nothing is ever removed from any calculation.</w:t>
      </w:r>
    </w:p>
    <w:p w14:paraId="3B30B1C8"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552475A6" w14:textId="77777777">
        <w:trPr>
          <w:jc w:val="center"/>
        </w:trPr>
        <w:tc>
          <w:tcPr>
            <w:tcW w:w="9411" w:type="dxa"/>
            <w:tcBorders>
              <w:left w:val="single" w:sz="18" w:space="0" w:color="C2410C"/>
            </w:tcBorders>
            <w:shd w:val="clear" w:color="auto" w:fill="FDF1E7"/>
          </w:tcPr>
          <w:p w14:paraId="56211D65" w14:textId="77777777" w:rsidR="00FC207D" w:rsidRDefault="00457720">
            <w:pPr>
              <w:spacing w:after="40"/>
            </w:pPr>
            <w:r>
              <w:rPr>
                <w:b/>
                <w:color w:val="C2410C"/>
                <w:sz w:val="20"/>
              </w:rPr>
              <w:t>Conclusion for Page 3</w:t>
            </w:r>
          </w:p>
          <w:p w14:paraId="4F71A06E" w14:textId="77777777" w:rsidR="00FC207D" w:rsidRDefault="00457720">
            <w:pPr>
              <w:spacing w:after="0"/>
            </w:pPr>
            <w:r>
              <w:rPr>
                <w:sz w:val="20"/>
              </w:rPr>
              <w:t>Teja is in a strong, stretched uptrend with ordinary volatility. Ninety percent of what moves this price is trend, not season. And the premium grades have delivered roughly double Teja's twelve-month gain — the most actionable single fact on this page.</w:t>
            </w:r>
          </w:p>
        </w:tc>
      </w:tr>
    </w:tbl>
    <w:p w14:paraId="72C24B66" w14:textId="77777777" w:rsidR="00FC207D" w:rsidRDefault="00FC207D">
      <w:pPr>
        <w:spacing w:after="80"/>
      </w:pPr>
    </w:p>
    <w:p w14:paraId="22D3900D" w14:textId="77777777" w:rsidR="00FC207D" w:rsidRDefault="00457720">
      <w:pPr>
        <w:pStyle w:val="Heading2"/>
      </w:pPr>
      <w:bookmarkStart w:id="13" w:name="_Toc236139945"/>
      <w:r>
        <w:t>Page 4 — Arrival Analysis</w:t>
      </w:r>
      <w:bookmarkEnd w:id="13"/>
    </w:p>
    <w:p w14:paraId="294A1046" w14:textId="77777777" w:rsidR="00FC207D" w:rsidRDefault="00457720">
      <w:pPr>
        <w:spacing w:after="60"/>
      </w:pPr>
      <w:r>
        <w:rPr>
          <w:b/>
          <w:color w:val="C2410C"/>
          <w:sz w:val="20"/>
        </w:rPr>
        <w:t xml:space="preserve">Purpose  </w:t>
      </w:r>
      <w:r>
        <w:t>Test the trade's oldest assumption: that heavy arrivals push prices down. The dashboard tests it four different ways.</w:t>
      </w:r>
    </w:p>
    <w:p w14:paraId="195F2732" w14:textId="77777777" w:rsidR="00FC207D" w:rsidRDefault="00457720">
      <w:pPr>
        <w:pStyle w:val="Heading3"/>
      </w:pPr>
      <w:r>
        <w:t>Charts — price against arrivals, and arrivals against offtake</w:t>
      </w:r>
    </w:p>
    <w:p w14:paraId="726F73DD" w14:textId="77777777" w:rsidR="00FC207D" w:rsidRDefault="00457720">
      <w:pPr>
        <w:spacing w:after="60"/>
      </w:pPr>
      <w:r>
        <w:rPr>
          <w:b/>
          <w:color w:val="C2410C"/>
          <w:sz w:val="20"/>
        </w:rPr>
        <w:t xml:space="preserve">What it shows  </w:t>
      </w:r>
      <w:r>
        <w:t>Price with arrival bars, then arrivals compared with the quantity actually lifted.</w:t>
      </w:r>
    </w:p>
    <w:p w14:paraId="38BCE929" w14:textId="77777777" w:rsidR="00FC207D" w:rsidRDefault="00457720">
      <w:pPr>
        <w:spacing w:after="60"/>
      </w:pPr>
      <w:r>
        <w:rPr>
          <w:b/>
          <w:color w:val="C2410C"/>
          <w:sz w:val="20"/>
        </w:rPr>
        <w:t xml:space="preserve">How to read it  </w:t>
      </w:r>
      <w:r>
        <w:t>In the second chart, arrivals persistently above offtake means stock is accumulating in the mandi.</w:t>
      </w:r>
    </w:p>
    <w:p w14:paraId="424997BF" w14:textId="77777777" w:rsidR="00FC207D" w:rsidRDefault="00457720">
      <w:pPr>
        <w:spacing w:after="60"/>
      </w:pPr>
      <w:r>
        <w:rPr>
          <w:b/>
          <w:color w:val="C2410C"/>
          <w:sz w:val="20"/>
        </w:rPr>
        <w:t xml:space="preserve">What it says now  </w:t>
      </w:r>
      <w:r>
        <w:t>The offtake ratio is 62.1% now against a 75.6% long-run average, having ranged from 47.8% to 100%. Less than two-thirds of arriving material is being lifted.</w:t>
      </w:r>
    </w:p>
    <w:p w14:paraId="1C4F49AA" w14:textId="77777777" w:rsidR="00FC207D" w:rsidRDefault="00457720">
      <w:pPr>
        <w:spacing w:after="60"/>
      </w:pPr>
      <w:r>
        <w:rPr>
          <w:b/>
          <w:color w:val="C2410C"/>
          <w:sz w:val="20"/>
        </w:rPr>
        <w:t xml:space="preserve">What to do with it  </w:t>
      </w:r>
      <w:r>
        <w:t>The offtake ratio is the more useful of the two. A ratio well below normal in a tight-supply market signals buyer resistance at current prices.</w:t>
      </w:r>
    </w:p>
    <w:p w14:paraId="28C9B8FB" w14:textId="77777777" w:rsidR="00FC207D" w:rsidRDefault="00FC207D">
      <w:pPr>
        <w:spacing w:after="40"/>
      </w:pPr>
    </w:p>
    <w:p w14:paraId="5DCA2DD4" w14:textId="77777777" w:rsidR="00FC207D" w:rsidRDefault="00457720">
      <w:pPr>
        <w:pStyle w:val="Heading3"/>
      </w:pPr>
      <w:r>
        <w:t>Chart — scatter of arrivals against price, coloured by date</w:t>
      </w:r>
    </w:p>
    <w:p w14:paraId="304D0425" w14:textId="77777777" w:rsidR="00FC207D" w:rsidRDefault="00457720">
      <w:pPr>
        <w:spacing w:after="60"/>
      </w:pPr>
      <w:r>
        <w:rPr>
          <w:b/>
          <w:color w:val="C2410C"/>
          <w:sz w:val="20"/>
        </w:rPr>
        <w:t xml:space="preserve">What it shows  </w:t>
      </w:r>
      <w:r>
        <w:t>One dot per period. Colour shows when the observation happened.</w:t>
      </w:r>
    </w:p>
    <w:p w14:paraId="15A4C906" w14:textId="77777777" w:rsidR="00FC207D" w:rsidRDefault="00457720">
      <w:pPr>
        <w:spacing w:after="60"/>
      </w:pPr>
      <w:r>
        <w:rPr>
          <w:b/>
          <w:color w:val="C2410C"/>
          <w:sz w:val="20"/>
        </w:rPr>
        <w:t xml:space="preserve">How to read it  </w:t>
      </w:r>
      <w:r>
        <w:t>A downward-sloping cloud would confirm the supply effect. Colour banding shows whether the relationship has shifted over the years.</w:t>
      </w:r>
    </w:p>
    <w:p w14:paraId="6DC0ACE4" w14:textId="77777777" w:rsidR="00FC207D" w:rsidRDefault="00457720">
      <w:pPr>
        <w:spacing w:after="60"/>
      </w:pPr>
      <w:r>
        <w:rPr>
          <w:b/>
          <w:color w:val="C2410C"/>
          <w:sz w:val="20"/>
        </w:rPr>
        <w:t xml:space="preserve">What it says now  </w:t>
      </w:r>
      <w:r>
        <w:t>The cloud is diffuse with no clear slope. The fitted line explains very little.</w:t>
      </w:r>
    </w:p>
    <w:p w14:paraId="13B58C22" w14:textId="77777777" w:rsidR="00FC207D" w:rsidRDefault="00457720">
      <w:pPr>
        <w:spacing w:after="60"/>
      </w:pPr>
      <w:r>
        <w:rPr>
          <w:b/>
          <w:color w:val="C2410C"/>
          <w:sz w:val="20"/>
        </w:rPr>
        <w:lastRenderedPageBreak/>
        <w:t xml:space="preserve">What to do with it  </w:t>
      </w:r>
      <w:r>
        <w:t>Visual confirmation, before any statistics, that arrivals alone do not set price.</w:t>
      </w:r>
    </w:p>
    <w:p w14:paraId="36CDBE02" w14:textId="77777777" w:rsidR="00FC207D" w:rsidRDefault="00FC207D">
      <w:pPr>
        <w:spacing w:after="40"/>
      </w:pPr>
    </w:p>
    <w:p w14:paraId="0DFF1B69" w14:textId="77777777" w:rsidR="00FC207D" w:rsidRDefault="00457720">
      <w:pPr>
        <w:pStyle w:val="Heading3"/>
      </w:pPr>
      <w:r>
        <w:t>Table and chart — elasticity by arrivals lag</w:t>
      </w:r>
    </w:p>
    <w:p w14:paraId="0ECB45F7" w14:textId="77777777" w:rsidR="00FC207D" w:rsidRDefault="00457720">
      <w:pPr>
        <w:spacing w:after="60"/>
      </w:pPr>
      <w:r>
        <w:rPr>
          <w:b/>
          <w:color w:val="C2410C"/>
          <w:sz w:val="20"/>
        </w:rPr>
        <w:t xml:space="preserve">What it shows  </w:t>
      </w:r>
      <w:r>
        <w:t>How much price responds, in percent, to a 1% change in arrivals, tested at lags of zero to four weeks.</w:t>
      </w:r>
    </w:p>
    <w:p w14:paraId="2747DEC3" w14:textId="77777777" w:rsidR="00FC207D" w:rsidRDefault="00457720">
      <w:pPr>
        <w:spacing w:after="60"/>
      </w:pPr>
      <w:r>
        <w:rPr>
          <w:b/>
          <w:color w:val="C2410C"/>
          <w:sz w:val="20"/>
        </w:rPr>
        <w:t xml:space="preserve">How to read it  </w:t>
      </w:r>
      <w:r>
        <w:t>A large negative number would mean heavy arrivals cut prices hard. Check the Significant column before believing any row.</w:t>
      </w:r>
    </w:p>
    <w:p w14:paraId="0B39A401" w14:textId="77777777" w:rsidR="00FC207D" w:rsidRDefault="00457720">
      <w:pPr>
        <w:spacing w:after="60"/>
      </w:pPr>
      <w:r>
        <w:rPr>
          <w:b/>
          <w:color w:val="C2410C"/>
          <w:sz w:val="20"/>
        </w:rPr>
        <w:t xml:space="preserve">What it says now  </w:t>
      </w:r>
      <w:r>
        <w:t>Only one lag is statistically significant: at one week ahead, elasticity is −0.011 (p=0.012) with an R² of 0.011. In plain terms, a 1% rise in arrivals is associated with a 0.011% lower price a week later, and arrivals explain about 1% of weekly price movement.</w:t>
      </w:r>
    </w:p>
    <w:p w14:paraId="3D556094" w14:textId="77777777" w:rsidR="00FC207D" w:rsidRDefault="00457720">
      <w:pPr>
        <w:spacing w:after="60"/>
      </w:pPr>
      <w:r>
        <w:rPr>
          <w:b/>
          <w:color w:val="C2410C"/>
          <w:sz w:val="20"/>
        </w:rPr>
        <w:t xml:space="preserve">What to do with it  </w:t>
      </w:r>
      <w:r>
        <w:t>This is the page's headline result, and it is a negative one. The direction is right but the size is negligible. Any purchase plan built mainly on arrival forecasts is built on almost nothing.</w:t>
      </w:r>
    </w:p>
    <w:p w14:paraId="0F66D9AC" w14:textId="77777777" w:rsidR="00FC207D" w:rsidRDefault="00FC207D">
      <w:pPr>
        <w:spacing w:after="40"/>
      </w:pPr>
    </w:p>
    <w:p w14:paraId="77B94F08" w14:textId="77777777" w:rsidR="00FC207D" w:rsidRDefault="00457720">
      <w:pPr>
        <w:pStyle w:val="Heading3"/>
      </w:pPr>
      <w:r>
        <w:t>Table and chart — threshold effects by arrival quintile</w:t>
      </w:r>
    </w:p>
    <w:p w14:paraId="1B19E4EA" w14:textId="77777777" w:rsidR="00FC207D" w:rsidRDefault="00457720">
      <w:pPr>
        <w:spacing w:after="60"/>
      </w:pPr>
      <w:r>
        <w:rPr>
          <w:b/>
          <w:color w:val="C2410C"/>
          <w:sz w:val="20"/>
        </w:rPr>
        <w:t xml:space="preserve">What it shows  </w:t>
      </w:r>
      <w:r>
        <w:t>Weeks sorted into five buckets by arrival volume, showing what price did next in each.</w:t>
      </w:r>
    </w:p>
    <w:p w14:paraId="4B6F93FD" w14:textId="77777777" w:rsidR="00FC207D" w:rsidRDefault="00457720">
      <w:pPr>
        <w:spacing w:after="60"/>
      </w:pPr>
      <w:r>
        <w:rPr>
          <w:b/>
          <w:color w:val="C2410C"/>
          <w:sz w:val="20"/>
        </w:rPr>
        <w:t xml:space="preserve">How to read it  </w:t>
      </w:r>
      <w:r>
        <w:t>The intended question is “above what arrival level do prices come under pressure?” Check the significance note before treating any threshold as a rule.</w:t>
      </w:r>
    </w:p>
    <w:p w14:paraId="128D267B" w14:textId="77777777" w:rsidR="00FC207D" w:rsidRDefault="00457720">
      <w:pPr>
        <w:spacing w:after="60"/>
      </w:pPr>
      <w:r>
        <w:rPr>
          <w:b/>
          <w:color w:val="C2410C"/>
          <w:sz w:val="20"/>
        </w:rPr>
        <w:t xml:space="preserve">What it says now  </w:t>
      </w:r>
      <w:r>
        <w:t>The gradient runs the expected way: the lightest bucket (40,000–180,000 bags) averaged +0.87% the following week with prices falling 43% of the time, while the heaviest (383,000–755,000) averaged −0.26% with prices falling 54% of the time. But the difference between the extremes is not statistically significant (t=−1.48, p=0.141).</w:t>
      </w:r>
    </w:p>
    <w:p w14:paraId="4C0A00CB" w14:textId="77777777" w:rsidR="00FC207D" w:rsidRDefault="00457720">
      <w:pPr>
        <w:spacing w:after="60"/>
      </w:pPr>
      <w:r>
        <w:rPr>
          <w:b/>
          <w:color w:val="C2410C"/>
          <w:sz w:val="20"/>
        </w:rPr>
        <w:t xml:space="preserve">What to do with it  </w:t>
      </w:r>
      <w:r>
        <w:t>Use the 383,000-bag level as a soft caution flag, not a trading rule. The pattern is the right shape but too weak to rely on. Reporting it as a threshold would overstate what the data supports.</w:t>
      </w:r>
    </w:p>
    <w:p w14:paraId="36CD49DB" w14:textId="77777777" w:rsidR="00FC207D" w:rsidRDefault="00FC207D">
      <w:pPr>
        <w:spacing w:after="40"/>
      </w:pPr>
    </w:p>
    <w:p w14:paraId="7C9735CA" w14:textId="77777777" w:rsidR="00FC207D" w:rsidRDefault="00457720">
      <w:pPr>
        <w:pStyle w:val="Heading3"/>
      </w:pPr>
      <w:r>
        <w:t>Chart — lagged impact of arrivals on price change</w:t>
      </w:r>
    </w:p>
    <w:p w14:paraId="4FF7816A" w14:textId="77777777" w:rsidR="00FC207D" w:rsidRDefault="00457720">
      <w:pPr>
        <w:spacing w:after="60"/>
      </w:pPr>
      <w:r>
        <w:rPr>
          <w:b/>
          <w:color w:val="C2410C"/>
          <w:sz w:val="20"/>
        </w:rPr>
        <w:t xml:space="preserve">What it shows  </w:t>
      </w:r>
      <w:r>
        <w:t>The correlation between changes in arrivals and changes in price, at successive lags.</w:t>
      </w:r>
    </w:p>
    <w:p w14:paraId="652CA33C" w14:textId="77777777" w:rsidR="00FC207D" w:rsidRDefault="00457720">
      <w:pPr>
        <w:spacing w:after="60"/>
      </w:pPr>
      <w:r>
        <w:rPr>
          <w:b/>
          <w:color w:val="C2410C"/>
          <w:sz w:val="20"/>
        </w:rPr>
        <w:t xml:space="preserve">How to read it  </w:t>
      </w:r>
      <w:r>
        <w:t>The tallest bar clearing the shaded significance band shows how long the effect takes.</w:t>
      </w:r>
    </w:p>
    <w:p w14:paraId="7C7F2BEE" w14:textId="77777777" w:rsidR="00FC207D" w:rsidRDefault="00457720">
      <w:pPr>
        <w:spacing w:after="60"/>
      </w:pPr>
      <w:r>
        <w:rPr>
          <w:b/>
          <w:color w:val="C2410C"/>
          <w:sz w:val="20"/>
        </w:rPr>
        <w:t xml:space="preserve">What it says now  </w:t>
      </w:r>
      <w:r>
        <w:t>Only the same-week lag is significant, and weakly (r=0.083, p=0.044). No later lag matters. The effect, such as it is, is immediate and small.</w:t>
      </w:r>
    </w:p>
    <w:p w14:paraId="35C54252" w14:textId="77777777" w:rsidR="00FC207D" w:rsidRDefault="00457720">
      <w:pPr>
        <w:spacing w:after="60"/>
      </w:pPr>
      <w:r>
        <w:rPr>
          <w:b/>
          <w:color w:val="C2410C"/>
          <w:sz w:val="20"/>
        </w:rPr>
        <w:t xml:space="preserve">What to do with it  </w:t>
      </w:r>
      <w:r>
        <w:t>Rules out the idea of a delayed arrivals effect you could position ahead of.</w:t>
      </w:r>
    </w:p>
    <w:p w14:paraId="6B8E1D2D" w14:textId="77777777" w:rsidR="00FC207D" w:rsidRDefault="00FC207D">
      <w:pPr>
        <w:spacing w:after="40"/>
      </w:pPr>
    </w:p>
    <w:p w14:paraId="46023BF0" w14:textId="77777777" w:rsidR="00FC207D" w:rsidRDefault="00457720">
      <w:pPr>
        <w:pStyle w:val="Heading3"/>
      </w:pPr>
      <w:r>
        <w:t>Calendar heatmap and season table</w:t>
      </w:r>
    </w:p>
    <w:p w14:paraId="5EC231F0" w14:textId="77777777" w:rsidR="00FC207D" w:rsidRDefault="00457720">
      <w:pPr>
        <w:spacing w:after="60"/>
      </w:pPr>
      <w:r>
        <w:rPr>
          <w:b/>
          <w:color w:val="C2410C"/>
          <w:sz w:val="20"/>
        </w:rPr>
        <w:t xml:space="preserve">What it shows  </w:t>
      </w:r>
      <w:r>
        <w:t>Monthly arrivals for every year as a coloured grid, then the derived harvest and lean classification.</w:t>
      </w:r>
    </w:p>
    <w:p w14:paraId="5B02B687" w14:textId="77777777" w:rsidR="00FC207D" w:rsidRDefault="00457720">
      <w:pPr>
        <w:spacing w:after="60"/>
      </w:pPr>
      <w:r>
        <w:rPr>
          <w:b/>
          <w:color w:val="C2410C"/>
          <w:sz w:val="20"/>
        </w:rPr>
        <w:t xml:space="preserve">How to read it  </w:t>
      </w:r>
      <w:r>
        <w:t>Vertical banding in the grid means a reliable seasonal pattern.</w:t>
      </w:r>
    </w:p>
    <w:p w14:paraId="122139EE" w14:textId="77777777" w:rsidR="00FC207D" w:rsidRDefault="00457720">
      <w:pPr>
        <w:spacing w:after="60"/>
      </w:pPr>
      <w:r>
        <w:rPr>
          <w:b/>
          <w:color w:val="C2410C"/>
          <w:sz w:val="20"/>
        </w:rPr>
        <w:t xml:space="preserve">What it says now  </w:t>
      </w:r>
      <w:r>
        <w:t>Peak arrivals fall in February, March, April and November — March averages 1.67 million bags, 1.46 times the all-month average. The lean months are May, June, July and October, with May averaging just 365,000 bags, about a third of normal. The classification comes from ranking the workbook's own arrival data, not an outside crop calendar.</w:t>
      </w:r>
    </w:p>
    <w:p w14:paraId="1FB80D9E" w14:textId="77777777" w:rsidR="00FC207D" w:rsidRDefault="00457720">
      <w:pPr>
        <w:spacing w:after="60"/>
      </w:pPr>
      <w:r>
        <w:rPr>
          <w:b/>
          <w:color w:val="C2410C"/>
          <w:sz w:val="20"/>
        </w:rPr>
        <w:t xml:space="preserve">What to do with it  </w:t>
      </w:r>
      <w:r>
        <w:t>This is the reliable part of the arrivals story. Volume timing is highly predictable even though the price response is not — useful for logistics, storage and working capital planning rather than for price calls.</w:t>
      </w:r>
    </w:p>
    <w:p w14:paraId="72EF3C0A"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14A4592E" w14:textId="77777777">
        <w:trPr>
          <w:jc w:val="center"/>
        </w:trPr>
        <w:tc>
          <w:tcPr>
            <w:tcW w:w="9411" w:type="dxa"/>
            <w:tcBorders>
              <w:left w:val="single" w:sz="18" w:space="0" w:color="C2410C"/>
            </w:tcBorders>
            <w:shd w:val="clear" w:color="auto" w:fill="FDF1E7"/>
          </w:tcPr>
          <w:p w14:paraId="5EDF3D13" w14:textId="77777777" w:rsidR="00FC207D" w:rsidRDefault="00457720">
            <w:pPr>
              <w:spacing w:after="40"/>
            </w:pPr>
            <w:r>
              <w:rPr>
                <w:b/>
                <w:color w:val="C2410C"/>
                <w:sz w:val="20"/>
              </w:rPr>
              <w:t>Conclusion for Page 4</w:t>
            </w:r>
          </w:p>
          <w:p w14:paraId="3536DC0B" w14:textId="77777777" w:rsidR="00FC207D" w:rsidRDefault="00457720">
            <w:pPr>
              <w:spacing w:after="0"/>
            </w:pPr>
            <w:r>
              <w:rPr>
                <w:sz w:val="20"/>
              </w:rPr>
              <w:t>Arrivals are predictable; their price impact is not. The direction is correct — more arrivals, softer prices — but the effect is roughly a hundredth of a percent per percent, immediate rather than delayed, and the heavy-versus-light difference fails the significance test. Plan logistics around the arrival calendar and prices around the balance sheet.</w:t>
            </w:r>
          </w:p>
        </w:tc>
      </w:tr>
    </w:tbl>
    <w:p w14:paraId="7FFE029D" w14:textId="77777777" w:rsidR="00FC207D" w:rsidRDefault="00FC207D">
      <w:pPr>
        <w:spacing w:after="80"/>
      </w:pPr>
    </w:p>
    <w:p w14:paraId="4EB7371F" w14:textId="77777777" w:rsidR="00FC207D" w:rsidRDefault="00457720">
      <w:pPr>
        <w:pStyle w:val="Heading2"/>
      </w:pPr>
      <w:bookmarkStart w:id="14" w:name="_Toc236139946"/>
      <w:r>
        <w:t>Page 5 — Market Integration</w:t>
      </w:r>
      <w:bookmarkEnd w:id="14"/>
    </w:p>
    <w:p w14:paraId="65CA844A" w14:textId="77777777" w:rsidR="00FC207D" w:rsidRDefault="00457720">
      <w:pPr>
        <w:spacing w:after="60"/>
      </w:pPr>
      <w:r>
        <w:rPr>
          <w:b/>
          <w:color w:val="C2410C"/>
          <w:sz w:val="20"/>
        </w:rPr>
        <w:t xml:space="preserve">Purpose  </w:t>
      </w:r>
      <w:r>
        <w:t>Answer the question the brief puts most directly: does Guntur drive Warangal and Khammam? This page runs on daily data whatever the sidebar says, because averaging to weeks would erase a one- or two-day lead.</w:t>
      </w:r>
    </w:p>
    <w:p w14:paraId="2541F788" w14:textId="77777777" w:rsidR="00FC207D" w:rsidRDefault="00457720">
      <w:pPr>
        <w:pStyle w:val="Heading3"/>
      </w:pPr>
      <w:r>
        <w:t>Chart — Teja price by market, daily</w:t>
      </w:r>
    </w:p>
    <w:p w14:paraId="6EC1DE6A" w14:textId="77777777" w:rsidR="00FC207D" w:rsidRDefault="00457720">
      <w:pPr>
        <w:spacing w:after="60"/>
      </w:pPr>
      <w:r>
        <w:rPr>
          <w:b/>
          <w:color w:val="C2410C"/>
          <w:sz w:val="20"/>
        </w:rPr>
        <w:t xml:space="preserve">What it shows  </w:t>
      </w:r>
      <w:r>
        <w:t>The three mandis at full daily resolution.</w:t>
      </w:r>
    </w:p>
    <w:p w14:paraId="1E7E89B0" w14:textId="77777777" w:rsidR="00FC207D" w:rsidRDefault="00457720">
      <w:pPr>
        <w:spacing w:after="60"/>
      </w:pPr>
      <w:r>
        <w:rPr>
          <w:b/>
          <w:color w:val="C2410C"/>
          <w:sz w:val="20"/>
        </w:rPr>
        <w:t xml:space="preserve">How to read it  </w:t>
      </w:r>
      <w:r>
        <w:t>The finest view of how closely the markets track each other.</w:t>
      </w:r>
    </w:p>
    <w:p w14:paraId="7774DE1B" w14:textId="77777777" w:rsidR="00FC207D" w:rsidRDefault="00457720">
      <w:pPr>
        <w:spacing w:after="60"/>
      </w:pPr>
      <w:r>
        <w:rPr>
          <w:b/>
          <w:color w:val="C2410C"/>
          <w:sz w:val="20"/>
        </w:rPr>
        <w:t xml:space="preserve">What it says now  </w:t>
      </w:r>
      <w:r>
        <w:t>The lines move almost in lockstep, with Khammam fresh lots the loosest fit.</w:t>
      </w:r>
    </w:p>
    <w:p w14:paraId="5979A25A" w14:textId="77777777" w:rsidR="00FC207D" w:rsidRDefault="00457720">
      <w:pPr>
        <w:spacing w:after="60"/>
      </w:pPr>
      <w:r>
        <w:rPr>
          <w:b/>
          <w:color w:val="C2410C"/>
          <w:sz w:val="20"/>
        </w:rPr>
        <w:t xml:space="preserve">What to do with it  </w:t>
      </w:r>
      <w:r>
        <w:t>Establishes visually what the statistics below confirm.</w:t>
      </w:r>
    </w:p>
    <w:p w14:paraId="2A5629F1" w14:textId="77777777" w:rsidR="00FC207D" w:rsidRDefault="00FC207D">
      <w:pPr>
        <w:spacing w:after="40"/>
      </w:pPr>
    </w:p>
    <w:p w14:paraId="4693D4D2" w14:textId="77777777" w:rsidR="00FC207D" w:rsidRDefault="00457720">
      <w:pPr>
        <w:pStyle w:val="Heading3"/>
      </w:pPr>
      <w:r>
        <w:t>Chart — spread to Guntur</w:t>
      </w:r>
    </w:p>
    <w:p w14:paraId="30586710" w14:textId="77777777" w:rsidR="00FC207D" w:rsidRDefault="00457720">
      <w:pPr>
        <w:spacing w:after="60"/>
      </w:pPr>
      <w:r>
        <w:rPr>
          <w:b/>
          <w:color w:val="C2410C"/>
          <w:sz w:val="20"/>
        </w:rPr>
        <w:t xml:space="preserve">What it shows  </w:t>
      </w:r>
      <w:r>
        <w:t>Each market minus Guntur, so you see the premium or discount directly.</w:t>
      </w:r>
    </w:p>
    <w:p w14:paraId="4A76A46F" w14:textId="77777777" w:rsidR="00FC207D" w:rsidRDefault="00457720">
      <w:pPr>
        <w:spacing w:after="60"/>
      </w:pPr>
      <w:r>
        <w:rPr>
          <w:b/>
          <w:color w:val="C2410C"/>
          <w:sz w:val="20"/>
        </w:rPr>
        <w:t xml:space="preserve">How to read it  </w:t>
      </w:r>
      <w:r>
        <w:t>A spread oscillating around a stable level means integrated markets. A spread trending away means they are separating.</w:t>
      </w:r>
    </w:p>
    <w:p w14:paraId="448F0513" w14:textId="77777777" w:rsidR="00FC207D" w:rsidRDefault="00457720">
      <w:pPr>
        <w:spacing w:after="60"/>
      </w:pPr>
      <w:r>
        <w:rPr>
          <w:b/>
          <w:color w:val="C2410C"/>
          <w:sz w:val="20"/>
        </w:rPr>
        <w:t xml:space="preserve">What it says now  </w:t>
      </w:r>
      <w:r>
        <w:t>Spreads oscillate rather than trend, and Khammam fresh lots run at the widest discount.</w:t>
      </w:r>
    </w:p>
    <w:p w14:paraId="3DC28012" w14:textId="77777777" w:rsidR="00FC207D" w:rsidRDefault="00457720">
      <w:pPr>
        <w:spacing w:after="60"/>
      </w:pPr>
      <w:r>
        <w:rPr>
          <w:b/>
          <w:color w:val="C2410C"/>
          <w:sz w:val="20"/>
        </w:rPr>
        <w:t xml:space="preserve">What to do with it  </w:t>
      </w:r>
      <w:r>
        <w:t>This is a tradeable chart, but only because the cointegration test below confirms the spreads mean-revert. An extreme reading is a dislocation to close, not a new level.</w:t>
      </w:r>
    </w:p>
    <w:p w14:paraId="69B80808" w14:textId="77777777" w:rsidR="00FC207D" w:rsidRDefault="00FC207D">
      <w:pPr>
        <w:spacing w:after="40"/>
      </w:pPr>
    </w:p>
    <w:p w14:paraId="5418FE69" w14:textId="77777777" w:rsidR="00FC207D" w:rsidRDefault="00457720">
      <w:pPr>
        <w:pStyle w:val="Heading3"/>
      </w:pPr>
      <w:r>
        <w:t>Influence diagram</w:t>
      </w:r>
    </w:p>
    <w:p w14:paraId="5DE4E460" w14:textId="77777777" w:rsidR="00FC207D" w:rsidRDefault="00457720">
      <w:pPr>
        <w:spacing w:after="60"/>
      </w:pPr>
      <w:r>
        <w:rPr>
          <w:b/>
          <w:color w:val="C2410C"/>
          <w:sz w:val="20"/>
        </w:rPr>
        <w:t xml:space="preserve">What it shows  </w:t>
      </w:r>
      <w:r>
        <w:t>A network picture of which market drives which. Node size and colour follow the leadership score; solid arrows are one-way influence, dashed double-headed arrows are two-way feedback.</w:t>
      </w:r>
    </w:p>
    <w:p w14:paraId="311A15BC" w14:textId="77777777" w:rsidR="00FC207D" w:rsidRDefault="00457720">
      <w:pPr>
        <w:spacing w:after="60"/>
      </w:pPr>
      <w:r>
        <w:rPr>
          <w:b/>
          <w:color w:val="C2410C"/>
          <w:sz w:val="20"/>
        </w:rPr>
        <w:t xml:space="preserve">How to read it  </w:t>
      </w:r>
      <w:r>
        <w:t>The biggest, brightest node with arrows pointing away from it is the price setter.</w:t>
      </w:r>
    </w:p>
    <w:p w14:paraId="50C0A57D" w14:textId="77777777" w:rsidR="00FC207D" w:rsidRDefault="00457720">
      <w:pPr>
        <w:spacing w:after="60"/>
      </w:pPr>
      <w:r>
        <w:rPr>
          <w:b/>
          <w:color w:val="C2410C"/>
          <w:sz w:val="20"/>
        </w:rPr>
        <w:t xml:space="preserve">What it says now  </w:t>
      </w:r>
      <w:r>
        <w:t>Guntur is the largest node. Two dashed arrows run from it (to Warangal and Khammam cold storage, with Guntur dominant in both) and one solid arrow (one-way to Khammam fresh lots).</w:t>
      </w:r>
    </w:p>
    <w:p w14:paraId="09997E3C" w14:textId="77777777" w:rsidR="00FC207D" w:rsidRDefault="00457720">
      <w:pPr>
        <w:spacing w:after="60"/>
      </w:pPr>
      <w:r>
        <w:rPr>
          <w:b/>
          <w:color w:val="C2410C"/>
          <w:sz w:val="20"/>
        </w:rPr>
        <w:t xml:space="preserve">What to do with it  </w:t>
      </w:r>
      <w:r>
        <w:t>The one-slide answer to “who sets the price”. Use it in a management pack.</w:t>
      </w:r>
    </w:p>
    <w:p w14:paraId="608C84C2" w14:textId="77777777" w:rsidR="00FC207D" w:rsidRDefault="00FC207D">
      <w:pPr>
        <w:spacing w:after="40"/>
      </w:pPr>
    </w:p>
    <w:p w14:paraId="09CDF2D4" w14:textId="77777777" w:rsidR="00FC207D" w:rsidRDefault="00457720">
      <w:pPr>
        <w:pStyle w:val="Heading3"/>
      </w:pPr>
      <w:r>
        <w:t>Table — pairwise direction of influence</w:t>
      </w:r>
    </w:p>
    <w:p w14:paraId="3CE95528" w14:textId="77777777" w:rsidR="00FC207D" w:rsidRDefault="00457720">
      <w:pPr>
        <w:spacing w:after="60"/>
      </w:pPr>
      <w:r>
        <w:rPr>
          <w:b/>
          <w:color w:val="C2410C"/>
          <w:sz w:val="20"/>
        </w:rPr>
        <w:t xml:space="preserve">What it shows  </w:t>
      </w:r>
      <w:r>
        <w:t>For every pair of markets, a causality test run in both directions and classified One-way, Feedback or Independent.</w:t>
      </w:r>
    </w:p>
    <w:p w14:paraId="5E74A477" w14:textId="77777777" w:rsidR="00FC207D" w:rsidRDefault="00457720">
      <w:pPr>
        <w:spacing w:after="60"/>
      </w:pPr>
      <w:r>
        <w:rPr>
          <w:b/>
          <w:color w:val="C2410C"/>
          <w:sz w:val="20"/>
        </w:rPr>
        <w:t xml:space="preserve">How to read it  </w:t>
      </w:r>
      <w:r>
        <w:t>Only One-way is evidence of leadership. Feedback means both markets set each other's price, which is normal in a well-arbitraged trade.</w:t>
      </w:r>
    </w:p>
    <w:p w14:paraId="3BD64744" w14:textId="77777777" w:rsidR="00FC207D" w:rsidRDefault="00457720">
      <w:pPr>
        <w:spacing w:after="60"/>
      </w:pPr>
      <w:r>
        <w:rPr>
          <w:b/>
          <w:color w:val="C2410C"/>
          <w:sz w:val="20"/>
        </w:rPr>
        <w:t xml:space="preserve">What it says now  </w:t>
      </w:r>
      <w:r>
        <w:t xml:space="preserve">Guntur one-way drives Khammam fresh lots (p=0.0014 one way against 0.338 the other). Guntur is the dominant partner in feedback relationships with Warangal (p=8×10⁻²⁹ versus 4×10⁻⁷) and with </w:t>
      </w:r>
      <w:r>
        <w:lastRenderedPageBreak/>
        <w:t>Khammam cold storage. Warangal one-way drives Khammam fresh lots. Khammam cold storage and Khammam fresh lots are statistically independent of each other (p=0.60 and 0.18).</w:t>
      </w:r>
    </w:p>
    <w:p w14:paraId="2678D3F8" w14:textId="77777777" w:rsidR="00FC207D" w:rsidRDefault="00457720">
      <w:pPr>
        <w:spacing w:after="60"/>
      </w:pPr>
      <w:r>
        <w:rPr>
          <w:b/>
          <w:color w:val="C2410C"/>
          <w:sz w:val="20"/>
        </w:rPr>
        <w:t xml:space="preserve">What to do with it  </w:t>
      </w:r>
      <w:r>
        <w:t>Directly answers the brief. Guntur influences all three counterparties. The surprise is that the two Khammam segments do not move each other — treat them as separate price pools despite sharing a mandi.</w:t>
      </w:r>
    </w:p>
    <w:p w14:paraId="0468A9E3" w14:textId="77777777" w:rsidR="00FC207D" w:rsidRDefault="00FC207D">
      <w:pPr>
        <w:spacing w:after="40"/>
      </w:pPr>
    </w:p>
    <w:p w14:paraId="3E4A264F" w14:textId="77777777" w:rsidR="00FC207D" w:rsidRDefault="00457720">
      <w:pPr>
        <w:pStyle w:val="Heading3"/>
      </w:pPr>
      <w:r>
        <w:t>Table — market leadership ranking</w:t>
      </w:r>
    </w:p>
    <w:p w14:paraId="3DAC6B0F" w14:textId="77777777" w:rsidR="00FC207D" w:rsidRDefault="00457720">
      <w:pPr>
        <w:spacing w:after="60"/>
      </w:pPr>
      <w:r>
        <w:rPr>
          <w:b/>
          <w:color w:val="C2410C"/>
          <w:sz w:val="20"/>
        </w:rPr>
        <w:t xml:space="preserve">What it shows  </w:t>
      </w:r>
      <w:r>
        <w:t>A composite score per market blending one-way influence, dominance in feedback pairs, predictive power and timing.</w:t>
      </w:r>
    </w:p>
    <w:p w14:paraId="1A93E76F" w14:textId="77777777" w:rsidR="00FC207D" w:rsidRDefault="00457720">
      <w:pPr>
        <w:spacing w:after="60"/>
      </w:pPr>
      <w:r>
        <w:rPr>
          <w:b/>
          <w:color w:val="C2410C"/>
          <w:sz w:val="20"/>
        </w:rPr>
        <w:t xml:space="preserve">How to read it  </w:t>
      </w:r>
      <w:r>
        <w:t>Higher is more influential. The component columns show why.</w:t>
      </w:r>
    </w:p>
    <w:p w14:paraId="37223DA7" w14:textId="77777777" w:rsidR="00FC207D" w:rsidRDefault="00457720">
      <w:pPr>
        <w:spacing w:after="60"/>
      </w:pPr>
      <w:r>
        <w:rPr>
          <w:b/>
          <w:color w:val="C2410C"/>
          <w:sz w:val="20"/>
        </w:rPr>
        <w:t xml:space="preserve">What it says now  </w:t>
      </w:r>
      <w:r>
        <w:t>Guntur 0.65, Warangal 0.57, Khammam cold storage 0.34, Khammam fresh 0.06. Khammam fresh lots influence nothing and are influenced by two markets — it is a pure price taker.</w:t>
      </w:r>
    </w:p>
    <w:p w14:paraId="37A40F94" w14:textId="77777777" w:rsidR="00FC207D" w:rsidRDefault="00457720">
      <w:pPr>
        <w:spacing w:after="60"/>
      </w:pPr>
      <w:r>
        <w:rPr>
          <w:b/>
          <w:color w:val="C2410C"/>
          <w:sz w:val="20"/>
        </w:rPr>
        <w:t xml:space="preserve">What to do with it  </w:t>
      </w:r>
      <w:r>
        <w:t>Gives the pecking order for whose quote to watch first. Guntur, then Warangal; Khammam fresh lots tell you nothing about anyone else.</w:t>
      </w:r>
    </w:p>
    <w:p w14:paraId="2BF6676D" w14:textId="77777777" w:rsidR="00FC207D" w:rsidRDefault="00FC207D">
      <w:pPr>
        <w:spacing w:after="40"/>
      </w:pPr>
    </w:p>
    <w:p w14:paraId="26EA7F17" w14:textId="77777777" w:rsidR="00FC207D" w:rsidRDefault="00457720">
      <w:pPr>
        <w:pStyle w:val="Heading3"/>
      </w:pPr>
      <w:r>
        <w:t>Table — lead-lag timing</w:t>
      </w:r>
    </w:p>
    <w:p w14:paraId="0D1A5B91" w14:textId="77777777" w:rsidR="00FC207D" w:rsidRDefault="00457720">
      <w:pPr>
        <w:spacing w:after="60"/>
      </w:pPr>
      <w:r>
        <w:rPr>
          <w:b/>
          <w:color w:val="C2410C"/>
          <w:sz w:val="20"/>
        </w:rPr>
        <w:t xml:space="preserve">What it shows  </w:t>
      </w:r>
      <w:r>
        <w:t>The peak correlation between each pair, in periods and in days.</w:t>
      </w:r>
    </w:p>
    <w:p w14:paraId="473784B8" w14:textId="77777777" w:rsidR="00FC207D" w:rsidRDefault="00457720">
      <w:pPr>
        <w:spacing w:after="60"/>
      </w:pPr>
      <w:r>
        <w:rPr>
          <w:b/>
          <w:color w:val="C2410C"/>
          <w:sz w:val="20"/>
        </w:rPr>
        <w:t xml:space="preserve">How to read it  </w:t>
      </w:r>
      <w:r>
        <w:t>A non-zero lead would give you a head start.</w:t>
      </w:r>
    </w:p>
    <w:p w14:paraId="37EB65C7" w14:textId="77777777" w:rsidR="00FC207D" w:rsidRDefault="00457720">
      <w:pPr>
        <w:spacing w:after="60"/>
      </w:pPr>
      <w:r>
        <w:rPr>
          <w:b/>
          <w:color w:val="C2410C"/>
          <w:sz w:val="20"/>
        </w:rPr>
        <w:t xml:space="preserve">What it says now  </w:t>
      </w:r>
      <w:r>
        <w:t>Every single pair peaks at zero days. There is no timing lead anywhere in this data.</w:t>
      </w:r>
    </w:p>
    <w:p w14:paraId="5CAC6273" w14:textId="77777777" w:rsidR="00FC207D" w:rsidRDefault="00457720">
      <w:pPr>
        <w:spacing w:after="60"/>
      </w:pPr>
      <w:r>
        <w:rPr>
          <w:b/>
          <w:color w:val="C2410C"/>
          <w:sz w:val="20"/>
        </w:rPr>
        <w:t xml:space="preserve">What to do with it  </w:t>
      </w:r>
      <w:r>
        <w:t>Important and negative: do not build a strategy on watching one mandi to trade another a day later. Leadership here means carrying information, not moving first. It also means arbitrage between these mandis is efficient.</w:t>
      </w:r>
    </w:p>
    <w:p w14:paraId="5C49C9D7" w14:textId="77777777" w:rsidR="00FC207D" w:rsidRDefault="00FC207D">
      <w:pPr>
        <w:spacing w:after="40"/>
      </w:pPr>
    </w:p>
    <w:p w14:paraId="15D124CF" w14:textId="77777777" w:rsidR="00FC207D" w:rsidRDefault="00457720">
      <w:pPr>
        <w:pStyle w:val="Heading3"/>
      </w:pPr>
      <w:r>
        <w:t>Tables — cointegration (Johansen and pairwise)</w:t>
      </w:r>
    </w:p>
    <w:p w14:paraId="137DDBAA" w14:textId="77777777" w:rsidR="00FC207D" w:rsidRDefault="00457720">
      <w:pPr>
        <w:spacing w:after="60"/>
      </w:pPr>
      <w:r>
        <w:rPr>
          <w:b/>
          <w:color w:val="C2410C"/>
          <w:sz w:val="20"/>
        </w:rPr>
        <w:t xml:space="preserve">What it shows  </w:t>
      </w:r>
      <w:r>
        <w:t>The formal test of long-run market integration.</w:t>
      </w:r>
    </w:p>
    <w:p w14:paraId="5E60C0A7" w14:textId="77777777" w:rsidR="00FC207D" w:rsidRDefault="00457720">
      <w:pPr>
        <w:spacing w:after="60"/>
      </w:pPr>
      <w:r>
        <w:rPr>
          <w:b/>
          <w:color w:val="C2410C"/>
          <w:sz w:val="20"/>
        </w:rPr>
        <w:t xml:space="preserve">How to read it  </w:t>
      </w:r>
      <w:r>
        <w:t>Johansen tests the system as a whole and reports a “rank” — the number of long-run relationships found. The pairwise table tests each couple.</w:t>
      </w:r>
    </w:p>
    <w:p w14:paraId="40CBB3D7" w14:textId="77777777" w:rsidR="00FC207D" w:rsidRDefault="00457720">
      <w:pPr>
        <w:spacing w:after="60"/>
      </w:pPr>
      <w:r>
        <w:rPr>
          <w:b/>
          <w:color w:val="C2410C"/>
          <w:sz w:val="20"/>
        </w:rPr>
        <w:t xml:space="preserve">What it says now  </w:t>
      </w:r>
      <w:r>
        <w:t>Rank 3 out of a possible 3 across the four series, on 261 days when all four traded, from June 2017 to July 2026. The trace statistics clear their critical values comfortably (88.5 against 47.9; 45.7 against 29.8; 19.1 against 15.5). Five of six pairs are cointegrated bilaterally; the exception is Warangal against Khammam cold storage (p=0.216).</w:t>
      </w:r>
    </w:p>
    <w:p w14:paraId="61BF0B88" w14:textId="77777777" w:rsidR="00FC207D" w:rsidRDefault="00457720">
      <w:pPr>
        <w:spacing w:after="60"/>
      </w:pPr>
      <w:r>
        <w:rPr>
          <w:b/>
          <w:color w:val="C2410C"/>
          <w:sz w:val="20"/>
        </w:rPr>
        <w:t xml:space="preserve">What to do with it  </w:t>
      </w:r>
      <w:r>
        <w:t>This is the strongest statistical result in the whole dashboard. It licenses spread trading and it means an unusual price gap between mandis is temporary. The one exception is worth remembering before putting on a Warangal–Khammam cold spread.</w:t>
      </w:r>
    </w:p>
    <w:p w14:paraId="792A44BB"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753032F5" w14:textId="77777777">
        <w:trPr>
          <w:jc w:val="center"/>
        </w:trPr>
        <w:tc>
          <w:tcPr>
            <w:tcW w:w="9411" w:type="dxa"/>
            <w:tcBorders>
              <w:left w:val="single" w:sz="18" w:space="0" w:color="C2410C"/>
            </w:tcBorders>
            <w:shd w:val="clear" w:color="auto" w:fill="FDF1E7"/>
          </w:tcPr>
          <w:p w14:paraId="659BC273" w14:textId="77777777" w:rsidR="00FC207D" w:rsidRDefault="00457720">
            <w:pPr>
              <w:spacing w:after="40"/>
            </w:pPr>
            <w:r>
              <w:rPr>
                <w:b/>
                <w:color w:val="C2410C"/>
                <w:sz w:val="20"/>
              </w:rPr>
              <w:t>Conclusion for Page 5</w:t>
            </w:r>
          </w:p>
          <w:p w14:paraId="237FB42F" w14:textId="77777777" w:rsidR="00FC207D" w:rsidRDefault="00457720">
            <w:pPr>
              <w:spacing w:after="0"/>
            </w:pPr>
            <w:r>
              <w:rPr>
                <w:sz w:val="20"/>
              </w:rPr>
              <w:t>Guntur is the price-setting market: it drives Khammam fresh lots outright and dominates its two-way relationships with Warangal and Khammam cold storage. The mandis share three long-run equilibria, so spreads mean-revert. But nobody leads by even a day — arbitrage is same-day and efficient, so the value here is in spread levels, not in timing.</w:t>
            </w:r>
          </w:p>
        </w:tc>
      </w:tr>
    </w:tbl>
    <w:p w14:paraId="551FD092" w14:textId="77777777" w:rsidR="00FC207D" w:rsidRDefault="00FC207D">
      <w:pPr>
        <w:spacing w:after="80"/>
      </w:pPr>
    </w:p>
    <w:p w14:paraId="40915CB6" w14:textId="77777777" w:rsidR="00FC207D" w:rsidRDefault="00457720">
      <w:pPr>
        <w:pStyle w:val="Heading2"/>
      </w:pPr>
      <w:bookmarkStart w:id="15" w:name="_Toc236139947"/>
      <w:r>
        <w:lastRenderedPageBreak/>
        <w:t>Page 6 — Correlation Studio</w:t>
      </w:r>
      <w:bookmarkEnd w:id="15"/>
    </w:p>
    <w:p w14:paraId="239E8CA2" w14:textId="77777777" w:rsidR="00FC207D" w:rsidRDefault="00457720">
      <w:pPr>
        <w:spacing w:after="60"/>
      </w:pPr>
      <w:r>
        <w:rPr>
          <w:b/>
          <w:color w:val="C2410C"/>
          <w:sz w:val="20"/>
        </w:rPr>
        <w:t xml:space="preserve">Purpose  </w:t>
      </w:r>
      <w:r>
        <w:t>Which varieties move together, whether those relationships hold over time, and a cross-check of the dashboard's own arithmetic against the workbook's.</w:t>
      </w:r>
    </w:p>
    <w:p w14:paraId="1485E684" w14:textId="77777777" w:rsidR="00FC207D" w:rsidRDefault="00457720">
      <w:pPr>
        <w:pStyle w:val="Heading3"/>
      </w:pPr>
      <w:r>
        <w:t>Heatmaps — Pearson and Spearman correlation</w:t>
      </w:r>
    </w:p>
    <w:p w14:paraId="6FE90A40" w14:textId="77777777" w:rsidR="00FC207D" w:rsidRDefault="00457720">
      <w:pPr>
        <w:spacing w:after="60"/>
      </w:pPr>
      <w:r>
        <w:rPr>
          <w:b/>
          <w:color w:val="C2410C"/>
          <w:sz w:val="20"/>
        </w:rPr>
        <w:t xml:space="preserve">What it shows  </w:t>
      </w:r>
      <w:r>
        <w:t>Every variety against every other. Pearson measures straight-line co-movement; Spearman measures rank agreement and is less disturbed by one-off spikes.</w:t>
      </w:r>
    </w:p>
    <w:p w14:paraId="5A3B3135" w14:textId="77777777" w:rsidR="00FC207D" w:rsidRDefault="00457720">
      <w:pPr>
        <w:spacing w:after="60"/>
      </w:pPr>
      <w:r>
        <w:rPr>
          <w:b/>
          <w:color w:val="C2410C"/>
          <w:sz w:val="20"/>
        </w:rPr>
        <w:t xml:space="preserve">How to read it  </w:t>
      </w:r>
      <w:r>
        <w:t>Warm colours near 1.0 mean the pair moves as one. Cool colours mean independence.</w:t>
      </w:r>
    </w:p>
    <w:p w14:paraId="2BDBB71D" w14:textId="77777777" w:rsidR="00FC207D" w:rsidRDefault="00457720">
      <w:pPr>
        <w:spacing w:after="60"/>
      </w:pPr>
      <w:r>
        <w:rPr>
          <w:b/>
          <w:color w:val="C2410C"/>
          <w:sz w:val="20"/>
        </w:rPr>
        <w:t xml:space="preserve">What it says now  </w:t>
      </w:r>
      <w:r>
        <w:t>Almost everything is above 0.90. The tightest pair is LCA 334 with NCDEX Quality at 0.985. Teja with LCA 334 is 0.940. Fatki is the clear outsider, averaging 0.586 and as low as 0.470 against Byadgi.</w:t>
      </w:r>
    </w:p>
    <w:p w14:paraId="270CACDA" w14:textId="77777777" w:rsidR="00FC207D" w:rsidRDefault="00457720">
      <w:pPr>
        <w:spacing w:after="60"/>
      </w:pPr>
      <w:r>
        <w:rPr>
          <w:b/>
          <w:color w:val="C2410C"/>
          <w:sz w:val="20"/>
        </w:rPr>
        <w:t xml:space="preserve">What to do with it  </w:t>
      </w:r>
      <w:r>
        <w:t>Tells you that hedging one variety with another works well — except for Fatki, which must be treated as its own market.</w:t>
      </w:r>
    </w:p>
    <w:p w14:paraId="2C4FEE74" w14:textId="77777777" w:rsidR="00FC207D" w:rsidRDefault="00FC207D">
      <w:pPr>
        <w:spacing w:after="40"/>
      </w:pPr>
    </w:p>
    <w:p w14:paraId="117BA804" w14:textId="77777777" w:rsidR="00FC207D" w:rsidRDefault="00457720">
      <w:pPr>
        <w:pStyle w:val="Heading3"/>
      </w:pPr>
      <w:r>
        <w:t>Heatmap — the workbook's own correlation matrix</w:t>
      </w:r>
    </w:p>
    <w:p w14:paraId="4FE96D0E" w14:textId="77777777" w:rsidR="00FC207D" w:rsidRDefault="00457720">
      <w:pPr>
        <w:spacing w:after="60"/>
      </w:pPr>
      <w:r>
        <w:rPr>
          <w:b/>
          <w:color w:val="C2410C"/>
          <w:sz w:val="20"/>
        </w:rPr>
        <w:t xml:space="preserve">What it shows  </w:t>
      </w:r>
      <w:r>
        <w:t>The matrix as supplied in the workbook, shown unchanged for comparison.</w:t>
      </w:r>
    </w:p>
    <w:p w14:paraId="4909967D" w14:textId="77777777" w:rsidR="00FC207D" w:rsidRDefault="00457720">
      <w:pPr>
        <w:spacing w:after="60"/>
      </w:pPr>
      <w:r>
        <w:rPr>
          <w:b/>
          <w:color w:val="C2410C"/>
          <w:sz w:val="20"/>
        </w:rPr>
        <w:t xml:space="preserve">How to read it  </w:t>
      </w:r>
      <w:r>
        <w:t>It covers sixteen varieties, more than the daily price sheet quotes, so some rows have no counterpart in the recomputed matrix.</w:t>
      </w:r>
    </w:p>
    <w:p w14:paraId="0FDF228A" w14:textId="77777777" w:rsidR="00FC207D" w:rsidRDefault="00457720">
      <w:pPr>
        <w:spacing w:after="60"/>
      </w:pPr>
      <w:r>
        <w:rPr>
          <w:b/>
          <w:color w:val="C2410C"/>
          <w:sz w:val="20"/>
        </w:rPr>
        <w:t xml:space="preserve">What it says now  </w:t>
      </w:r>
      <w:r>
        <w:t>Broadly agrees with the recomputed version.</w:t>
      </w:r>
    </w:p>
    <w:p w14:paraId="7E3CB589" w14:textId="77777777" w:rsidR="00FC207D" w:rsidRDefault="00457720">
      <w:pPr>
        <w:spacing w:after="60"/>
      </w:pPr>
      <w:r>
        <w:rPr>
          <w:b/>
          <w:color w:val="C2410C"/>
          <w:sz w:val="20"/>
        </w:rPr>
        <w:t xml:space="preserve">What to do with it  </w:t>
      </w:r>
      <w:r>
        <w:t>Confirms the dashboard is not contradicting the workbook you already know.</w:t>
      </w:r>
    </w:p>
    <w:p w14:paraId="7A0D4BD1" w14:textId="77777777" w:rsidR="00FC207D" w:rsidRDefault="00FC207D">
      <w:pPr>
        <w:spacing w:after="40"/>
      </w:pPr>
    </w:p>
    <w:p w14:paraId="6B22854A" w14:textId="77777777" w:rsidR="00FC207D" w:rsidRDefault="00457720">
      <w:pPr>
        <w:pStyle w:val="Heading3"/>
      </w:pPr>
      <w:r>
        <w:t>Table — reconciliation against the workbook</w:t>
      </w:r>
    </w:p>
    <w:p w14:paraId="2660452C" w14:textId="77777777" w:rsidR="00FC207D" w:rsidRDefault="00457720">
      <w:pPr>
        <w:spacing w:after="60"/>
      </w:pPr>
      <w:r>
        <w:rPr>
          <w:b/>
          <w:color w:val="C2410C"/>
          <w:sz w:val="20"/>
        </w:rPr>
        <w:t xml:space="preserve">What it shows  </w:t>
      </w:r>
      <w:r>
        <w:t>Pair-by-pair comparison of the dashboard's recomputed correlation with the workbook's.</w:t>
      </w:r>
    </w:p>
    <w:p w14:paraId="564A6201" w14:textId="77777777" w:rsidR="00FC207D" w:rsidRDefault="00457720">
      <w:pPr>
        <w:spacing w:after="60"/>
      </w:pPr>
      <w:r>
        <w:rPr>
          <w:b/>
          <w:color w:val="C2410C"/>
          <w:sz w:val="20"/>
        </w:rPr>
        <w:t xml:space="preserve">How to read it  </w:t>
      </w:r>
      <w:r>
        <w:t>Small differences are expected — different sample and frequency. Large ones deserve investigation.</w:t>
      </w:r>
    </w:p>
    <w:p w14:paraId="7E9EA2F7" w14:textId="77777777" w:rsidR="00FC207D" w:rsidRDefault="00457720">
      <w:pPr>
        <w:spacing w:after="60"/>
      </w:pPr>
      <w:r>
        <w:rPr>
          <w:b/>
          <w:color w:val="C2410C"/>
          <w:sz w:val="20"/>
        </w:rPr>
        <w:t xml:space="preserve">What it says now  </w:t>
      </w:r>
      <w:r>
        <w:t>Teja against LCA 334: workbook 0.9438, dashboard 0.9401 on weekly data. A difference of 0.004.</w:t>
      </w:r>
    </w:p>
    <w:p w14:paraId="26DEDF6F" w14:textId="77777777" w:rsidR="00FC207D" w:rsidRDefault="00457720">
      <w:pPr>
        <w:spacing w:after="60"/>
      </w:pPr>
      <w:r>
        <w:rPr>
          <w:b/>
          <w:color w:val="C2410C"/>
          <w:sz w:val="20"/>
        </w:rPr>
        <w:t xml:space="preserve">What to do with it  </w:t>
      </w:r>
      <w:r>
        <w:t>This is your audit trail. It is the quickest way to satisfy a sceptical reviewer that the application reproduces figures they already trust.</w:t>
      </w:r>
    </w:p>
    <w:p w14:paraId="4F2E68FC" w14:textId="77777777" w:rsidR="00FC207D" w:rsidRDefault="00FC207D">
      <w:pPr>
        <w:spacing w:after="40"/>
      </w:pPr>
    </w:p>
    <w:p w14:paraId="427E6636" w14:textId="77777777" w:rsidR="00FC207D" w:rsidRDefault="00457720">
      <w:pPr>
        <w:pStyle w:val="Heading3"/>
      </w:pPr>
      <w:r>
        <w:t>Charts — rolling correlation</w:t>
      </w:r>
    </w:p>
    <w:p w14:paraId="0623F738" w14:textId="77777777" w:rsidR="00FC207D" w:rsidRDefault="00457720">
      <w:pPr>
        <w:spacing w:after="60"/>
      </w:pPr>
      <w:r>
        <w:rPr>
          <w:b/>
          <w:color w:val="C2410C"/>
          <w:sz w:val="20"/>
        </w:rPr>
        <w:t xml:space="preserve">What it shows  </w:t>
      </w:r>
      <w:r>
        <w:t>How each relationship has changed through time, rather than one average for the whole period.</w:t>
      </w:r>
    </w:p>
    <w:p w14:paraId="2CCFCB67" w14:textId="77777777" w:rsidR="00FC207D" w:rsidRDefault="00457720">
      <w:pPr>
        <w:spacing w:after="60"/>
      </w:pPr>
      <w:r>
        <w:rPr>
          <w:b/>
          <w:color w:val="C2410C"/>
          <w:sz w:val="20"/>
        </w:rPr>
        <w:t xml:space="preserve">How to read it  </w:t>
      </w:r>
      <w:r>
        <w:t>A flat high line is a dependable relationship. A line that swings, or crosses zero, is not.</w:t>
      </w:r>
    </w:p>
    <w:p w14:paraId="3ABB00C4" w14:textId="77777777" w:rsidR="00FC207D" w:rsidRDefault="00457720">
      <w:pPr>
        <w:spacing w:after="60"/>
      </w:pPr>
      <w:r>
        <w:rPr>
          <w:b/>
          <w:color w:val="C2410C"/>
          <w:sz w:val="20"/>
        </w:rPr>
        <w:t xml:space="preserve">What it says now  </w:t>
      </w:r>
      <w:r>
        <w:t>Variety-to-variety correlations are stable and high once both series have history. The Teja–LCA 334 relationship dipped near zero in mid-2015 before settling above 0.90.</w:t>
      </w:r>
    </w:p>
    <w:p w14:paraId="33192A95" w14:textId="77777777" w:rsidR="00FC207D" w:rsidRDefault="00457720">
      <w:pPr>
        <w:spacing w:after="60"/>
      </w:pPr>
      <w:r>
        <w:rPr>
          <w:b/>
          <w:color w:val="C2410C"/>
          <w:sz w:val="20"/>
        </w:rPr>
        <w:t xml:space="preserve">What to do with it  </w:t>
      </w:r>
      <w:r>
        <w:t>Check this before relying on a correlation for a hedge. An average of 0.94 built from a range of 0 to 0.98 is not the same as a steady 0.94.</w:t>
      </w:r>
    </w:p>
    <w:p w14:paraId="678365A0" w14:textId="77777777" w:rsidR="00FC207D" w:rsidRDefault="00FC207D">
      <w:pPr>
        <w:spacing w:after="40"/>
      </w:pPr>
    </w:p>
    <w:p w14:paraId="36DEA09D" w14:textId="77777777" w:rsidR="00FC207D" w:rsidRDefault="00457720">
      <w:pPr>
        <w:pStyle w:val="Heading3"/>
      </w:pPr>
      <w:r>
        <w:t>Charts — cross-correlation lag explorer</w:t>
      </w:r>
    </w:p>
    <w:p w14:paraId="15C479AF" w14:textId="77777777" w:rsidR="00FC207D" w:rsidRDefault="00457720">
      <w:pPr>
        <w:spacing w:after="60"/>
      </w:pPr>
      <w:r>
        <w:rPr>
          <w:b/>
          <w:color w:val="C2410C"/>
          <w:sz w:val="20"/>
        </w:rPr>
        <w:t xml:space="preserve">What it shows  </w:t>
      </w:r>
      <w:r>
        <w:t>Correlation at different leads and lags, with both series stripped of their trend first.</w:t>
      </w:r>
    </w:p>
    <w:p w14:paraId="2D7CEF77" w14:textId="77777777" w:rsidR="00FC207D" w:rsidRDefault="00457720">
      <w:pPr>
        <w:spacing w:after="60"/>
      </w:pPr>
      <w:r>
        <w:rPr>
          <w:b/>
          <w:color w:val="C2410C"/>
          <w:sz w:val="20"/>
        </w:rPr>
        <w:t xml:space="preserve">How to read it  </w:t>
      </w:r>
      <w:r>
        <w:t>A tall bar to the right of zero means the first series leads. Bars must clear the shaded band to count.</w:t>
      </w:r>
    </w:p>
    <w:p w14:paraId="2CFB673F" w14:textId="77777777" w:rsidR="00FC207D" w:rsidRDefault="00457720">
      <w:pPr>
        <w:spacing w:after="60"/>
      </w:pPr>
      <w:r>
        <w:rPr>
          <w:b/>
          <w:color w:val="C2410C"/>
          <w:sz w:val="20"/>
        </w:rPr>
        <w:lastRenderedPageBreak/>
        <w:t xml:space="preserve">What it says now  </w:t>
      </w:r>
      <w:r>
        <w:t>Peaks sit at zero lag throughout. Varieties re-price on the same day.</w:t>
      </w:r>
    </w:p>
    <w:p w14:paraId="43B4AC82" w14:textId="77777777" w:rsidR="00FC207D" w:rsidRDefault="00457720">
      <w:pPr>
        <w:spacing w:after="60"/>
      </w:pPr>
      <w:r>
        <w:rPr>
          <w:b/>
          <w:color w:val="C2410C"/>
          <w:sz w:val="20"/>
        </w:rPr>
        <w:t xml:space="preserve">What to do with it  </w:t>
      </w:r>
      <w:r>
        <w:t>Consistent with the market findings: no head start exists anywhere in this dataset, between varieties or between mandis.</w:t>
      </w:r>
    </w:p>
    <w:p w14:paraId="054AE227" w14:textId="77777777" w:rsidR="00FC207D" w:rsidRDefault="00FC207D">
      <w:pPr>
        <w:spacing w:after="40"/>
      </w:pPr>
    </w:p>
    <w:p w14:paraId="24D2AD5D" w14:textId="77777777" w:rsidR="00FC207D" w:rsidRDefault="00457720">
      <w:pPr>
        <w:pStyle w:val="Heading3"/>
      </w:pPr>
      <w:r>
        <w:t>Table — average correlation with the rest of the complex</w:t>
      </w:r>
    </w:p>
    <w:p w14:paraId="41518F4B" w14:textId="77777777" w:rsidR="00FC207D" w:rsidRDefault="00457720">
      <w:pPr>
        <w:spacing w:after="60"/>
      </w:pPr>
      <w:r>
        <w:rPr>
          <w:b/>
          <w:color w:val="C2410C"/>
          <w:sz w:val="20"/>
        </w:rPr>
        <w:t xml:space="preserve">What it shows  </w:t>
      </w:r>
      <w:r>
        <w:t>Which single variety best represents the whole market.</w:t>
      </w:r>
    </w:p>
    <w:p w14:paraId="70F30729" w14:textId="77777777" w:rsidR="00FC207D" w:rsidRDefault="00457720">
      <w:pPr>
        <w:spacing w:after="60"/>
      </w:pPr>
      <w:r>
        <w:rPr>
          <w:b/>
          <w:color w:val="C2410C"/>
          <w:sz w:val="20"/>
        </w:rPr>
        <w:t xml:space="preserve">How to read it  </w:t>
      </w:r>
      <w:r>
        <w:t>The highest average correlation is the best proxy.</w:t>
      </w:r>
    </w:p>
    <w:p w14:paraId="3666A4B5" w14:textId="77777777" w:rsidR="00FC207D" w:rsidRDefault="00457720">
      <w:pPr>
        <w:spacing w:after="60"/>
      </w:pPr>
      <w:r>
        <w:rPr>
          <w:b/>
          <w:color w:val="C2410C"/>
          <w:sz w:val="20"/>
        </w:rPr>
        <w:t xml:space="preserve">What it says now  </w:t>
      </w:r>
      <w:r>
        <w:t>No.5 averages 0.923 and LCA 334 0.921, both above Teja's 0.886.</w:t>
      </w:r>
    </w:p>
    <w:p w14:paraId="1AC9947D" w14:textId="77777777" w:rsidR="00FC207D" w:rsidRDefault="00457720">
      <w:pPr>
        <w:spacing w:after="60"/>
      </w:pPr>
      <w:r>
        <w:rPr>
          <w:b/>
          <w:color w:val="C2410C"/>
          <w:sz w:val="20"/>
        </w:rPr>
        <w:t xml:space="preserve">What to do with it  </w:t>
      </w:r>
      <w:r>
        <w:t>A useful nuance. Teja leads on direction, but No.5 or LCA 334 is the better single benchmark for the market's overall level. Use Teja to call turns and No.5 to represent the complex.</w:t>
      </w:r>
    </w:p>
    <w:p w14:paraId="425245FE" w14:textId="77777777" w:rsidR="00FC207D" w:rsidRDefault="00FC207D">
      <w:pPr>
        <w:spacing w:after="40"/>
      </w:pPr>
    </w:p>
    <w:p w14:paraId="6953FF28" w14:textId="77777777" w:rsidR="00FC207D" w:rsidRDefault="00457720">
      <w:pPr>
        <w:pStyle w:val="Heading3"/>
      </w:pPr>
      <w:r>
        <w:t>Table — driver collinearity (VIF)</w:t>
      </w:r>
    </w:p>
    <w:p w14:paraId="56709239" w14:textId="77777777" w:rsidR="00FC207D" w:rsidRDefault="00457720">
      <w:pPr>
        <w:spacing w:after="60"/>
      </w:pPr>
      <w:r>
        <w:rPr>
          <w:b/>
          <w:color w:val="C2410C"/>
          <w:sz w:val="20"/>
        </w:rPr>
        <w:t xml:space="preserve">What it shows  </w:t>
      </w:r>
      <w:r>
        <w:t>Whether two explanatory variables are effectively duplicating each other.</w:t>
      </w:r>
    </w:p>
    <w:p w14:paraId="37A675BD" w14:textId="77777777" w:rsidR="00FC207D" w:rsidRDefault="00457720">
      <w:pPr>
        <w:spacing w:after="60"/>
      </w:pPr>
      <w:r>
        <w:rPr>
          <w:b/>
          <w:color w:val="C2410C"/>
          <w:sz w:val="20"/>
        </w:rPr>
        <w:t xml:space="preserve">How to read it  </w:t>
      </w:r>
      <w:r>
        <w:t>Above 5 they overlap enough that a model cannot separate their effects.</w:t>
      </w:r>
    </w:p>
    <w:p w14:paraId="07FFB61F" w14:textId="77777777" w:rsidR="00FC207D" w:rsidRDefault="00457720">
      <w:pPr>
        <w:spacing w:after="60"/>
      </w:pPr>
      <w:r>
        <w:rPr>
          <w:b/>
          <w:color w:val="C2410C"/>
          <w:sz w:val="20"/>
        </w:rPr>
        <w:t xml:space="preserve">What it says now  </w:t>
      </w:r>
      <w:r>
        <w:t>Guntur arrivals 6.21 and Guntur offtake 6.49 — both moderately collinear. USD/INR 1.01 and exports 1.45 are clean.</w:t>
      </w:r>
    </w:p>
    <w:p w14:paraId="77FA6A4C" w14:textId="77777777" w:rsidR="00FC207D" w:rsidRDefault="00457720">
      <w:pPr>
        <w:spacing w:after="60"/>
      </w:pPr>
      <w:r>
        <w:rPr>
          <w:b/>
          <w:color w:val="C2410C"/>
          <w:sz w:val="20"/>
        </w:rPr>
        <w:t xml:space="preserve">What to do with it  </w:t>
      </w:r>
      <w:r>
        <w:t>Explains a puzzle on the Forecast Center page. Because arrivals and offtake carry much the same information, their individual coefficients cannot be read separately — see the note in Page 10.</w:t>
      </w:r>
    </w:p>
    <w:p w14:paraId="5CCCD7CC"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7B69A2BE" w14:textId="77777777">
        <w:trPr>
          <w:jc w:val="center"/>
        </w:trPr>
        <w:tc>
          <w:tcPr>
            <w:tcW w:w="9411" w:type="dxa"/>
            <w:tcBorders>
              <w:left w:val="single" w:sz="18" w:space="0" w:color="C2410C"/>
            </w:tcBorders>
            <w:shd w:val="clear" w:color="auto" w:fill="FDF1E7"/>
          </w:tcPr>
          <w:p w14:paraId="397FA66B" w14:textId="77777777" w:rsidR="00FC207D" w:rsidRDefault="00457720">
            <w:pPr>
              <w:spacing w:after="40"/>
            </w:pPr>
            <w:r>
              <w:rPr>
                <w:b/>
                <w:color w:val="C2410C"/>
                <w:sz w:val="20"/>
              </w:rPr>
              <w:t>Conclusion for Page 6</w:t>
            </w:r>
          </w:p>
          <w:p w14:paraId="712033A1" w14:textId="77777777" w:rsidR="00FC207D" w:rsidRDefault="00457720">
            <w:pPr>
              <w:spacing w:after="0"/>
            </w:pPr>
            <w:r>
              <w:rPr>
                <w:sz w:val="20"/>
              </w:rPr>
              <w:t>The variety complex is one market with one direction. Almost every pair correlates above 0.90, nothing leads anything by even a day, and only Fatki behaves independently. Watch Teja for turns and No.5 for the market's level.</w:t>
            </w:r>
          </w:p>
        </w:tc>
      </w:tr>
    </w:tbl>
    <w:p w14:paraId="1E954B96" w14:textId="77777777" w:rsidR="00FC207D" w:rsidRDefault="00FC207D">
      <w:pPr>
        <w:spacing w:after="80"/>
      </w:pPr>
    </w:p>
    <w:p w14:paraId="60817702" w14:textId="77777777" w:rsidR="00FC207D" w:rsidRDefault="00457720">
      <w:pPr>
        <w:pStyle w:val="Heading2"/>
      </w:pPr>
      <w:bookmarkStart w:id="16" w:name="_Toc236139948"/>
      <w:r>
        <w:t>Page 7 — Seasonality</w:t>
      </w:r>
      <w:bookmarkEnd w:id="16"/>
    </w:p>
    <w:p w14:paraId="61BF666F" w14:textId="77777777" w:rsidR="00FC207D" w:rsidRDefault="00457720">
      <w:pPr>
        <w:spacing w:after="60"/>
      </w:pPr>
      <w:r>
        <w:rPr>
          <w:b/>
          <w:color w:val="C2410C"/>
          <w:sz w:val="20"/>
        </w:rPr>
        <w:t xml:space="preserve">Purpose  </w:t>
      </w:r>
      <w:r>
        <w:t>Which months are habitually strong or weak, how dependable that pattern is, and how much of the price it really explains.</w:t>
      </w:r>
    </w:p>
    <w:p w14:paraId="06C9A0F2" w14:textId="77777777" w:rsidR="00FC207D" w:rsidRDefault="00457720">
      <w:pPr>
        <w:pStyle w:val="Heading3"/>
      </w:pPr>
      <w:r>
        <w:t>Chart and table — monthly seasonal index</w:t>
      </w:r>
    </w:p>
    <w:p w14:paraId="0030179E" w14:textId="77777777" w:rsidR="00FC207D" w:rsidRDefault="00457720">
      <w:pPr>
        <w:spacing w:after="60"/>
      </w:pPr>
      <w:r>
        <w:rPr>
          <w:b/>
          <w:color w:val="C2410C"/>
          <w:sz w:val="20"/>
        </w:rPr>
        <w:t xml:space="preserve">What it shows  </w:t>
      </w:r>
      <w:r>
        <w:t>Each month's average price divided by the overall average, so 1.00 is a normal month.</w:t>
      </w:r>
    </w:p>
    <w:p w14:paraId="5006C89D" w14:textId="77777777" w:rsidR="00FC207D" w:rsidRDefault="00457720">
      <w:pPr>
        <w:spacing w:after="60"/>
      </w:pPr>
      <w:r>
        <w:rPr>
          <w:b/>
          <w:color w:val="C2410C"/>
          <w:sz w:val="20"/>
        </w:rPr>
        <w:t xml:space="preserve">How to read it  </w:t>
      </w:r>
      <w:r>
        <w:t>Above 1.00 is a seasonally firm month. The dashed line is the yearly average.</w:t>
      </w:r>
    </w:p>
    <w:p w14:paraId="2F4AFC10" w14:textId="77777777" w:rsidR="00FC207D" w:rsidRDefault="00457720">
      <w:pPr>
        <w:spacing w:after="60"/>
      </w:pPr>
      <w:r>
        <w:rPr>
          <w:b/>
          <w:color w:val="C2410C"/>
          <w:sz w:val="20"/>
        </w:rPr>
        <w:t xml:space="preserve">What it says now  </w:t>
      </w:r>
      <w:r>
        <w:t>For Teja, September is strongest at 1.084, then November 1.055 and October 1.047. May is weakest at 0.898, then April 0.919 and February 0.940 — a spread of 18.6% between best and worst month. LCA 334 follows the same shape with a narrower 15.3% spread and a September peak of 1.067.</w:t>
      </w:r>
    </w:p>
    <w:p w14:paraId="6AB4CF8C" w14:textId="77777777" w:rsidR="00FC207D" w:rsidRDefault="00457720">
      <w:pPr>
        <w:spacing w:after="60"/>
      </w:pPr>
      <w:r>
        <w:rPr>
          <w:b/>
          <w:color w:val="C2410C"/>
          <w:sz w:val="20"/>
        </w:rPr>
        <w:t xml:space="preserve">What to do with it  </w:t>
      </w:r>
      <w:r>
        <w:t>Buy into seasonal weakness in April and May; expect to pay up in September through November. Worth roughly 15–19% of the price level if timed well.</w:t>
      </w:r>
    </w:p>
    <w:p w14:paraId="358B109E" w14:textId="77777777" w:rsidR="00FC207D" w:rsidRDefault="00FC207D">
      <w:pPr>
        <w:spacing w:after="40"/>
      </w:pPr>
    </w:p>
    <w:tbl>
      <w:tblPr>
        <w:tblStyle w:val="TableGrid"/>
        <w:tblW w:w="0" w:type="auto"/>
        <w:jc w:val="center"/>
        <w:tblLayout w:type="fixed"/>
        <w:tblLook w:val="04A0" w:firstRow="1" w:lastRow="0" w:firstColumn="1" w:lastColumn="0" w:noHBand="0" w:noVBand="1"/>
      </w:tblPr>
      <w:tblGrid>
        <w:gridCol w:w="1928"/>
        <w:gridCol w:w="2041"/>
        <w:gridCol w:w="2041"/>
        <w:gridCol w:w="3402"/>
      </w:tblGrid>
      <w:tr w:rsidR="00FC207D" w14:paraId="5EECA396" w14:textId="77777777">
        <w:trPr>
          <w:jc w:val="center"/>
        </w:trPr>
        <w:tc>
          <w:tcPr>
            <w:tcW w:w="1928" w:type="dxa"/>
            <w:shd w:val="clear" w:color="auto" w:fill="1A2027"/>
          </w:tcPr>
          <w:p w14:paraId="3309404F" w14:textId="77777777" w:rsidR="00FC207D" w:rsidRDefault="00457720">
            <w:pPr>
              <w:spacing w:before="20" w:after="20"/>
            </w:pPr>
            <w:r>
              <w:rPr>
                <w:b/>
                <w:color w:val="FFFFFF"/>
                <w:sz w:val="18"/>
              </w:rPr>
              <w:t>Month</w:t>
            </w:r>
          </w:p>
        </w:tc>
        <w:tc>
          <w:tcPr>
            <w:tcW w:w="2041" w:type="dxa"/>
            <w:shd w:val="clear" w:color="auto" w:fill="1A2027"/>
          </w:tcPr>
          <w:p w14:paraId="04F4F869" w14:textId="77777777" w:rsidR="00FC207D" w:rsidRDefault="00457720">
            <w:pPr>
              <w:spacing w:before="20" w:after="20"/>
            </w:pPr>
            <w:r>
              <w:rPr>
                <w:b/>
                <w:color w:val="FFFFFF"/>
                <w:sz w:val="18"/>
              </w:rPr>
              <w:t>Teja index</w:t>
            </w:r>
          </w:p>
        </w:tc>
        <w:tc>
          <w:tcPr>
            <w:tcW w:w="2041" w:type="dxa"/>
            <w:shd w:val="clear" w:color="auto" w:fill="1A2027"/>
          </w:tcPr>
          <w:p w14:paraId="44EA823A" w14:textId="77777777" w:rsidR="00FC207D" w:rsidRDefault="00457720">
            <w:pPr>
              <w:spacing w:before="20" w:after="20"/>
            </w:pPr>
            <w:r>
              <w:rPr>
                <w:b/>
                <w:color w:val="FFFFFF"/>
                <w:sz w:val="18"/>
              </w:rPr>
              <w:t>LCA 334 index</w:t>
            </w:r>
          </w:p>
        </w:tc>
        <w:tc>
          <w:tcPr>
            <w:tcW w:w="3402" w:type="dxa"/>
            <w:shd w:val="clear" w:color="auto" w:fill="1A2027"/>
          </w:tcPr>
          <w:p w14:paraId="7392B9BE" w14:textId="77777777" w:rsidR="00FC207D" w:rsidRDefault="00457720">
            <w:pPr>
              <w:spacing w:before="20" w:after="20"/>
            </w:pPr>
            <w:r>
              <w:rPr>
                <w:b/>
                <w:color w:val="FFFFFF"/>
                <w:sz w:val="18"/>
              </w:rPr>
              <w:t>Reading</w:t>
            </w:r>
          </w:p>
        </w:tc>
      </w:tr>
      <w:tr w:rsidR="00FC207D" w14:paraId="11BF935C" w14:textId="77777777">
        <w:trPr>
          <w:jc w:val="center"/>
        </w:trPr>
        <w:tc>
          <w:tcPr>
            <w:tcW w:w="1928" w:type="dxa"/>
          </w:tcPr>
          <w:p w14:paraId="374C8B2F" w14:textId="77777777" w:rsidR="00FC207D" w:rsidRDefault="00457720">
            <w:pPr>
              <w:spacing w:before="20" w:after="20"/>
            </w:pPr>
            <w:r>
              <w:rPr>
                <w:b/>
                <w:sz w:val="18"/>
              </w:rPr>
              <w:t>January</w:t>
            </w:r>
          </w:p>
        </w:tc>
        <w:tc>
          <w:tcPr>
            <w:tcW w:w="2041" w:type="dxa"/>
          </w:tcPr>
          <w:p w14:paraId="0E844DD0" w14:textId="77777777" w:rsidR="00FC207D" w:rsidRDefault="00457720">
            <w:pPr>
              <w:spacing w:before="20" w:after="20"/>
            </w:pPr>
            <w:r>
              <w:rPr>
                <w:sz w:val="18"/>
              </w:rPr>
              <w:t>0.976</w:t>
            </w:r>
          </w:p>
        </w:tc>
        <w:tc>
          <w:tcPr>
            <w:tcW w:w="2041" w:type="dxa"/>
          </w:tcPr>
          <w:p w14:paraId="04A9DFD6" w14:textId="77777777" w:rsidR="00FC207D" w:rsidRDefault="00457720">
            <w:pPr>
              <w:spacing w:before="20" w:after="20"/>
            </w:pPr>
            <w:r>
              <w:rPr>
                <w:sz w:val="18"/>
              </w:rPr>
              <w:t>1.007</w:t>
            </w:r>
          </w:p>
        </w:tc>
        <w:tc>
          <w:tcPr>
            <w:tcW w:w="3402" w:type="dxa"/>
          </w:tcPr>
          <w:p w14:paraId="03FCBBDC" w14:textId="77777777" w:rsidR="00FC207D" w:rsidRDefault="00457720">
            <w:pPr>
              <w:spacing w:before="20" w:after="20"/>
            </w:pPr>
            <w:r>
              <w:rPr>
                <w:sz w:val="18"/>
              </w:rPr>
              <w:t>Neutral</w:t>
            </w:r>
          </w:p>
        </w:tc>
      </w:tr>
      <w:tr w:rsidR="00FC207D" w14:paraId="313185FE" w14:textId="77777777">
        <w:trPr>
          <w:jc w:val="center"/>
        </w:trPr>
        <w:tc>
          <w:tcPr>
            <w:tcW w:w="1928" w:type="dxa"/>
            <w:shd w:val="clear" w:color="auto" w:fill="EEF1F5"/>
          </w:tcPr>
          <w:p w14:paraId="7D84D8E1" w14:textId="77777777" w:rsidR="00FC207D" w:rsidRDefault="00457720">
            <w:pPr>
              <w:spacing w:before="20" w:after="20"/>
            </w:pPr>
            <w:r>
              <w:rPr>
                <w:b/>
                <w:sz w:val="18"/>
              </w:rPr>
              <w:t>February</w:t>
            </w:r>
          </w:p>
        </w:tc>
        <w:tc>
          <w:tcPr>
            <w:tcW w:w="2041" w:type="dxa"/>
            <w:shd w:val="clear" w:color="auto" w:fill="EEF1F5"/>
          </w:tcPr>
          <w:p w14:paraId="6C81333C" w14:textId="77777777" w:rsidR="00FC207D" w:rsidRDefault="00457720">
            <w:pPr>
              <w:spacing w:before="20" w:after="20"/>
            </w:pPr>
            <w:r>
              <w:rPr>
                <w:sz w:val="18"/>
              </w:rPr>
              <w:t>0.940</w:t>
            </w:r>
          </w:p>
        </w:tc>
        <w:tc>
          <w:tcPr>
            <w:tcW w:w="2041" w:type="dxa"/>
            <w:shd w:val="clear" w:color="auto" w:fill="EEF1F5"/>
          </w:tcPr>
          <w:p w14:paraId="33977C9C" w14:textId="77777777" w:rsidR="00FC207D" w:rsidRDefault="00457720">
            <w:pPr>
              <w:spacing w:before="20" w:after="20"/>
            </w:pPr>
            <w:r>
              <w:rPr>
                <w:sz w:val="18"/>
              </w:rPr>
              <w:t>0.971</w:t>
            </w:r>
          </w:p>
        </w:tc>
        <w:tc>
          <w:tcPr>
            <w:tcW w:w="3402" w:type="dxa"/>
            <w:shd w:val="clear" w:color="auto" w:fill="EEF1F5"/>
          </w:tcPr>
          <w:p w14:paraId="5594313B" w14:textId="77777777" w:rsidR="00FC207D" w:rsidRDefault="00457720">
            <w:pPr>
              <w:spacing w:before="20" w:after="20"/>
            </w:pPr>
            <w:r>
              <w:rPr>
                <w:sz w:val="18"/>
              </w:rPr>
              <w:t>Soft</w:t>
            </w:r>
          </w:p>
        </w:tc>
      </w:tr>
      <w:tr w:rsidR="00FC207D" w14:paraId="7BA50F0A" w14:textId="77777777">
        <w:trPr>
          <w:jc w:val="center"/>
        </w:trPr>
        <w:tc>
          <w:tcPr>
            <w:tcW w:w="1928" w:type="dxa"/>
          </w:tcPr>
          <w:p w14:paraId="53EE27C8" w14:textId="77777777" w:rsidR="00FC207D" w:rsidRDefault="00457720">
            <w:pPr>
              <w:spacing w:before="20" w:after="20"/>
            </w:pPr>
            <w:r>
              <w:rPr>
                <w:b/>
                <w:sz w:val="18"/>
              </w:rPr>
              <w:t>March</w:t>
            </w:r>
          </w:p>
        </w:tc>
        <w:tc>
          <w:tcPr>
            <w:tcW w:w="2041" w:type="dxa"/>
          </w:tcPr>
          <w:p w14:paraId="7278FA92" w14:textId="77777777" w:rsidR="00FC207D" w:rsidRDefault="00457720">
            <w:pPr>
              <w:spacing w:before="20" w:after="20"/>
            </w:pPr>
            <w:r>
              <w:rPr>
                <w:sz w:val="18"/>
              </w:rPr>
              <w:t>0.964</w:t>
            </w:r>
          </w:p>
        </w:tc>
        <w:tc>
          <w:tcPr>
            <w:tcW w:w="2041" w:type="dxa"/>
          </w:tcPr>
          <w:p w14:paraId="2631A7DB" w14:textId="77777777" w:rsidR="00FC207D" w:rsidRDefault="00457720">
            <w:pPr>
              <w:spacing w:before="20" w:after="20"/>
            </w:pPr>
            <w:r>
              <w:rPr>
                <w:sz w:val="18"/>
              </w:rPr>
              <w:t>0.967</w:t>
            </w:r>
          </w:p>
        </w:tc>
        <w:tc>
          <w:tcPr>
            <w:tcW w:w="3402" w:type="dxa"/>
          </w:tcPr>
          <w:p w14:paraId="5A0136ED" w14:textId="77777777" w:rsidR="00FC207D" w:rsidRDefault="00457720">
            <w:pPr>
              <w:spacing w:before="20" w:after="20"/>
            </w:pPr>
            <w:r>
              <w:rPr>
                <w:sz w:val="18"/>
              </w:rPr>
              <w:t>Soft</w:t>
            </w:r>
          </w:p>
        </w:tc>
      </w:tr>
      <w:tr w:rsidR="00FC207D" w14:paraId="4C666789" w14:textId="77777777">
        <w:trPr>
          <w:jc w:val="center"/>
        </w:trPr>
        <w:tc>
          <w:tcPr>
            <w:tcW w:w="1928" w:type="dxa"/>
            <w:shd w:val="clear" w:color="auto" w:fill="EEF1F5"/>
          </w:tcPr>
          <w:p w14:paraId="063EF6E3" w14:textId="77777777" w:rsidR="00FC207D" w:rsidRDefault="00457720">
            <w:pPr>
              <w:spacing w:before="20" w:after="20"/>
            </w:pPr>
            <w:r>
              <w:rPr>
                <w:b/>
                <w:sz w:val="18"/>
              </w:rPr>
              <w:t>April</w:t>
            </w:r>
          </w:p>
        </w:tc>
        <w:tc>
          <w:tcPr>
            <w:tcW w:w="2041" w:type="dxa"/>
            <w:shd w:val="clear" w:color="auto" w:fill="EEF1F5"/>
          </w:tcPr>
          <w:p w14:paraId="38920682" w14:textId="77777777" w:rsidR="00FC207D" w:rsidRDefault="00457720">
            <w:pPr>
              <w:spacing w:before="20" w:after="20"/>
            </w:pPr>
            <w:r>
              <w:rPr>
                <w:sz w:val="18"/>
              </w:rPr>
              <w:t>0.919</w:t>
            </w:r>
          </w:p>
        </w:tc>
        <w:tc>
          <w:tcPr>
            <w:tcW w:w="2041" w:type="dxa"/>
            <w:shd w:val="clear" w:color="auto" w:fill="EEF1F5"/>
          </w:tcPr>
          <w:p w14:paraId="55106ADD" w14:textId="77777777" w:rsidR="00FC207D" w:rsidRDefault="00457720">
            <w:pPr>
              <w:spacing w:before="20" w:after="20"/>
            </w:pPr>
            <w:r>
              <w:rPr>
                <w:sz w:val="18"/>
              </w:rPr>
              <w:t>0.929</w:t>
            </w:r>
          </w:p>
        </w:tc>
        <w:tc>
          <w:tcPr>
            <w:tcW w:w="3402" w:type="dxa"/>
            <w:shd w:val="clear" w:color="auto" w:fill="EEF1F5"/>
          </w:tcPr>
          <w:p w14:paraId="71E07E9E" w14:textId="77777777" w:rsidR="00FC207D" w:rsidRDefault="00457720">
            <w:pPr>
              <w:spacing w:before="20" w:after="20"/>
            </w:pPr>
            <w:r>
              <w:rPr>
                <w:sz w:val="18"/>
              </w:rPr>
              <w:t>Weakest quarter</w:t>
            </w:r>
          </w:p>
        </w:tc>
      </w:tr>
      <w:tr w:rsidR="00FC207D" w14:paraId="06B7AD61" w14:textId="77777777">
        <w:trPr>
          <w:jc w:val="center"/>
        </w:trPr>
        <w:tc>
          <w:tcPr>
            <w:tcW w:w="1928" w:type="dxa"/>
          </w:tcPr>
          <w:p w14:paraId="0F9EE197" w14:textId="77777777" w:rsidR="00FC207D" w:rsidRDefault="00457720">
            <w:pPr>
              <w:spacing w:before="20" w:after="20"/>
            </w:pPr>
            <w:r>
              <w:rPr>
                <w:b/>
                <w:sz w:val="18"/>
              </w:rPr>
              <w:t>May</w:t>
            </w:r>
          </w:p>
        </w:tc>
        <w:tc>
          <w:tcPr>
            <w:tcW w:w="2041" w:type="dxa"/>
          </w:tcPr>
          <w:p w14:paraId="5D412A22" w14:textId="77777777" w:rsidR="00FC207D" w:rsidRDefault="00457720">
            <w:pPr>
              <w:spacing w:before="20" w:after="20"/>
            </w:pPr>
            <w:r>
              <w:rPr>
                <w:sz w:val="18"/>
              </w:rPr>
              <w:t>0.898</w:t>
            </w:r>
          </w:p>
        </w:tc>
        <w:tc>
          <w:tcPr>
            <w:tcW w:w="2041" w:type="dxa"/>
          </w:tcPr>
          <w:p w14:paraId="27FA30BF" w14:textId="77777777" w:rsidR="00FC207D" w:rsidRDefault="00457720">
            <w:pPr>
              <w:spacing w:before="20" w:after="20"/>
            </w:pPr>
            <w:r>
              <w:rPr>
                <w:sz w:val="18"/>
              </w:rPr>
              <w:t>0.914</w:t>
            </w:r>
          </w:p>
        </w:tc>
        <w:tc>
          <w:tcPr>
            <w:tcW w:w="3402" w:type="dxa"/>
          </w:tcPr>
          <w:p w14:paraId="442CD36C" w14:textId="77777777" w:rsidR="00FC207D" w:rsidRDefault="00457720">
            <w:pPr>
              <w:spacing w:before="20" w:after="20"/>
            </w:pPr>
            <w:r>
              <w:rPr>
                <w:sz w:val="18"/>
              </w:rPr>
              <w:t>Seasonal low</w:t>
            </w:r>
          </w:p>
        </w:tc>
      </w:tr>
      <w:tr w:rsidR="00FC207D" w14:paraId="4C4081F6" w14:textId="77777777">
        <w:trPr>
          <w:jc w:val="center"/>
        </w:trPr>
        <w:tc>
          <w:tcPr>
            <w:tcW w:w="1928" w:type="dxa"/>
            <w:shd w:val="clear" w:color="auto" w:fill="EEF1F5"/>
          </w:tcPr>
          <w:p w14:paraId="4F831F3B" w14:textId="77777777" w:rsidR="00FC207D" w:rsidRDefault="00457720">
            <w:pPr>
              <w:spacing w:before="20" w:after="20"/>
            </w:pPr>
            <w:r>
              <w:rPr>
                <w:b/>
                <w:sz w:val="18"/>
              </w:rPr>
              <w:lastRenderedPageBreak/>
              <w:t>June</w:t>
            </w:r>
          </w:p>
        </w:tc>
        <w:tc>
          <w:tcPr>
            <w:tcW w:w="2041" w:type="dxa"/>
            <w:shd w:val="clear" w:color="auto" w:fill="EEF1F5"/>
          </w:tcPr>
          <w:p w14:paraId="7451EEBA" w14:textId="77777777" w:rsidR="00FC207D" w:rsidRDefault="00457720">
            <w:pPr>
              <w:spacing w:before="20" w:after="20"/>
            </w:pPr>
            <w:r>
              <w:rPr>
                <w:sz w:val="18"/>
              </w:rPr>
              <w:t>1.029</w:t>
            </w:r>
          </w:p>
        </w:tc>
        <w:tc>
          <w:tcPr>
            <w:tcW w:w="2041" w:type="dxa"/>
            <w:shd w:val="clear" w:color="auto" w:fill="EEF1F5"/>
          </w:tcPr>
          <w:p w14:paraId="06403CAD" w14:textId="77777777" w:rsidR="00FC207D" w:rsidRDefault="00457720">
            <w:pPr>
              <w:spacing w:before="20" w:after="20"/>
            </w:pPr>
            <w:r>
              <w:rPr>
                <w:sz w:val="18"/>
              </w:rPr>
              <w:t>1.012</w:t>
            </w:r>
          </w:p>
        </w:tc>
        <w:tc>
          <w:tcPr>
            <w:tcW w:w="3402" w:type="dxa"/>
            <w:shd w:val="clear" w:color="auto" w:fill="EEF1F5"/>
          </w:tcPr>
          <w:p w14:paraId="696469EC" w14:textId="77777777" w:rsidR="00FC207D" w:rsidRDefault="00457720">
            <w:pPr>
              <w:spacing w:before="20" w:after="20"/>
            </w:pPr>
            <w:r>
              <w:rPr>
                <w:sz w:val="18"/>
              </w:rPr>
              <w:t>Turning firm</w:t>
            </w:r>
          </w:p>
        </w:tc>
      </w:tr>
      <w:tr w:rsidR="00FC207D" w14:paraId="172C0769" w14:textId="77777777">
        <w:trPr>
          <w:jc w:val="center"/>
        </w:trPr>
        <w:tc>
          <w:tcPr>
            <w:tcW w:w="1928" w:type="dxa"/>
          </w:tcPr>
          <w:p w14:paraId="61C6A48A" w14:textId="77777777" w:rsidR="00FC207D" w:rsidRDefault="00457720">
            <w:pPr>
              <w:spacing w:before="20" w:after="20"/>
            </w:pPr>
            <w:r>
              <w:rPr>
                <w:b/>
                <w:sz w:val="18"/>
              </w:rPr>
              <w:t>July</w:t>
            </w:r>
          </w:p>
        </w:tc>
        <w:tc>
          <w:tcPr>
            <w:tcW w:w="2041" w:type="dxa"/>
          </w:tcPr>
          <w:p w14:paraId="1CA32ABC" w14:textId="77777777" w:rsidR="00FC207D" w:rsidRDefault="00457720">
            <w:pPr>
              <w:spacing w:before="20" w:after="20"/>
            </w:pPr>
            <w:r>
              <w:rPr>
                <w:sz w:val="18"/>
              </w:rPr>
              <w:t>1.039</w:t>
            </w:r>
          </w:p>
        </w:tc>
        <w:tc>
          <w:tcPr>
            <w:tcW w:w="2041" w:type="dxa"/>
          </w:tcPr>
          <w:p w14:paraId="3AAB37A7" w14:textId="77777777" w:rsidR="00FC207D" w:rsidRDefault="00457720">
            <w:pPr>
              <w:spacing w:before="20" w:after="20"/>
            </w:pPr>
            <w:r>
              <w:rPr>
                <w:sz w:val="18"/>
              </w:rPr>
              <w:t>1.031</w:t>
            </w:r>
          </w:p>
        </w:tc>
        <w:tc>
          <w:tcPr>
            <w:tcW w:w="3402" w:type="dxa"/>
          </w:tcPr>
          <w:p w14:paraId="5582D4D6" w14:textId="77777777" w:rsidR="00FC207D" w:rsidRDefault="00457720">
            <w:pPr>
              <w:spacing w:before="20" w:after="20"/>
            </w:pPr>
            <w:r>
              <w:rPr>
                <w:sz w:val="18"/>
              </w:rPr>
              <w:t>Firm</w:t>
            </w:r>
          </w:p>
        </w:tc>
      </w:tr>
      <w:tr w:rsidR="00FC207D" w14:paraId="30474A32" w14:textId="77777777">
        <w:trPr>
          <w:jc w:val="center"/>
        </w:trPr>
        <w:tc>
          <w:tcPr>
            <w:tcW w:w="1928" w:type="dxa"/>
            <w:shd w:val="clear" w:color="auto" w:fill="EEF1F5"/>
          </w:tcPr>
          <w:p w14:paraId="0F250FAE" w14:textId="77777777" w:rsidR="00FC207D" w:rsidRDefault="00457720">
            <w:pPr>
              <w:spacing w:before="20" w:after="20"/>
            </w:pPr>
            <w:r>
              <w:rPr>
                <w:b/>
                <w:sz w:val="18"/>
              </w:rPr>
              <w:t>August</w:t>
            </w:r>
          </w:p>
        </w:tc>
        <w:tc>
          <w:tcPr>
            <w:tcW w:w="2041" w:type="dxa"/>
            <w:shd w:val="clear" w:color="auto" w:fill="EEF1F5"/>
          </w:tcPr>
          <w:p w14:paraId="1BD73318" w14:textId="77777777" w:rsidR="00FC207D" w:rsidRDefault="00457720">
            <w:pPr>
              <w:spacing w:before="20" w:after="20"/>
            </w:pPr>
            <w:r>
              <w:rPr>
                <w:sz w:val="18"/>
              </w:rPr>
              <w:t>1.025</w:t>
            </w:r>
          </w:p>
        </w:tc>
        <w:tc>
          <w:tcPr>
            <w:tcW w:w="2041" w:type="dxa"/>
            <w:shd w:val="clear" w:color="auto" w:fill="EEF1F5"/>
          </w:tcPr>
          <w:p w14:paraId="29CFF1FE" w14:textId="77777777" w:rsidR="00FC207D" w:rsidRDefault="00457720">
            <w:pPr>
              <w:spacing w:before="20" w:after="20"/>
            </w:pPr>
            <w:r>
              <w:rPr>
                <w:sz w:val="18"/>
              </w:rPr>
              <w:t>0.976</w:t>
            </w:r>
          </w:p>
        </w:tc>
        <w:tc>
          <w:tcPr>
            <w:tcW w:w="3402" w:type="dxa"/>
            <w:shd w:val="clear" w:color="auto" w:fill="EEF1F5"/>
          </w:tcPr>
          <w:p w14:paraId="298361AF" w14:textId="77777777" w:rsidR="00FC207D" w:rsidRDefault="00457720">
            <w:pPr>
              <w:spacing w:before="20" w:after="20"/>
            </w:pPr>
            <w:r>
              <w:rPr>
                <w:sz w:val="18"/>
              </w:rPr>
              <w:t>Firm for Teja only</w:t>
            </w:r>
          </w:p>
        </w:tc>
      </w:tr>
      <w:tr w:rsidR="00FC207D" w14:paraId="07538DE8" w14:textId="77777777">
        <w:trPr>
          <w:jc w:val="center"/>
        </w:trPr>
        <w:tc>
          <w:tcPr>
            <w:tcW w:w="1928" w:type="dxa"/>
          </w:tcPr>
          <w:p w14:paraId="39F62EEA" w14:textId="77777777" w:rsidR="00FC207D" w:rsidRDefault="00457720">
            <w:pPr>
              <w:spacing w:before="20" w:after="20"/>
            </w:pPr>
            <w:r>
              <w:rPr>
                <w:b/>
                <w:sz w:val="18"/>
              </w:rPr>
              <w:t>September</w:t>
            </w:r>
          </w:p>
        </w:tc>
        <w:tc>
          <w:tcPr>
            <w:tcW w:w="2041" w:type="dxa"/>
          </w:tcPr>
          <w:p w14:paraId="34729D2D" w14:textId="77777777" w:rsidR="00FC207D" w:rsidRDefault="00457720">
            <w:pPr>
              <w:spacing w:before="20" w:after="20"/>
            </w:pPr>
            <w:r>
              <w:rPr>
                <w:sz w:val="18"/>
              </w:rPr>
              <w:t>1.084</w:t>
            </w:r>
          </w:p>
        </w:tc>
        <w:tc>
          <w:tcPr>
            <w:tcW w:w="2041" w:type="dxa"/>
          </w:tcPr>
          <w:p w14:paraId="2C049CD8" w14:textId="77777777" w:rsidR="00FC207D" w:rsidRDefault="00457720">
            <w:pPr>
              <w:spacing w:before="20" w:after="20"/>
            </w:pPr>
            <w:r>
              <w:rPr>
                <w:sz w:val="18"/>
              </w:rPr>
              <w:t>1.067</w:t>
            </w:r>
          </w:p>
        </w:tc>
        <w:tc>
          <w:tcPr>
            <w:tcW w:w="3402" w:type="dxa"/>
          </w:tcPr>
          <w:p w14:paraId="4801C79C" w14:textId="77777777" w:rsidR="00FC207D" w:rsidRDefault="00457720">
            <w:pPr>
              <w:spacing w:before="20" w:after="20"/>
            </w:pPr>
            <w:r>
              <w:rPr>
                <w:sz w:val="18"/>
              </w:rPr>
              <w:t>Seasonal peak</w:t>
            </w:r>
          </w:p>
        </w:tc>
      </w:tr>
      <w:tr w:rsidR="00FC207D" w14:paraId="2A8208CE" w14:textId="77777777">
        <w:trPr>
          <w:jc w:val="center"/>
        </w:trPr>
        <w:tc>
          <w:tcPr>
            <w:tcW w:w="1928" w:type="dxa"/>
            <w:shd w:val="clear" w:color="auto" w:fill="EEF1F5"/>
          </w:tcPr>
          <w:p w14:paraId="2B77B5C7" w14:textId="77777777" w:rsidR="00FC207D" w:rsidRDefault="00457720">
            <w:pPr>
              <w:spacing w:before="20" w:after="20"/>
            </w:pPr>
            <w:r>
              <w:rPr>
                <w:b/>
                <w:sz w:val="18"/>
              </w:rPr>
              <w:t>October</w:t>
            </w:r>
          </w:p>
        </w:tc>
        <w:tc>
          <w:tcPr>
            <w:tcW w:w="2041" w:type="dxa"/>
            <w:shd w:val="clear" w:color="auto" w:fill="EEF1F5"/>
          </w:tcPr>
          <w:p w14:paraId="2A856B7C" w14:textId="77777777" w:rsidR="00FC207D" w:rsidRDefault="00457720">
            <w:pPr>
              <w:spacing w:before="20" w:after="20"/>
            </w:pPr>
            <w:r>
              <w:rPr>
                <w:sz w:val="18"/>
              </w:rPr>
              <w:t>1.047</w:t>
            </w:r>
          </w:p>
        </w:tc>
        <w:tc>
          <w:tcPr>
            <w:tcW w:w="2041" w:type="dxa"/>
            <w:shd w:val="clear" w:color="auto" w:fill="EEF1F5"/>
          </w:tcPr>
          <w:p w14:paraId="5B7945DE" w14:textId="77777777" w:rsidR="00FC207D" w:rsidRDefault="00457720">
            <w:pPr>
              <w:spacing w:before="20" w:after="20"/>
            </w:pPr>
            <w:r>
              <w:rPr>
                <w:sz w:val="18"/>
              </w:rPr>
              <w:t>1.027</w:t>
            </w:r>
          </w:p>
        </w:tc>
        <w:tc>
          <w:tcPr>
            <w:tcW w:w="3402" w:type="dxa"/>
            <w:shd w:val="clear" w:color="auto" w:fill="EEF1F5"/>
          </w:tcPr>
          <w:p w14:paraId="567A3CF9" w14:textId="77777777" w:rsidR="00FC207D" w:rsidRDefault="00457720">
            <w:pPr>
              <w:spacing w:before="20" w:after="20"/>
            </w:pPr>
            <w:r>
              <w:rPr>
                <w:sz w:val="18"/>
              </w:rPr>
              <w:t>Firm</w:t>
            </w:r>
          </w:p>
        </w:tc>
      </w:tr>
      <w:tr w:rsidR="00FC207D" w14:paraId="36DF5768" w14:textId="77777777">
        <w:trPr>
          <w:jc w:val="center"/>
        </w:trPr>
        <w:tc>
          <w:tcPr>
            <w:tcW w:w="1928" w:type="dxa"/>
          </w:tcPr>
          <w:p w14:paraId="59989356" w14:textId="77777777" w:rsidR="00FC207D" w:rsidRDefault="00457720">
            <w:pPr>
              <w:spacing w:before="20" w:after="20"/>
            </w:pPr>
            <w:r>
              <w:rPr>
                <w:b/>
                <w:sz w:val="18"/>
              </w:rPr>
              <w:t>November</w:t>
            </w:r>
          </w:p>
        </w:tc>
        <w:tc>
          <w:tcPr>
            <w:tcW w:w="2041" w:type="dxa"/>
          </w:tcPr>
          <w:p w14:paraId="4D59358A" w14:textId="77777777" w:rsidR="00FC207D" w:rsidRDefault="00457720">
            <w:pPr>
              <w:spacing w:before="20" w:after="20"/>
            </w:pPr>
            <w:r>
              <w:rPr>
                <w:sz w:val="18"/>
              </w:rPr>
              <w:t>1.055</w:t>
            </w:r>
          </w:p>
        </w:tc>
        <w:tc>
          <w:tcPr>
            <w:tcW w:w="2041" w:type="dxa"/>
          </w:tcPr>
          <w:p w14:paraId="7267CD2A" w14:textId="77777777" w:rsidR="00FC207D" w:rsidRDefault="00457720">
            <w:pPr>
              <w:spacing w:before="20" w:after="20"/>
            </w:pPr>
            <w:r>
              <w:rPr>
                <w:sz w:val="18"/>
              </w:rPr>
              <w:t>1.063</w:t>
            </w:r>
          </w:p>
        </w:tc>
        <w:tc>
          <w:tcPr>
            <w:tcW w:w="3402" w:type="dxa"/>
          </w:tcPr>
          <w:p w14:paraId="1336C2E4" w14:textId="77777777" w:rsidR="00FC207D" w:rsidRDefault="00457720">
            <w:pPr>
              <w:spacing w:before="20" w:after="20"/>
            </w:pPr>
            <w:r>
              <w:rPr>
                <w:sz w:val="18"/>
              </w:rPr>
              <w:t>Firm</w:t>
            </w:r>
          </w:p>
        </w:tc>
      </w:tr>
      <w:tr w:rsidR="00FC207D" w14:paraId="1D32DA57" w14:textId="77777777">
        <w:trPr>
          <w:jc w:val="center"/>
        </w:trPr>
        <w:tc>
          <w:tcPr>
            <w:tcW w:w="1928" w:type="dxa"/>
            <w:shd w:val="clear" w:color="auto" w:fill="EEF1F5"/>
          </w:tcPr>
          <w:p w14:paraId="3128FB90" w14:textId="77777777" w:rsidR="00FC207D" w:rsidRDefault="00457720">
            <w:pPr>
              <w:spacing w:before="20" w:after="20"/>
            </w:pPr>
            <w:r>
              <w:rPr>
                <w:b/>
                <w:sz w:val="18"/>
              </w:rPr>
              <w:t>December</w:t>
            </w:r>
          </w:p>
        </w:tc>
        <w:tc>
          <w:tcPr>
            <w:tcW w:w="2041" w:type="dxa"/>
            <w:shd w:val="clear" w:color="auto" w:fill="EEF1F5"/>
          </w:tcPr>
          <w:p w14:paraId="0C47816E" w14:textId="77777777" w:rsidR="00FC207D" w:rsidRDefault="00457720">
            <w:pPr>
              <w:spacing w:before="20" w:after="20"/>
            </w:pPr>
            <w:r>
              <w:rPr>
                <w:sz w:val="18"/>
              </w:rPr>
              <w:t>1.043</w:t>
            </w:r>
          </w:p>
        </w:tc>
        <w:tc>
          <w:tcPr>
            <w:tcW w:w="2041" w:type="dxa"/>
            <w:shd w:val="clear" w:color="auto" w:fill="EEF1F5"/>
          </w:tcPr>
          <w:p w14:paraId="2E3D22B1" w14:textId="77777777" w:rsidR="00FC207D" w:rsidRDefault="00457720">
            <w:pPr>
              <w:spacing w:before="20" w:after="20"/>
            </w:pPr>
            <w:r>
              <w:rPr>
                <w:sz w:val="18"/>
              </w:rPr>
              <w:t>1.052</w:t>
            </w:r>
          </w:p>
        </w:tc>
        <w:tc>
          <w:tcPr>
            <w:tcW w:w="3402" w:type="dxa"/>
            <w:shd w:val="clear" w:color="auto" w:fill="EEF1F5"/>
          </w:tcPr>
          <w:p w14:paraId="7A68AFF2" w14:textId="77777777" w:rsidR="00FC207D" w:rsidRDefault="00457720">
            <w:pPr>
              <w:spacing w:before="20" w:after="20"/>
            </w:pPr>
            <w:r>
              <w:rPr>
                <w:sz w:val="18"/>
              </w:rPr>
              <w:t>Firm</w:t>
            </w:r>
          </w:p>
        </w:tc>
      </w:tr>
    </w:tbl>
    <w:p w14:paraId="42EF0629" w14:textId="77777777" w:rsidR="00FC207D" w:rsidRDefault="00FC207D">
      <w:pPr>
        <w:spacing w:after="80"/>
      </w:pPr>
    </w:p>
    <w:p w14:paraId="66CC2277" w14:textId="77777777" w:rsidR="00FC207D" w:rsidRDefault="00457720">
      <w:pPr>
        <w:pStyle w:val="Heading3"/>
      </w:pPr>
      <w:r>
        <w:t>Chart — distribution by month (boxplots)</w:t>
      </w:r>
    </w:p>
    <w:p w14:paraId="40532BB0" w14:textId="77777777" w:rsidR="00FC207D" w:rsidRDefault="00457720">
      <w:pPr>
        <w:spacing w:after="60"/>
      </w:pPr>
      <w:r>
        <w:rPr>
          <w:b/>
          <w:color w:val="C2410C"/>
          <w:sz w:val="20"/>
        </w:rPr>
        <w:t xml:space="preserve">What it shows  </w:t>
      </w:r>
      <w:r>
        <w:t>The spread of each month's average across all the years in the data.</w:t>
      </w:r>
    </w:p>
    <w:p w14:paraId="51BFCD76" w14:textId="77777777" w:rsidR="00FC207D" w:rsidRDefault="00457720">
      <w:pPr>
        <w:spacing w:after="60"/>
      </w:pPr>
      <w:r>
        <w:rPr>
          <w:b/>
          <w:color w:val="C2410C"/>
          <w:sz w:val="20"/>
        </w:rPr>
        <w:t xml:space="preserve">How to read it  </w:t>
      </w:r>
      <w:r>
        <w:t>A narrow box means that month behaves consistently. A wide box means the average hides very different years.</w:t>
      </w:r>
    </w:p>
    <w:p w14:paraId="463A0F7E" w14:textId="77777777" w:rsidR="00FC207D" w:rsidRDefault="00457720">
      <w:pPr>
        <w:spacing w:after="60"/>
      </w:pPr>
      <w:r>
        <w:rPr>
          <w:b/>
          <w:color w:val="C2410C"/>
          <w:sz w:val="20"/>
        </w:rPr>
        <w:t xml:space="preserve">What it says now  </w:t>
      </w:r>
      <w:r>
        <w:t>The boxes are wide across the board, reflecting how much the price level has changed between 2014 and 2026.</w:t>
      </w:r>
    </w:p>
    <w:p w14:paraId="3C7136A1" w14:textId="77777777" w:rsidR="00FC207D" w:rsidRDefault="00457720">
      <w:pPr>
        <w:spacing w:after="60"/>
      </w:pPr>
      <w:r>
        <w:rPr>
          <w:b/>
          <w:color w:val="C2410C"/>
          <w:sz w:val="20"/>
        </w:rPr>
        <w:t xml:space="preserve">What to do with it  </w:t>
      </w:r>
      <w:r>
        <w:t>Read alongside the index. A high index with a wide box is a tendency, not a promise.</w:t>
      </w:r>
    </w:p>
    <w:p w14:paraId="5E49A0DE" w14:textId="77777777" w:rsidR="00FC207D" w:rsidRDefault="00FC207D">
      <w:pPr>
        <w:spacing w:after="40"/>
      </w:pPr>
    </w:p>
    <w:p w14:paraId="49AD5172" w14:textId="77777777" w:rsidR="00FC207D" w:rsidRDefault="00457720">
      <w:pPr>
        <w:pStyle w:val="Heading3"/>
      </w:pPr>
      <w:r>
        <w:t>Calendar heatmap</w:t>
      </w:r>
    </w:p>
    <w:p w14:paraId="191A525E" w14:textId="77777777" w:rsidR="00FC207D" w:rsidRDefault="00457720">
      <w:pPr>
        <w:spacing w:after="60"/>
      </w:pPr>
      <w:r>
        <w:rPr>
          <w:b/>
          <w:color w:val="C2410C"/>
          <w:sz w:val="20"/>
        </w:rPr>
        <w:t xml:space="preserve">What it shows  </w:t>
      </w:r>
      <w:r>
        <w:t>Every month of every year as a coloured grid.</w:t>
      </w:r>
    </w:p>
    <w:p w14:paraId="21D68C5C" w14:textId="77777777" w:rsidR="00FC207D" w:rsidRDefault="00457720">
      <w:pPr>
        <w:spacing w:after="60"/>
      </w:pPr>
      <w:r>
        <w:rPr>
          <w:b/>
          <w:color w:val="C2410C"/>
          <w:sz w:val="20"/>
        </w:rPr>
        <w:t xml:space="preserve">How to read it  </w:t>
      </w:r>
      <w:r>
        <w:t>Vertical banding means a seasonal pattern; horizontal banding means the year matters more than the month.</w:t>
      </w:r>
    </w:p>
    <w:p w14:paraId="3ED35F58" w14:textId="77777777" w:rsidR="00FC207D" w:rsidRDefault="00457720">
      <w:pPr>
        <w:spacing w:after="60"/>
      </w:pPr>
      <w:r>
        <w:rPr>
          <w:b/>
          <w:color w:val="C2410C"/>
          <w:sz w:val="20"/>
        </w:rPr>
        <w:t xml:space="preserve">What it says now  </w:t>
      </w:r>
      <w:r>
        <w:t>The banding is strongly horizontal — years dominate months. 2023 and 2024 are hot across all twelve months; 2025 is cool across all twelve.</w:t>
      </w:r>
    </w:p>
    <w:p w14:paraId="4DFD761B" w14:textId="77777777" w:rsidR="00FC207D" w:rsidRDefault="00457720">
      <w:pPr>
        <w:spacing w:after="60"/>
      </w:pPr>
      <w:r>
        <w:rPr>
          <w:b/>
          <w:color w:val="C2410C"/>
          <w:sz w:val="20"/>
        </w:rPr>
        <w:t xml:space="preserve">What to do with it  </w:t>
      </w:r>
      <w:r>
        <w:t>A visual confirmation of the decomposition result: which year you are in matters far more than which month.</w:t>
      </w:r>
    </w:p>
    <w:p w14:paraId="0FA8BA0F" w14:textId="77777777" w:rsidR="00FC207D" w:rsidRDefault="00FC207D">
      <w:pPr>
        <w:spacing w:after="40"/>
      </w:pPr>
    </w:p>
    <w:p w14:paraId="56F69987" w14:textId="77777777" w:rsidR="00FC207D" w:rsidRDefault="00457720">
      <w:pPr>
        <w:pStyle w:val="Heading3"/>
      </w:pPr>
      <w:r>
        <w:t>Comparison against the workbook's own seasonality sheet</w:t>
      </w:r>
    </w:p>
    <w:p w14:paraId="4D6CC634" w14:textId="77777777" w:rsidR="00FC207D" w:rsidRDefault="00457720">
      <w:pPr>
        <w:spacing w:after="60"/>
      </w:pPr>
      <w:r>
        <w:rPr>
          <w:b/>
          <w:color w:val="C2410C"/>
          <w:sz w:val="20"/>
        </w:rPr>
        <w:t xml:space="preserve">What it shows  </w:t>
      </w:r>
      <w:r>
        <w:t>The dashboard's independently calculated seasonal index beside the workbook's.</w:t>
      </w:r>
    </w:p>
    <w:p w14:paraId="60FCA3E3" w14:textId="77777777" w:rsidR="00FC207D" w:rsidRDefault="00457720">
      <w:pPr>
        <w:spacing w:after="60"/>
      </w:pPr>
      <w:r>
        <w:rPr>
          <w:b/>
          <w:color w:val="C2410C"/>
          <w:sz w:val="20"/>
        </w:rPr>
        <w:t xml:space="preserve">How to read it  </w:t>
      </w:r>
      <w:r>
        <w:t>The two should broadly agree; differences come from different samples.</w:t>
      </w:r>
    </w:p>
    <w:p w14:paraId="572823FD" w14:textId="77777777" w:rsidR="00FC207D" w:rsidRDefault="00457720">
      <w:pPr>
        <w:spacing w:after="60"/>
      </w:pPr>
      <w:r>
        <w:rPr>
          <w:b/>
          <w:color w:val="C2410C"/>
          <w:sz w:val="20"/>
        </w:rPr>
        <w:t xml:space="preserve">What it says now  </w:t>
      </w:r>
      <w:r>
        <w:t>The workbook's own index runs from 0.905 in May to 1.088 in September — the same shape and nearly the same magnitude as the dashboard's recomputed 0.898 to 1.084.</w:t>
      </w:r>
    </w:p>
    <w:p w14:paraId="39F989A9" w14:textId="77777777" w:rsidR="00FC207D" w:rsidRDefault="00457720">
      <w:pPr>
        <w:spacing w:after="60"/>
      </w:pPr>
      <w:r>
        <w:rPr>
          <w:b/>
          <w:color w:val="C2410C"/>
          <w:sz w:val="20"/>
        </w:rPr>
        <w:t xml:space="preserve">What to do with it  </w:t>
      </w:r>
      <w:r>
        <w:t>Two independent calculations agreeing on the seasonal shape is strong support for acting on it.</w:t>
      </w:r>
    </w:p>
    <w:p w14:paraId="3522EFB0" w14:textId="77777777" w:rsidR="00FC207D" w:rsidRDefault="00FC207D">
      <w:pPr>
        <w:spacing w:after="40"/>
      </w:pPr>
    </w:p>
    <w:p w14:paraId="1851FDDE" w14:textId="77777777" w:rsidR="00FC207D" w:rsidRDefault="00457720">
      <w:pPr>
        <w:pStyle w:val="Heading3"/>
      </w:pPr>
      <w:r>
        <w:t>Chart and table — harvest and lean seasons</w:t>
      </w:r>
    </w:p>
    <w:p w14:paraId="1C84F9B4" w14:textId="77777777" w:rsidR="00FC207D" w:rsidRDefault="00457720">
      <w:pPr>
        <w:spacing w:after="60"/>
      </w:pPr>
      <w:r>
        <w:rPr>
          <w:b/>
          <w:color w:val="C2410C"/>
          <w:sz w:val="20"/>
        </w:rPr>
        <w:t xml:space="preserve">What it shows  </w:t>
      </w:r>
      <w:r>
        <w:t>Calendar months ranked by average arrivals and classified into peak, shoulder and lean.</w:t>
      </w:r>
    </w:p>
    <w:p w14:paraId="346C2FE1" w14:textId="77777777" w:rsidR="00FC207D" w:rsidRDefault="00457720">
      <w:pPr>
        <w:spacing w:after="60"/>
      </w:pPr>
      <w:r>
        <w:rPr>
          <w:b/>
          <w:color w:val="C2410C"/>
          <w:sz w:val="20"/>
        </w:rPr>
        <w:t xml:space="preserve">How to read it  </w:t>
      </w:r>
      <w:r>
        <w:t>Derived from the workbook's arrival data, not from an external crop calendar.</w:t>
      </w:r>
    </w:p>
    <w:p w14:paraId="35759B23" w14:textId="77777777" w:rsidR="00FC207D" w:rsidRDefault="00457720">
      <w:pPr>
        <w:spacing w:after="60"/>
      </w:pPr>
      <w:r>
        <w:rPr>
          <w:b/>
          <w:color w:val="C2410C"/>
          <w:sz w:val="20"/>
        </w:rPr>
        <w:t xml:space="preserve">What it says now  </w:t>
      </w:r>
      <w:r>
        <w:t>Peak: February, March, April, November. Lean: May, June, July, October. March averages 1.67 million bags against May's 365,000 — a 4.6-fold difference.</w:t>
      </w:r>
    </w:p>
    <w:p w14:paraId="7BCD63BB" w14:textId="77777777" w:rsidR="00FC207D" w:rsidRDefault="00457720">
      <w:pPr>
        <w:spacing w:after="60"/>
      </w:pPr>
      <w:r>
        <w:rPr>
          <w:b/>
          <w:color w:val="C2410C"/>
          <w:sz w:val="20"/>
        </w:rPr>
        <w:t xml:space="preserve">What to do with it  </w:t>
      </w:r>
      <w:r>
        <w:t>The most predictable pattern in the entire workbook. Use it for storage, logistics and working capital planning.</w:t>
      </w:r>
    </w:p>
    <w:p w14:paraId="1177EADB"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7CAB7DB2" w14:textId="77777777">
        <w:trPr>
          <w:jc w:val="center"/>
        </w:trPr>
        <w:tc>
          <w:tcPr>
            <w:tcW w:w="9411" w:type="dxa"/>
            <w:tcBorders>
              <w:left w:val="single" w:sz="18" w:space="0" w:color="C2410C"/>
            </w:tcBorders>
            <w:shd w:val="clear" w:color="auto" w:fill="FDF1E7"/>
          </w:tcPr>
          <w:p w14:paraId="40799904" w14:textId="77777777" w:rsidR="00FC207D" w:rsidRDefault="00457720">
            <w:pPr>
              <w:spacing w:after="40"/>
            </w:pPr>
            <w:r>
              <w:rPr>
                <w:b/>
                <w:color w:val="C2410C"/>
                <w:sz w:val="20"/>
              </w:rPr>
              <w:t>Conclusion for Page 7</w:t>
            </w:r>
          </w:p>
          <w:p w14:paraId="13F016E8" w14:textId="77777777" w:rsidR="00FC207D" w:rsidRDefault="00457720">
            <w:pPr>
              <w:spacing w:after="0"/>
            </w:pPr>
            <w:r>
              <w:rPr>
                <w:sz w:val="20"/>
              </w:rPr>
              <w:lastRenderedPageBreak/>
              <w:t>The seasonal pattern is real, consistent between two independent calculations, and worth 15–19% between the May trough and the September peak. But it explains only 4% of price variation against the trend's 90%. Use seasonality to time a decision you have already made on other grounds — never as the reason for the decision.</w:t>
            </w:r>
          </w:p>
        </w:tc>
      </w:tr>
    </w:tbl>
    <w:p w14:paraId="5A021770" w14:textId="77777777" w:rsidR="00FC207D" w:rsidRDefault="00FC207D">
      <w:pPr>
        <w:spacing w:after="80"/>
      </w:pPr>
    </w:p>
    <w:p w14:paraId="1D4A149B" w14:textId="77777777" w:rsidR="00FC207D" w:rsidRDefault="00457720">
      <w:pPr>
        <w:pStyle w:val="Heading2"/>
      </w:pPr>
      <w:bookmarkStart w:id="17" w:name="_Toc236139949"/>
      <w:r>
        <w:t>Page 8 — Export Analysis</w:t>
      </w:r>
      <w:bookmarkEnd w:id="17"/>
    </w:p>
    <w:p w14:paraId="3E054DE2" w14:textId="77777777" w:rsidR="00FC207D" w:rsidRDefault="00457720">
      <w:pPr>
        <w:spacing w:after="60"/>
      </w:pPr>
      <w:r>
        <w:rPr>
          <w:b/>
          <w:color w:val="C2410C"/>
          <w:sz w:val="20"/>
        </w:rPr>
        <w:t xml:space="preserve">Purpose  </w:t>
      </w:r>
      <w:r>
        <w:t>Whether export demand moves domestic prices, and how the exchange rate feeds into that.</w:t>
      </w:r>
    </w:p>
    <w:p w14:paraId="6C89AD31" w14:textId="77777777" w:rsidR="00FC207D" w:rsidRDefault="00457720">
      <w:pPr>
        <w:pStyle w:val="Heading3"/>
      </w:pPr>
      <w:r>
        <w:t>Chart — monthly exports, calendar heatmap, annual totals</w:t>
      </w:r>
    </w:p>
    <w:p w14:paraId="78C625B0" w14:textId="77777777" w:rsidR="00FC207D" w:rsidRDefault="00457720">
      <w:pPr>
        <w:spacing w:after="60"/>
      </w:pPr>
      <w:r>
        <w:rPr>
          <w:b/>
          <w:color w:val="C2410C"/>
          <w:sz w:val="20"/>
        </w:rPr>
        <w:t xml:space="preserve">What it shows  </w:t>
      </w:r>
      <w:r>
        <w:t>Export volume over time, by month and year, and summed per year.</w:t>
      </w:r>
    </w:p>
    <w:p w14:paraId="64A0B890" w14:textId="77777777" w:rsidR="00FC207D" w:rsidRDefault="00457720">
      <w:pPr>
        <w:spacing w:after="60"/>
      </w:pPr>
      <w:r>
        <w:rPr>
          <w:b/>
          <w:color w:val="C2410C"/>
          <w:sz w:val="20"/>
        </w:rPr>
        <w:t xml:space="preserve">How to read it  </w:t>
      </w:r>
      <w:r>
        <w:t>Partial years are hatched — their totals are incomplete and must not be compared with full years.</w:t>
      </w:r>
    </w:p>
    <w:p w14:paraId="04D54E3F" w14:textId="77777777" w:rsidR="00FC207D" w:rsidRDefault="00457720">
      <w:pPr>
        <w:spacing w:after="60"/>
      </w:pPr>
      <w:r>
        <w:rPr>
          <w:b/>
          <w:color w:val="C2410C"/>
          <w:sz w:val="20"/>
        </w:rPr>
        <w:t xml:space="preserve">What it says now  </w:t>
      </w:r>
      <w:r>
        <w:t>2025 was a record at 695,693 units, up 30% on 2024's 536,068 and more than double 2016's 307,718. 2026 shows 242,224 for January to May only. March, April and May 2025 were exceptional months (121,214, 113,129 and 61,130).</w:t>
      </w:r>
    </w:p>
    <w:p w14:paraId="062789E0" w14:textId="77777777" w:rsidR="00FC207D" w:rsidRDefault="00457720">
      <w:pPr>
        <w:spacing w:after="60"/>
      </w:pPr>
      <w:r>
        <w:rPr>
          <w:b/>
          <w:color w:val="C2410C"/>
          <w:sz w:val="20"/>
        </w:rPr>
        <w:t xml:space="preserve">What to do with it  </w:t>
      </w:r>
      <w:r>
        <w:t>Establishes that export demand has been in a strong multi-year uptrend, and that 2025 was extraordinary. The sheet does not state its unit of measure, so use these figures only against each other.</w:t>
      </w:r>
    </w:p>
    <w:p w14:paraId="35E118B0" w14:textId="77777777" w:rsidR="00FC207D" w:rsidRDefault="00FC207D">
      <w:pPr>
        <w:spacing w:after="40"/>
      </w:pPr>
    </w:p>
    <w:p w14:paraId="177CE843" w14:textId="77777777" w:rsidR="00FC207D" w:rsidRDefault="00457720">
      <w:pPr>
        <w:pStyle w:val="Heading3"/>
      </w:pPr>
      <w:r>
        <w:t>Table — correlation between exports and price</w:t>
      </w:r>
    </w:p>
    <w:p w14:paraId="2DE72164" w14:textId="77777777" w:rsidR="00FC207D" w:rsidRDefault="00457720">
      <w:pPr>
        <w:spacing w:after="60"/>
      </w:pPr>
      <w:r>
        <w:rPr>
          <w:b/>
          <w:color w:val="C2410C"/>
          <w:sz w:val="20"/>
        </w:rPr>
        <w:t xml:space="preserve">What it shows  </w:t>
      </w:r>
      <w:r>
        <w:t>The straightforward month-by-month relationship.</w:t>
      </w:r>
    </w:p>
    <w:p w14:paraId="16F8C502" w14:textId="77777777" w:rsidR="00FC207D" w:rsidRDefault="00457720">
      <w:pPr>
        <w:spacing w:after="60"/>
      </w:pPr>
      <w:r>
        <w:rPr>
          <w:b/>
          <w:color w:val="C2410C"/>
          <w:sz w:val="20"/>
        </w:rPr>
        <w:t xml:space="preserve">How to read it  </w:t>
      </w:r>
      <w:r>
        <w:t>Check the p-value before believing the coefficient.</w:t>
      </w:r>
    </w:p>
    <w:p w14:paraId="60AAA2BC" w14:textId="77777777" w:rsidR="00FC207D" w:rsidRDefault="00457720">
      <w:pPr>
        <w:spacing w:after="60"/>
      </w:pPr>
      <w:r>
        <w:rPr>
          <w:b/>
          <w:color w:val="C2410C"/>
          <w:sz w:val="20"/>
        </w:rPr>
        <w:t xml:space="preserve">What it says now  </w:t>
      </w:r>
      <w:r>
        <w:t>r=0.044 with p=0.611 across 135 overlapping months. There is no contemporaneous relationship at all.</w:t>
      </w:r>
    </w:p>
    <w:p w14:paraId="0D31EB4E" w14:textId="77777777" w:rsidR="00FC207D" w:rsidRDefault="00457720">
      <w:pPr>
        <w:spacing w:after="60"/>
      </w:pPr>
      <w:r>
        <w:rPr>
          <w:b/>
          <w:color w:val="C2410C"/>
          <w:sz w:val="20"/>
        </w:rPr>
        <w:t xml:space="preserve">What to do with it  </w:t>
      </w:r>
      <w:r>
        <w:t>A genuinely surprising result that contradicts the common assumption. On its own it would suggest exports are irrelevant — but the next two panels show why that conclusion would be wrong.</w:t>
      </w:r>
    </w:p>
    <w:p w14:paraId="4F1CBD1E" w14:textId="77777777" w:rsidR="00FC207D" w:rsidRDefault="00FC207D">
      <w:pPr>
        <w:spacing w:after="40"/>
      </w:pPr>
    </w:p>
    <w:p w14:paraId="1C900111" w14:textId="77777777" w:rsidR="00FC207D" w:rsidRDefault="00457720">
      <w:pPr>
        <w:pStyle w:val="Heading3"/>
      </w:pPr>
      <w:r>
        <w:t>Chart — cross-correlation, exports leading price</w:t>
      </w:r>
    </w:p>
    <w:p w14:paraId="5B85A27F" w14:textId="77777777" w:rsidR="00FC207D" w:rsidRDefault="00457720">
      <w:pPr>
        <w:spacing w:after="60"/>
      </w:pPr>
      <w:r>
        <w:rPr>
          <w:b/>
          <w:color w:val="C2410C"/>
          <w:sz w:val="20"/>
        </w:rPr>
        <w:t xml:space="preserve">What it shows  </w:t>
      </w:r>
      <w:r>
        <w:t>The same relationship tested at different leads, on month-to-month changes rather than levels.</w:t>
      </w:r>
    </w:p>
    <w:p w14:paraId="30B7BA41" w14:textId="77777777" w:rsidR="00FC207D" w:rsidRDefault="00457720">
      <w:pPr>
        <w:spacing w:after="60"/>
      </w:pPr>
      <w:r>
        <w:rPr>
          <w:b/>
          <w:color w:val="C2410C"/>
          <w:sz w:val="20"/>
        </w:rPr>
        <w:t xml:space="preserve">How to read it  </w:t>
      </w:r>
      <w:r>
        <w:t>A tall bar to the right of zero means export changes come first.</w:t>
      </w:r>
    </w:p>
    <w:p w14:paraId="13711A78" w14:textId="77777777" w:rsidR="00FC207D" w:rsidRDefault="00457720">
      <w:pPr>
        <w:spacing w:after="60"/>
      </w:pPr>
      <w:r>
        <w:rPr>
          <w:b/>
          <w:color w:val="C2410C"/>
          <w:sz w:val="20"/>
        </w:rPr>
        <w:t xml:space="preserve">What it says now  </w:t>
      </w:r>
      <w:r>
        <w:t>The peak sits at a four-month lead with a correlation of 0.23, against −0.16 at zero lag. A Granger test confirms exports significantly improve the prediction of price at lags of four, five and six months (p=0.0069 at four months).</w:t>
      </w:r>
    </w:p>
    <w:p w14:paraId="751132AD" w14:textId="77777777" w:rsidR="00FC207D" w:rsidRDefault="00457720">
      <w:pPr>
        <w:spacing w:after="60"/>
      </w:pPr>
      <w:r>
        <w:rPr>
          <w:b/>
          <w:color w:val="C2410C"/>
          <w:sz w:val="20"/>
        </w:rPr>
        <w:t xml:space="preserve">What to do with it  </w:t>
      </w:r>
      <w:r>
        <w:t>This is the real export story and it resolves the contradiction above. Exports and prices are unrelated in the same month but export changes lead price changes by about four months. A strong export month is a signal about the following quarter, not about today.</w:t>
      </w:r>
    </w:p>
    <w:p w14:paraId="2FD202D2" w14:textId="77777777" w:rsidR="00FC207D" w:rsidRDefault="00FC207D">
      <w:pPr>
        <w:spacing w:after="40"/>
      </w:pPr>
    </w:p>
    <w:p w14:paraId="26C30264" w14:textId="77777777" w:rsidR="00FC207D" w:rsidRDefault="00457720">
      <w:pPr>
        <w:pStyle w:val="Heading3"/>
      </w:pPr>
      <w:r>
        <w:t>Chart — 24-month rolling correlation</w:t>
      </w:r>
    </w:p>
    <w:p w14:paraId="223F707A" w14:textId="77777777" w:rsidR="00FC207D" w:rsidRDefault="00457720">
      <w:pPr>
        <w:spacing w:after="60"/>
      </w:pPr>
      <w:r>
        <w:rPr>
          <w:b/>
          <w:color w:val="C2410C"/>
          <w:sz w:val="20"/>
        </w:rPr>
        <w:t xml:space="preserve">What it shows  </w:t>
      </w:r>
      <w:r>
        <w:t>How the export-price relationship has changed over time.</w:t>
      </w:r>
    </w:p>
    <w:p w14:paraId="76CAA9FF" w14:textId="77777777" w:rsidR="00FC207D" w:rsidRDefault="00457720">
      <w:pPr>
        <w:spacing w:after="60"/>
      </w:pPr>
      <w:r>
        <w:rPr>
          <w:b/>
          <w:color w:val="C2410C"/>
          <w:sz w:val="20"/>
        </w:rPr>
        <w:t xml:space="preserve">How to read it  </w:t>
      </w:r>
      <w:r>
        <w:t>A line crossing zero means the relationship reverses.</w:t>
      </w:r>
    </w:p>
    <w:p w14:paraId="57E885E2" w14:textId="77777777" w:rsidR="00FC207D" w:rsidRDefault="00457720">
      <w:pPr>
        <w:spacing w:after="60"/>
      </w:pPr>
      <w:r>
        <w:rPr>
          <w:b/>
          <w:color w:val="C2410C"/>
          <w:sz w:val="20"/>
        </w:rPr>
        <w:t xml:space="preserve">What it says now  </w:t>
      </w:r>
      <w:r>
        <w:t>It ranges from −0.67 to +0.25 and currently sits at −0.37. It changes sign repeatedly.</w:t>
      </w:r>
    </w:p>
    <w:p w14:paraId="0E651ED3" w14:textId="77777777" w:rsidR="00FC207D" w:rsidRDefault="00457720">
      <w:pPr>
        <w:spacing w:after="60"/>
      </w:pPr>
      <w:r>
        <w:rPr>
          <w:b/>
          <w:color w:val="C2410C"/>
          <w:sz w:val="20"/>
        </w:rPr>
        <w:t xml:space="preserve">What to do with it  </w:t>
      </w:r>
      <w:r>
        <w:t>A serious caution. The four-month lead is statistically real on average, but the relationship is unstable enough that it should never be the sole basis for a position. Size accordingly.</w:t>
      </w:r>
    </w:p>
    <w:p w14:paraId="585C3175" w14:textId="77777777" w:rsidR="00FC207D" w:rsidRDefault="00FC207D">
      <w:pPr>
        <w:spacing w:after="40"/>
      </w:pPr>
    </w:p>
    <w:p w14:paraId="63E2472B" w14:textId="77777777" w:rsidR="00FC207D" w:rsidRDefault="00457720">
      <w:pPr>
        <w:pStyle w:val="Heading3"/>
      </w:pPr>
      <w:r>
        <w:t>Charts and tables — the currency channel</w:t>
      </w:r>
    </w:p>
    <w:p w14:paraId="7AD12B83" w14:textId="77777777" w:rsidR="00FC207D" w:rsidRDefault="00457720">
      <w:pPr>
        <w:spacing w:after="60"/>
      </w:pPr>
      <w:r>
        <w:rPr>
          <w:b/>
          <w:color w:val="C2410C"/>
          <w:sz w:val="20"/>
        </w:rPr>
        <w:t xml:space="preserve">What it shows  </w:t>
      </w:r>
      <w:r>
        <w:t>USD/INR against price, with correlation and a causality test.</w:t>
      </w:r>
    </w:p>
    <w:p w14:paraId="457F3A33" w14:textId="77777777" w:rsidR="00FC207D" w:rsidRDefault="00457720">
      <w:pPr>
        <w:spacing w:after="60"/>
      </w:pPr>
      <w:r>
        <w:rPr>
          <w:b/>
          <w:color w:val="C2410C"/>
          <w:sz w:val="20"/>
        </w:rPr>
        <w:t xml:space="preserve">How to read it  </w:t>
      </w:r>
      <w:r>
        <w:t>A weaker rupee raises the rupee proceeds of an export sale, which should support domestic prices.</w:t>
      </w:r>
    </w:p>
    <w:p w14:paraId="3CE888E0" w14:textId="77777777" w:rsidR="00FC207D" w:rsidRDefault="00457720">
      <w:pPr>
        <w:spacing w:after="60"/>
      </w:pPr>
      <w:r>
        <w:rPr>
          <w:b/>
          <w:color w:val="C2410C"/>
          <w:sz w:val="20"/>
        </w:rPr>
        <w:t xml:space="preserve">What it says now  </w:t>
      </w:r>
      <w:r>
        <w:t>Correlation of 0.779 (p&lt;0.0001) across 114 months, an R² of 0.607 — much the strongest single relationship in the dashboard. Granger tests are significant at three, four and five months (p=0.0069 at three months). The rate is 96.512 as at 20 July 2026.</w:t>
      </w:r>
    </w:p>
    <w:p w14:paraId="3FD7C4C1" w14:textId="77777777" w:rsidR="00FC207D" w:rsidRDefault="00457720">
      <w:pPr>
        <w:spacing w:after="60"/>
      </w:pPr>
      <w:r>
        <w:rPr>
          <w:b/>
          <w:color w:val="C2410C"/>
          <w:sz w:val="20"/>
        </w:rPr>
        <w:t xml:space="preserve">What to do with it  </w:t>
      </w:r>
      <w:r>
        <w:t>The exchange rate is the most useful external variable available. But see the caution below before leaning on it.</w:t>
      </w:r>
    </w:p>
    <w:p w14:paraId="53A3EF9C"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40A08162" w14:textId="77777777">
        <w:trPr>
          <w:jc w:val="center"/>
        </w:trPr>
        <w:tc>
          <w:tcPr>
            <w:tcW w:w="9411" w:type="dxa"/>
            <w:tcBorders>
              <w:left w:val="single" w:sz="18" w:space="0" w:color="B91C1C"/>
            </w:tcBorders>
            <w:shd w:val="clear" w:color="auto" w:fill="FFF6E5"/>
          </w:tcPr>
          <w:p w14:paraId="532C2929" w14:textId="77777777" w:rsidR="00FC207D" w:rsidRDefault="00457720">
            <w:pPr>
              <w:spacing w:after="40"/>
            </w:pPr>
            <w:r>
              <w:rPr>
                <w:b/>
                <w:color w:val="B91C1C"/>
                <w:sz w:val="20"/>
              </w:rPr>
              <w:t>Caution on the currency figures</w:t>
            </w:r>
          </w:p>
          <w:p w14:paraId="6033DC8A" w14:textId="77777777" w:rsidR="00FC207D" w:rsidRDefault="00457720">
            <w:pPr>
              <w:spacing w:after="0"/>
            </w:pPr>
            <w:r>
              <w:rPr>
                <w:sz w:val="20"/>
              </w:rPr>
              <w:t>Both the correlation and the causality test on USD/INR are computed across a 1,119-day hole in the exchange-rate sheet — 15 May 2019 to 7 June 2022 is missing entirely, with 2020 and 2021 absent. The statistics therefore join two disconnected periods, and both series trend upward over the sample, so part of that 0.78 correlation is shared trend rather than a mechanism. Treat the currency channel as plausible and directionally useful, not as established.</w:t>
            </w:r>
          </w:p>
        </w:tc>
      </w:tr>
    </w:tbl>
    <w:p w14:paraId="689071FA" w14:textId="77777777" w:rsidR="00FC207D" w:rsidRDefault="00FC207D">
      <w:pPr>
        <w:spacing w:after="80"/>
      </w:pPr>
    </w:p>
    <w:tbl>
      <w:tblPr>
        <w:tblW w:w="0" w:type="auto"/>
        <w:jc w:val="center"/>
        <w:tblLayout w:type="fixed"/>
        <w:tblLook w:val="04A0" w:firstRow="1" w:lastRow="0" w:firstColumn="1" w:lastColumn="0" w:noHBand="0" w:noVBand="1"/>
      </w:tblPr>
      <w:tblGrid>
        <w:gridCol w:w="9411"/>
      </w:tblGrid>
      <w:tr w:rsidR="00FC207D" w14:paraId="6812C308" w14:textId="77777777">
        <w:trPr>
          <w:jc w:val="center"/>
        </w:trPr>
        <w:tc>
          <w:tcPr>
            <w:tcW w:w="9411" w:type="dxa"/>
            <w:tcBorders>
              <w:left w:val="single" w:sz="18" w:space="0" w:color="C2410C"/>
            </w:tcBorders>
            <w:shd w:val="clear" w:color="auto" w:fill="FDF1E7"/>
          </w:tcPr>
          <w:p w14:paraId="08717ACF" w14:textId="77777777" w:rsidR="00FC207D" w:rsidRDefault="00457720">
            <w:pPr>
              <w:spacing w:after="40"/>
            </w:pPr>
            <w:r>
              <w:rPr>
                <w:b/>
                <w:color w:val="C2410C"/>
                <w:sz w:val="20"/>
              </w:rPr>
              <w:t>Conclusion for Page 8</w:t>
            </w:r>
          </w:p>
          <w:p w14:paraId="04811BC3" w14:textId="77777777" w:rsidR="00FC207D" w:rsidRDefault="00457720">
            <w:pPr>
              <w:spacing w:after="0"/>
            </w:pPr>
            <w:r>
              <w:rPr>
                <w:sz w:val="20"/>
              </w:rPr>
              <w:t>Exports do not move prices in the same month — but export changes lead price changes by about four months, which is genuinely useful. The exchange rate is the strongest single correlate in the workbook, though its data has a three-year hole. Both relationships are unstable enough to inform a view rather than drive one.</w:t>
            </w:r>
          </w:p>
        </w:tc>
      </w:tr>
    </w:tbl>
    <w:p w14:paraId="32D0F6C7" w14:textId="77777777" w:rsidR="00FC207D" w:rsidRDefault="00FC207D">
      <w:pPr>
        <w:spacing w:after="80"/>
      </w:pPr>
    </w:p>
    <w:p w14:paraId="15980736" w14:textId="77777777" w:rsidR="00FC207D" w:rsidRDefault="00457720">
      <w:pPr>
        <w:pStyle w:val="Heading2"/>
      </w:pPr>
      <w:bookmarkStart w:id="18" w:name="_Toc236139950"/>
      <w:r>
        <w:t>Page 9 — Balance Sheet</w:t>
      </w:r>
      <w:bookmarkEnd w:id="18"/>
    </w:p>
    <w:p w14:paraId="04597112" w14:textId="77777777" w:rsidR="00FC207D" w:rsidRDefault="00457720">
      <w:pPr>
        <w:spacing w:after="60"/>
      </w:pPr>
      <w:r>
        <w:rPr>
          <w:b/>
          <w:color w:val="C2410C"/>
          <w:sz w:val="20"/>
        </w:rPr>
        <w:t xml:space="preserve">Purpose  </w:t>
      </w:r>
      <w:r>
        <w:t>The supply and demand arithmetic behind the price: what was produced, what was used, and what is left over.</w:t>
      </w:r>
    </w:p>
    <w:p w14:paraId="765379D5" w14:textId="77777777" w:rsidR="00FC207D" w:rsidRDefault="00457720">
      <w:pPr>
        <w:pStyle w:val="Heading3"/>
      </w:pPr>
      <w:r>
        <w:t>Table — the balance sheet as supplied</w:t>
      </w:r>
    </w:p>
    <w:p w14:paraId="7B75C65A" w14:textId="77777777" w:rsidR="00FC207D" w:rsidRDefault="00457720">
      <w:pPr>
        <w:spacing w:after="60"/>
      </w:pPr>
      <w:r>
        <w:rPr>
          <w:b/>
          <w:color w:val="C2410C"/>
          <w:sz w:val="20"/>
        </w:rPr>
        <w:t xml:space="preserve">What it shows  </w:t>
      </w:r>
      <w:r>
        <w:t>Opening stock, production, imports, total supply, consumption, exports, total demand, ending stock and the stock-to-use ratio, by year, in lakh tonnes.</w:t>
      </w:r>
    </w:p>
    <w:p w14:paraId="70477323" w14:textId="77777777" w:rsidR="00FC207D" w:rsidRDefault="00457720">
      <w:pPr>
        <w:spacing w:after="60"/>
      </w:pPr>
      <w:r>
        <w:rPr>
          <w:b/>
          <w:color w:val="C2410C"/>
          <w:sz w:val="20"/>
        </w:rPr>
        <w:t xml:space="preserve">How to read it  </w:t>
      </w:r>
      <w:r>
        <w:t>The bottom line — stock-to-use — is the tightness measure. Low means little buffer.</w:t>
      </w:r>
    </w:p>
    <w:p w14:paraId="0018FD14" w14:textId="77777777" w:rsidR="00FC207D" w:rsidRDefault="00457720">
      <w:pPr>
        <w:spacing w:after="60"/>
      </w:pPr>
      <w:r>
        <w:rPr>
          <w:b/>
          <w:color w:val="C2410C"/>
          <w:sz w:val="20"/>
        </w:rPr>
        <w:t xml:space="preserve">What it says now  </w:t>
      </w:r>
      <w:r>
        <w:t>See the table below. 2026 is the workbook's own expectation, not a dashboard forecast.</w:t>
      </w:r>
    </w:p>
    <w:p w14:paraId="59B1A961" w14:textId="77777777" w:rsidR="00FC207D" w:rsidRDefault="00457720">
      <w:pPr>
        <w:spacing w:after="60"/>
      </w:pPr>
      <w:r>
        <w:rPr>
          <w:b/>
          <w:color w:val="C2410C"/>
          <w:sz w:val="20"/>
        </w:rPr>
        <w:t xml:space="preserve">What to do with it  </w:t>
      </w:r>
      <w:r>
        <w:t>This is the most important table in the dashboard for a six-month price view.</w:t>
      </w:r>
    </w:p>
    <w:p w14:paraId="0FBBC22A" w14:textId="77777777" w:rsidR="00FC207D" w:rsidRDefault="00FC207D">
      <w:pPr>
        <w:spacing w:after="40"/>
      </w:pPr>
    </w:p>
    <w:tbl>
      <w:tblPr>
        <w:tblStyle w:val="TableGrid"/>
        <w:tblW w:w="0" w:type="auto"/>
        <w:jc w:val="center"/>
        <w:tblLayout w:type="fixed"/>
        <w:tblLook w:val="04A0" w:firstRow="1" w:lastRow="0" w:firstColumn="1" w:lastColumn="0" w:noHBand="0" w:noVBand="1"/>
      </w:tblPr>
      <w:tblGrid>
        <w:gridCol w:w="1474"/>
        <w:gridCol w:w="1587"/>
        <w:gridCol w:w="1587"/>
        <w:gridCol w:w="1587"/>
        <w:gridCol w:w="1587"/>
        <w:gridCol w:w="1587"/>
      </w:tblGrid>
      <w:tr w:rsidR="00FC207D" w14:paraId="2F4C5270" w14:textId="77777777">
        <w:trPr>
          <w:jc w:val="center"/>
        </w:trPr>
        <w:tc>
          <w:tcPr>
            <w:tcW w:w="1474" w:type="dxa"/>
            <w:shd w:val="clear" w:color="auto" w:fill="1A2027"/>
          </w:tcPr>
          <w:p w14:paraId="311470CB" w14:textId="77777777" w:rsidR="00FC207D" w:rsidRDefault="00457720">
            <w:pPr>
              <w:spacing w:before="20" w:after="20"/>
            </w:pPr>
            <w:r>
              <w:rPr>
                <w:b/>
                <w:color w:val="FFFFFF"/>
                <w:sz w:val="18"/>
              </w:rPr>
              <w:t>Year</w:t>
            </w:r>
          </w:p>
        </w:tc>
        <w:tc>
          <w:tcPr>
            <w:tcW w:w="1587" w:type="dxa"/>
            <w:shd w:val="clear" w:color="auto" w:fill="1A2027"/>
          </w:tcPr>
          <w:p w14:paraId="7837E3AD" w14:textId="77777777" w:rsidR="00FC207D" w:rsidRDefault="00457720">
            <w:pPr>
              <w:spacing w:before="20" w:after="20"/>
            </w:pPr>
            <w:r>
              <w:rPr>
                <w:b/>
                <w:color w:val="FFFFFF"/>
                <w:sz w:val="18"/>
              </w:rPr>
              <w:t>Production</w:t>
            </w:r>
          </w:p>
        </w:tc>
        <w:tc>
          <w:tcPr>
            <w:tcW w:w="1587" w:type="dxa"/>
            <w:shd w:val="clear" w:color="auto" w:fill="1A2027"/>
          </w:tcPr>
          <w:p w14:paraId="13264C13" w14:textId="77777777" w:rsidR="00FC207D" w:rsidRDefault="00457720">
            <w:pPr>
              <w:spacing w:before="20" w:after="20"/>
            </w:pPr>
            <w:r>
              <w:rPr>
                <w:b/>
                <w:color w:val="FFFFFF"/>
                <w:sz w:val="18"/>
              </w:rPr>
              <w:t>Total supply</w:t>
            </w:r>
          </w:p>
        </w:tc>
        <w:tc>
          <w:tcPr>
            <w:tcW w:w="1587" w:type="dxa"/>
            <w:shd w:val="clear" w:color="auto" w:fill="1A2027"/>
          </w:tcPr>
          <w:p w14:paraId="3F4141DB" w14:textId="77777777" w:rsidR="00FC207D" w:rsidRDefault="00457720">
            <w:pPr>
              <w:spacing w:before="20" w:after="20"/>
            </w:pPr>
            <w:r>
              <w:rPr>
                <w:b/>
                <w:color w:val="FFFFFF"/>
                <w:sz w:val="18"/>
              </w:rPr>
              <w:t>Total demand</w:t>
            </w:r>
          </w:p>
        </w:tc>
        <w:tc>
          <w:tcPr>
            <w:tcW w:w="1587" w:type="dxa"/>
            <w:shd w:val="clear" w:color="auto" w:fill="1A2027"/>
          </w:tcPr>
          <w:p w14:paraId="458836F0" w14:textId="77777777" w:rsidR="00FC207D" w:rsidRDefault="00457720">
            <w:pPr>
              <w:spacing w:before="20" w:after="20"/>
            </w:pPr>
            <w:r>
              <w:rPr>
                <w:b/>
                <w:color w:val="FFFFFF"/>
                <w:sz w:val="18"/>
              </w:rPr>
              <w:t>Ending stock</w:t>
            </w:r>
          </w:p>
        </w:tc>
        <w:tc>
          <w:tcPr>
            <w:tcW w:w="1587" w:type="dxa"/>
            <w:shd w:val="clear" w:color="auto" w:fill="1A2027"/>
          </w:tcPr>
          <w:p w14:paraId="15B080DD" w14:textId="77777777" w:rsidR="00FC207D" w:rsidRDefault="00457720">
            <w:pPr>
              <w:spacing w:before="20" w:after="20"/>
            </w:pPr>
            <w:r>
              <w:rPr>
                <w:b/>
                <w:color w:val="FFFFFF"/>
                <w:sz w:val="18"/>
              </w:rPr>
              <w:t>Stock-to-use</w:t>
            </w:r>
          </w:p>
        </w:tc>
      </w:tr>
      <w:tr w:rsidR="00FC207D" w14:paraId="27B3A1E4" w14:textId="77777777">
        <w:trPr>
          <w:jc w:val="center"/>
        </w:trPr>
        <w:tc>
          <w:tcPr>
            <w:tcW w:w="1474" w:type="dxa"/>
          </w:tcPr>
          <w:p w14:paraId="1E03565A" w14:textId="77777777" w:rsidR="00FC207D" w:rsidRDefault="00457720">
            <w:pPr>
              <w:spacing w:before="20" w:after="20"/>
            </w:pPr>
            <w:r>
              <w:rPr>
                <w:b/>
                <w:sz w:val="18"/>
              </w:rPr>
              <w:t>2017</w:t>
            </w:r>
          </w:p>
        </w:tc>
        <w:tc>
          <w:tcPr>
            <w:tcW w:w="1587" w:type="dxa"/>
          </w:tcPr>
          <w:p w14:paraId="01146F00" w14:textId="77777777" w:rsidR="00FC207D" w:rsidRDefault="00457720">
            <w:pPr>
              <w:spacing w:before="20" w:after="20"/>
            </w:pPr>
            <w:r>
              <w:rPr>
                <w:sz w:val="18"/>
              </w:rPr>
              <w:t>13.76</w:t>
            </w:r>
          </w:p>
        </w:tc>
        <w:tc>
          <w:tcPr>
            <w:tcW w:w="1587" w:type="dxa"/>
          </w:tcPr>
          <w:p w14:paraId="07F2FE3D" w14:textId="77777777" w:rsidR="00FC207D" w:rsidRDefault="00457720">
            <w:pPr>
              <w:spacing w:before="20" w:after="20"/>
            </w:pPr>
            <w:r>
              <w:rPr>
                <w:sz w:val="18"/>
              </w:rPr>
              <w:t>17.38</w:t>
            </w:r>
          </w:p>
        </w:tc>
        <w:tc>
          <w:tcPr>
            <w:tcW w:w="1587" w:type="dxa"/>
          </w:tcPr>
          <w:p w14:paraId="10101639" w14:textId="77777777" w:rsidR="00FC207D" w:rsidRDefault="00457720">
            <w:pPr>
              <w:spacing w:before="20" w:after="20"/>
            </w:pPr>
            <w:r>
              <w:rPr>
                <w:sz w:val="18"/>
              </w:rPr>
              <w:t>13.01</w:t>
            </w:r>
          </w:p>
        </w:tc>
        <w:tc>
          <w:tcPr>
            <w:tcW w:w="1587" w:type="dxa"/>
          </w:tcPr>
          <w:p w14:paraId="54314031" w14:textId="77777777" w:rsidR="00FC207D" w:rsidRDefault="00457720">
            <w:pPr>
              <w:spacing w:before="20" w:after="20"/>
            </w:pPr>
            <w:r>
              <w:rPr>
                <w:sz w:val="18"/>
              </w:rPr>
              <w:t>4.37</w:t>
            </w:r>
          </w:p>
        </w:tc>
        <w:tc>
          <w:tcPr>
            <w:tcW w:w="1587" w:type="dxa"/>
          </w:tcPr>
          <w:p w14:paraId="007871D5" w14:textId="77777777" w:rsidR="00FC207D" w:rsidRDefault="00457720">
            <w:pPr>
              <w:spacing w:before="20" w:after="20"/>
            </w:pPr>
            <w:r>
              <w:rPr>
                <w:sz w:val="18"/>
              </w:rPr>
              <w:t>33.59%</w:t>
            </w:r>
          </w:p>
        </w:tc>
      </w:tr>
      <w:tr w:rsidR="00FC207D" w14:paraId="3A0B2AB6" w14:textId="77777777">
        <w:trPr>
          <w:jc w:val="center"/>
        </w:trPr>
        <w:tc>
          <w:tcPr>
            <w:tcW w:w="1474" w:type="dxa"/>
            <w:shd w:val="clear" w:color="auto" w:fill="EEF1F5"/>
          </w:tcPr>
          <w:p w14:paraId="3156736F" w14:textId="77777777" w:rsidR="00FC207D" w:rsidRDefault="00457720">
            <w:pPr>
              <w:spacing w:before="20" w:after="20"/>
            </w:pPr>
            <w:r>
              <w:rPr>
                <w:b/>
                <w:sz w:val="18"/>
              </w:rPr>
              <w:t>2018</w:t>
            </w:r>
          </w:p>
        </w:tc>
        <w:tc>
          <w:tcPr>
            <w:tcW w:w="1587" w:type="dxa"/>
            <w:shd w:val="clear" w:color="auto" w:fill="EEF1F5"/>
          </w:tcPr>
          <w:p w14:paraId="5C9732DD" w14:textId="77777777" w:rsidR="00FC207D" w:rsidRDefault="00457720">
            <w:pPr>
              <w:spacing w:before="20" w:after="20"/>
            </w:pPr>
            <w:r>
              <w:rPr>
                <w:sz w:val="18"/>
              </w:rPr>
              <w:t>10.50</w:t>
            </w:r>
          </w:p>
        </w:tc>
        <w:tc>
          <w:tcPr>
            <w:tcW w:w="1587" w:type="dxa"/>
            <w:shd w:val="clear" w:color="auto" w:fill="EEF1F5"/>
          </w:tcPr>
          <w:p w14:paraId="2F87400F" w14:textId="77777777" w:rsidR="00FC207D" w:rsidRDefault="00457720">
            <w:pPr>
              <w:spacing w:before="20" w:after="20"/>
            </w:pPr>
            <w:r>
              <w:rPr>
                <w:sz w:val="18"/>
              </w:rPr>
              <w:t>14.87</w:t>
            </w:r>
          </w:p>
        </w:tc>
        <w:tc>
          <w:tcPr>
            <w:tcW w:w="1587" w:type="dxa"/>
            <w:shd w:val="clear" w:color="auto" w:fill="EEF1F5"/>
          </w:tcPr>
          <w:p w14:paraId="72B153AA" w14:textId="77777777" w:rsidR="00FC207D" w:rsidRDefault="00457720">
            <w:pPr>
              <w:spacing w:before="20" w:after="20"/>
            </w:pPr>
            <w:r>
              <w:rPr>
                <w:sz w:val="18"/>
              </w:rPr>
              <w:t>12.44</w:t>
            </w:r>
          </w:p>
        </w:tc>
        <w:tc>
          <w:tcPr>
            <w:tcW w:w="1587" w:type="dxa"/>
            <w:shd w:val="clear" w:color="auto" w:fill="EEF1F5"/>
          </w:tcPr>
          <w:p w14:paraId="17E3A742" w14:textId="77777777" w:rsidR="00FC207D" w:rsidRDefault="00457720">
            <w:pPr>
              <w:spacing w:before="20" w:after="20"/>
            </w:pPr>
            <w:r>
              <w:rPr>
                <w:sz w:val="18"/>
              </w:rPr>
              <w:t>2.43</w:t>
            </w:r>
          </w:p>
        </w:tc>
        <w:tc>
          <w:tcPr>
            <w:tcW w:w="1587" w:type="dxa"/>
            <w:shd w:val="clear" w:color="auto" w:fill="EEF1F5"/>
          </w:tcPr>
          <w:p w14:paraId="13944441" w14:textId="77777777" w:rsidR="00FC207D" w:rsidRDefault="00457720">
            <w:pPr>
              <w:spacing w:before="20" w:after="20"/>
            </w:pPr>
            <w:r>
              <w:rPr>
                <w:sz w:val="18"/>
              </w:rPr>
              <w:t>19.53%</w:t>
            </w:r>
          </w:p>
        </w:tc>
      </w:tr>
      <w:tr w:rsidR="00FC207D" w14:paraId="4563FA86" w14:textId="77777777">
        <w:trPr>
          <w:jc w:val="center"/>
        </w:trPr>
        <w:tc>
          <w:tcPr>
            <w:tcW w:w="1474" w:type="dxa"/>
          </w:tcPr>
          <w:p w14:paraId="59724B54" w14:textId="77777777" w:rsidR="00FC207D" w:rsidRDefault="00457720">
            <w:pPr>
              <w:spacing w:before="20" w:after="20"/>
            </w:pPr>
            <w:r>
              <w:rPr>
                <w:b/>
                <w:sz w:val="18"/>
              </w:rPr>
              <w:t>2019</w:t>
            </w:r>
          </w:p>
        </w:tc>
        <w:tc>
          <w:tcPr>
            <w:tcW w:w="1587" w:type="dxa"/>
          </w:tcPr>
          <w:p w14:paraId="10C0ACBC" w14:textId="77777777" w:rsidR="00FC207D" w:rsidRDefault="00457720">
            <w:pPr>
              <w:spacing w:before="20" w:after="20"/>
            </w:pPr>
            <w:r>
              <w:rPr>
                <w:sz w:val="18"/>
              </w:rPr>
              <w:t>12.22</w:t>
            </w:r>
          </w:p>
        </w:tc>
        <w:tc>
          <w:tcPr>
            <w:tcW w:w="1587" w:type="dxa"/>
          </w:tcPr>
          <w:p w14:paraId="4AAF6C42" w14:textId="77777777" w:rsidR="00FC207D" w:rsidRDefault="00457720">
            <w:pPr>
              <w:spacing w:before="20" w:after="20"/>
            </w:pPr>
            <w:r>
              <w:rPr>
                <w:sz w:val="18"/>
              </w:rPr>
              <w:t>14.65</w:t>
            </w:r>
          </w:p>
        </w:tc>
        <w:tc>
          <w:tcPr>
            <w:tcW w:w="1587" w:type="dxa"/>
          </w:tcPr>
          <w:p w14:paraId="46D8F026" w14:textId="77777777" w:rsidR="00FC207D" w:rsidRDefault="00457720">
            <w:pPr>
              <w:spacing w:before="20" w:after="20"/>
            </w:pPr>
            <w:r>
              <w:rPr>
                <w:sz w:val="18"/>
              </w:rPr>
              <w:t>12.97</w:t>
            </w:r>
          </w:p>
        </w:tc>
        <w:tc>
          <w:tcPr>
            <w:tcW w:w="1587" w:type="dxa"/>
          </w:tcPr>
          <w:p w14:paraId="0B81C949" w14:textId="77777777" w:rsidR="00FC207D" w:rsidRDefault="00457720">
            <w:pPr>
              <w:spacing w:before="20" w:after="20"/>
            </w:pPr>
            <w:r>
              <w:rPr>
                <w:sz w:val="18"/>
              </w:rPr>
              <w:t>1.68</w:t>
            </w:r>
          </w:p>
        </w:tc>
        <w:tc>
          <w:tcPr>
            <w:tcW w:w="1587" w:type="dxa"/>
          </w:tcPr>
          <w:p w14:paraId="0D13A314" w14:textId="77777777" w:rsidR="00FC207D" w:rsidRDefault="00457720">
            <w:pPr>
              <w:spacing w:before="20" w:after="20"/>
            </w:pPr>
            <w:r>
              <w:rPr>
                <w:sz w:val="18"/>
              </w:rPr>
              <w:t>12.95%</w:t>
            </w:r>
          </w:p>
        </w:tc>
      </w:tr>
      <w:tr w:rsidR="00FC207D" w14:paraId="5AFB4AD7" w14:textId="77777777">
        <w:trPr>
          <w:jc w:val="center"/>
        </w:trPr>
        <w:tc>
          <w:tcPr>
            <w:tcW w:w="1474" w:type="dxa"/>
            <w:shd w:val="clear" w:color="auto" w:fill="EEF1F5"/>
          </w:tcPr>
          <w:p w14:paraId="278ED2BA" w14:textId="77777777" w:rsidR="00FC207D" w:rsidRDefault="00457720">
            <w:pPr>
              <w:spacing w:before="20" w:after="20"/>
            </w:pPr>
            <w:r>
              <w:rPr>
                <w:b/>
                <w:sz w:val="18"/>
              </w:rPr>
              <w:t>2020</w:t>
            </w:r>
          </w:p>
        </w:tc>
        <w:tc>
          <w:tcPr>
            <w:tcW w:w="1587" w:type="dxa"/>
            <w:shd w:val="clear" w:color="auto" w:fill="EEF1F5"/>
          </w:tcPr>
          <w:p w14:paraId="2D370090" w14:textId="77777777" w:rsidR="00FC207D" w:rsidRDefault="00457720">
            <w:pPr>
              <w:spacing w:before="20" w:after="20"/>
            </w:pPr>
            <w:r>
              <w:rPr>
                <w:sz w:val="18"/>
              </w:rPr>
              <w:t>12.32</w:t>
            </w:r>
          </w:p>
        </w:tc>
        <w:tc>
          <w:tcPr>
            <w:tcW w:w="1587" w:type="dxa"/>
            <w:shd w:val="clear" w:color="auto" w:fill="EEF1F5"/>
          </w:tcPr>
          <w:p w14:paraId="321D69BB" w14:textId="77777777" w:rsidR="00FC207D" w:rsidRDefault="00457720">
            <w:pPr>
              <w:spacing w:before="20" w:after="20"/>
            </w:pPr>
            <w:r>
              <w:rPr>
                <w:sz w:val="18"/>
              </w:rPr>
              <w:t>14.00</w:t>
            </w:r>
          </w:p>
        </w:tc>
        <w:tc>
          <w:tcPr>
            <w:tcW w:w="1587" w:type="dxa"/>
            <w:shd w:val="clear" w:color="auto" w:fill="EEF1F5"/>
          </w:tcPr>
          <w:p w14:paraId="2D6E0779" w14:textId="77777777" w:rsidR="00FC207D" w:rsidRDefault="00457720">
            <w:pPr>
              <w:spacing w:before="20" w:after="20"/>
            </w:pPr>
            <w:r>
              <w:rPr>
                <w:sz w:val="18"/>
              </w:rPr>
              <w:t>13.30</w:t>
            </w:r>
          </w:p>
        </w:tc>
        <w:tc>
          <w:tcPr>
            <w:tcW w:w="1587" w:type="dxa"/>
            <w:shd w:val="clear" w:color="auto" w:fill="EEF1F5"/>
          </w:tcPr>
          <w:p w14:paraId="71216CF1" w14:textId="77777777" w:rsidR="00FC207D" w:rsidRDefault="00457720">
            <w:pPr>
              <w:spacing w:before="20" w:after="20"/>
            </w:pPr>
            <w:r>
              <w:rPr>
                <w:sz w:val="18"/>
              </w:rPr>
              <w:t>0.70</w:t>
            </w:r>
          </w:p>
        </w:tc>
        <w:tc>
          <w:tcPr>
            <w:tcW w:w="1587" w:type="dxa"/>
            <w:shd w:val="clear" w:color="auto" w:fill="EEF1F5"/>
          </w:tcPr>
          <w:p w14:paraId="2A5D5E66" w14:textId="77777777" w:rsidR="00FC207D" w:rsidRDefault="00457720">
            <w:pPr>
              <w:spacing w:before="20" w:after="20"/>
            </w:pPr>
            <w:r>
              <w:rPr>
                <w:sz w:val="18"/>
              </w:rPr>
              <w:t>5.26%</w:t>
            </w:r>
          </w:p>
        </w:tc>
      </w:tr>
      <w:tr w:rsidR="00FC207D" w14:paraId="21C43A90" w14:textId="77777777">
        <w:trPr>
          <w:jc w:val="center"/>
        </w:trPr>
        <w:tc>
          <w:tcPr>
            <w:tcW w:w="1474" w:type="dxa"/>
          </w:tcPr>
          <w:p w14:paraId="7573077F" w14:textId="77777777" w:rsidR="00FC207D" w:rsidRDefault="00457720">
            <w:pPr>
              <w:spacing w:before="20" w:after="20"/>
            </w:pPr>
            <w:r>
              <w:rPr>
                <w:b/>
                <w:sz w:val="18"/>
              </w:rPr>
              <w:t>2021</w:t>
            </w:r>
          </w:p>
        </w:tc>
        <w:tc>
          <w:tcPr>
            <w:tcW w:w="1587" w:type="dxa"/>
          </w:tcPr>
          <w:p w14:paraId="58F39AD5" w14:textId="77777777" w:rsidR="00FC207D" w:rsidRDefault="00457720">
            <w:pPr>
              <w:spacing w:before="20" w:after="20"/>
            </w:pPr>
            <w:r>
              <w:rPr>
                <w:sz w:val="18"/>
              </w:rPr>
              <w:t>13.84</w:t>
            </w:r>
          </w:p>
        </w:tc>
        <w:tc>
          <w:tcPr>
            <w:tcW w:w="1587" w:type="dxa"/>
          </w:tcPr>
          <w:p w14:paraId="1487B56C" w14:textId="77777777" w:rsidR="00FC207D" w:rsidRDefault="00457720">
            <w:pPr>
              <w:spacing w:before="20" w:after="20"/>
            </w:pPr>
            <w:r>
              <w:rPr>
                <w:sz w:val="18"/>
              </w:rPr>
              <w:t>14.54</w:t>
            </w:r>
          </w:p>
        </w:tc>
        <w:tc>
          <w:tcPr>
            <w:tcW w:w="1587" w:type="dxa"/>
          </w:tcPr>
          <w:p w14:paraId="3547B41F" w14:textId="77777777" w:rsidR="00FC207D" w:rsidRDefault="00457720">
            <w:pPr>
              <w:spacing w:before="20" w:after="20"/>
            </w:pPr>
            <w:r>
              <w:rPr>
                <w:sz w:val="18"/>
              </w:rPr>
              <w:t>13.90</w:t>
            </w:r>
          </w:p>
        </w:tc>
        <w:tc>
          <w:tcPr>
            <w:tcW w:w="1587" w:type="dxa"/>
          </w:tcPr>
          <w:p w14:paraId="1AD5D278" w14:textId="77777777" w:rsidR="00FC207D" w:rsidRDefault="00457720">
            <w:pPr>
              <w:spacing w:before="20" w:after="20"/>
            </w:pPr>
            <w:r>
              <w:rPr>
                <w:sz w:val="18"/>
              </w:rPr>
              <w:t>0.64</w:t>
            </w:r>
          </w:p>
        </w:tc>
        <w:tc>
          <w:tcPr>
            <w:tcW w:w="1587" w:type="dxa"/>
          </w:tcPr>
          <w:p w14:paraId="17F80AD5" w14:textId="77777777" w:rsidR="00FC207D" w:rsidRDefault="00457720">
            <w:pPr>
              <w:spacing w:before="20" w:after="20"/>
            </w:pPr>
            <w:r>
              <w:rPr>
                <w:sz w:val="18"/>
              </w:rPr>
              <w:t>4.60%</w:t>
            </w:r>
          </w:p>
        </w:tc>
      </w:tr>
      <w:tr w:rsidR="00FC207D" w14:paraId="54EFC5A0" w14:textId="77777777">
        <w:trPr>
          <w:jc w:val="center"/>
        </w:trPr>
        <w:tc>
          <w:tcPr>
            <w:tcW w:w="1474" w:type="dxa"/>
            <w:shd w:val="clear" w:color="auto" w:fill="EEF1F5"/>
          </w:tcPr>
          <w:p w14:paraId="00076E19" w14:textId="77777777" w:rsidR="00FC207D" w:rsidRDefault="00457720">
            <w:pPr>
              <w:spacing w:before="20" w:after="20"/>
            </w:pPr>
            <w:r>
              <w:rPr>
                <w:b/>
                <w:sz w:val="18"/>
              </w:rPr>
              <w:t>2022</w:t>
            </w:r>
          </w:p>
        </w:tc>
        <w:tc>
          <w:tcPr>
            <w:tcW w:w="1587" w:type="dxa"/>
            <w:shd w:val="clear" w:color="auto" w:fill="EEF1F5"/>
          </w:tcPr>
          <w:p w14:paraId="38176902" w14:textId="77777777" w:rsidR="00FC207D" w:rsidRDefault="00457720">
            <w:pPr>
              <w:spacing w:before="20" w:after="20"/>
            </w:pPr>
            <w:r>
              <w:rPr>
                <w:sz w:val="18"/>
              </w:rPr>
              <w:t>14.07</w:t>
            </w:r>
          </w:p>
        </w:tc>
        <w:tc>
          <w:tcPr>
            <w:tcW w:w="1587" w:type="dxa"/>
            <w:shd w:val="clear" w:color="auto" w:fill="EEF1F5"/>
          </w:tcPr>
          <w:p w14:paraId="752446D8" w14:textId="77777777" w:rsidR="00FC207D" w:rsidRDefault="00457720">
            <w:pPr>
              <w:spacing w:before="20" w:after="20"/>
            </w:pPr>
            <w:r>
              <w:rPr>
                <w:sz w:val="18"/>
              </w:rPr>
              <w:t>14.71</w:t>
            </w:r>
          </w:p>
        </w:tc>
        <w:tc>
          <w:tcPr>
            <w:tcW w:w="1587" w:type="dxa"/>
            <w:shd w:val="clear" w:color="auto" w:fill="EEF1F5"/>
          </w:tcPr>
          <w:p w14:paraId="0BBEC123" w14:textId="77777777" w:rsidR="00FC207D" w:rsidRDefault="00457720">
            <w:pPr>
              <w:spacing w:before="20" w:after="20"/>
            </w:pPr>
            <w:r>
              <w:rPr>
                <w:sz w:val="18"/>
              </w:rPr>
              <w:t>12.58</w:t>
            </w:r>
          </w:p>
        </w:tc>
        <w:tc>
          <w:tcPr>
            <w:tcW w:w="1587" w:type="dxa"/>
            <w:shd w:val="clear" w:color="auto" w:fill="EEF1F5"/>
          </w:tcPr>
          <w:p w14:paraId="30040826" w14:textId="77777777" w:rsidR="00FC207D" w:rsidRDefault="00457720">
            <w:pPr>
              <w:spacing w:before="20" w:after="20"/>
            </w:pPr>
            <w:r>
              <w:rPr>
                <w:sz w:val="18"/>
              </w:rPr>
              <w:t>2.13</w:t>
            </w:r>
          </w:p>
        </w:tc>
        <w:tc>
          <w:tcPr>
            <w:tcW w:w="1587" w:type="dxa"/>
            <w:shd w:val="clear" w:color="auto" w:fill="EEF1F5"/>
          </w:tcPr>
          <w:p w14:paraId="25B968A2" w14:textId="77777777" w:rsidR="00FC207D" w:rsidRDefault="00457720">
            <w:pPr>
              <w:spacing w:before="20" w:after="20"/>
            </w:pPr>
            <w:r>
              <w:rPr>
                <w:sz w:val="18"/>
              </w:rPr>
              <w:t>16.93%</w:t>
            </w:r>
          </w:p>
        </w:tc>
      </w:tr>
      <w:tr w:rsidR="00FC207D" w14:paraId="418B2CF4" w14:textId="77777777">
        <w:trPr>
          <w:jc w:val="center"/>
        </w:trPr>
        <w:tc>
          <w:tcPr>
            <w:tcW w:w="1474" w:type="dxa"/>
          </w:tcPr>
          <w:p w14:paraId="0D7D5C80" w14:textId="77777777" w:rsidR="00FC207D" w:rsidRDefault="00457720">
            <w:pPr>
              <w:spacing w:before="20" w:after="20"/>
            </w:pPr>
            <w:r>
              <w:rPr>
                <w:b/>
                <w:sz w:val="18"/>
              </w:rPr>
              <w:t>2023</w:t>
            </w:r>
          </w:p>
        </w:tc>
        <w:tc>
          <w:tcPr>
            <w:tcW w:w="1587" w:type="dxa"/>
          </w:tcPr>
          <w:p w14:paraId="1D525805" w14:textId="77777777" w:rsidR="00FC207D" w:rsidRDefault="00457720">
            <w:pPr>
              <w:spacing w:before="20" w:after="20"/>
            </w:pPr>
            <w:r>
              <w:rPr>
                <w:sz w:val="18"/>
              </w:rPr>
              <w:t>15.56</w:t>
            </w:r>
          </w:p>
        </w:tc>
        <w:tc>
          <w:tcPr>
            <w:tcW w:w="1587" w:type="dxa"/>
          </w:tcPr>
          <w:p w14:paraId="7B077029" w14:textId="77777777" w:rsidR="00FC207D" w:rsidRDefault="00457720">
            <w:pPr>
              <w:spacing w:before="20" w:after="20"/>
            </w:pPr>
            <w:r>
              <w:rPr>
                <w:sz w:val="18"/>
              </w:rPr>
              <w:t>17.69</w:t>
            </w:r>
          </w:p>
        </w:tc>
        <w:tc>
          <w:tcPr>
            <w:tcW w:w="1587" w:type="dxa"/>
          </w:tcPr>
          <w:p w14:paraId="6766C582" w14:textId="77777777" w:rsidR="00FC207D" w:rsidRDefault="00457720">
            <w:pPr>
              <w:spacing w:before="20" w:after="20"/>
            </w:pPr>
            <w:r>
              <w:rPr>
                <w:sz w:val="18"/>
              </w:rPr>
              <w:t>13.55</w:t>
            </w:r>
          </w:p>
        </w:tc>
        <w:tc>
          <w:tcPr>
            <w:tcW w:w="1587" w:type="dxa"/>
          </w:tcPr>
          <w:p w14:paraId="6CB40CBA" w14:textId="77777777" w:rsidR="00FC207D" w:rsidRDefault="00457720">
            <w:pPr>
              <w:spacing w:before="20" w:after="20"/>
            </w:pPr>
            <w:r>
              <w:rPr>
                <w:sz w:val="18"/>
              </w:rPr>
              <w:t>4.14</w:t>
            </w:r>
          </w:p>
        </w:tc>
        <w:tc>
          <w:tcPr>
            <w:tcW w:w="1587" w:type="dxa"/>
          </w:tcPr>
          <w:p w14:paraId="5259291D" w14:textId="77777777" w:rsidR="00FC207D" w:rsidRDefault="00457720">
            <w:pPr>
              <w:spacing w:before="20" w:after="20"/>
            </w:pPr>
            <w:r>
              <w:rPr>
                <w:sz w:val="18"/>
              </w:rPr>
              <w:t>30.55%</w:t>
            </w:r>
          </w:p>
        </w:tc>
      </w:tr>
      <w:tr w:rsidR="00FC207D" w14:paraId="28324223" w14:textId="77777777">
        <w:trPr>
          <w:jc w:val="center"/>
        </w:trPr>
        <w:tc>
          <w:tcPr>
            <w:tcW w:w="1474" w:type="dxa"/>
            <w:shd w:val="clear" w:color="auto" w:fill="EEF1F5"/>
          </w:tcPr>
          <w:p w14:paraId="13486A4E" w14:textId="77777777" w:rsidR="00FC207D" w:rsidRDefault="00457720">
            <w:pPr>
              <w:spacing w:before="20" w:after="20"/>
            </w:pPr>
            <w:r>
              <w:rPr>
                <w:b/>
                <w:sz w:val="18"/>
              </w:rPr>
              <w:t>2024</w:t>
            </w:r>
          </w:p>
        </w:tc>
        <w:tc>
          <w:tcPr>
            <w:tcW w:w="1587" w:type="dxa"/>
            <w:shd w:val="clear" w:color="auto" w:fill="EEF1F5"/>
          </w:tcPr>
          <w:p w14:paraId="5C22E7C2" w14:textId="77777777" w:rsidR="00FC207D" w:rsidRDefault="00457720">
            <w:pPr>
              <w:spacing w:before="20" w:after="20"/>
            </w:pPr>
            <w:r>
              <w:rPr>
                <w:sz w:val="18"/>
              </w:rPr>
              <w:t>17.69</w:t>
            </w:r>
          </w:p>
        </w:tc>
        <w:tc>
          <w:tcPr>
            <w:tcW w:w="1587" w:type="dxa"/>
            <w:shd w:val="clear" w:color="auto" w:fill="EEF1F5"/>
          </w:tcPr>
          <w:p w14:paraId="4221EADF" w14:textId="77777777" w:rsidR="00FC207D" w:rsidRDefault="00457720">
            <w:pPr>
              <w:spacing w:before="20" w:after="20"/>
            </w:pPr>
            <w:r>
              <w:rPr>
                <w:sz w:val="18"/>
              </w:rPr>
              <w:t>21.83</w:t>
            </w:r>
          </w:p>
        </w:tc>
        <w:tc>
          <w:tcPr>
            <w:tcW w:w="1587" w:type="dxa"/>
            <w:shd w:val="clear" w:color="auto" w:fill="EEF1F5"/>
          </w:tcPr>
          <w:p w14:paraId="2A3C4E58" w14:textId="77777777" w:rsidR="00FC207D" w:rsidRDefault="00457720">
            <w:pPr>
              <w:spacing w:before="20" w:after="20"/>
            </w:pPr>
            <w:r>
              <w:rPr>
                <w:sz w:val="18"/>
              </w:rPr>
              <w:t>14.36</w:t>
            </w:r>
          </w:p>
        </w:tc>
        <w:tc>
          <w:tcPr>
            <w:tcW w:w="1587" w:type="dxa"/>
            <w:shd w:val="clear" w:color="auto" w:fill="EEF1F5"/>
          </w:tcPr>
          <w:p w14:paraId="66965DEF" w14:textId="77777777" w:rsidR="00FC207D" w:rsidRDefault="00457720">
            <w:pPr>
              <w:spacing w:before="20" w:after="20"/>
            </w:pPr>
            <w:r>
              <w:rPr>
                <w:sz w:val="18"/>
              </w:rPr>
              <w:t>7.47</w:t>
            </w:r>
          </w:p>
        </w:tc>
        <w:tc>
          <w:tcPr>
            <w:tcW w:w="1587" w:type="dxa"/>
            <w:shd w:val="clear" w:color="auto" w:fill="EEF1F5"/>
          </w:tcPr>
          <w:p w14:paraId="319E7D1B" w14:textId="77777777" w:rsidR="00FC207D" w:rsidRDefault="00457720">
            <w:pPr>
              <w:spacing w:before="20" w:after="20"/>
            </w:pPr>
            <w:r>
              <w:rPr>
                <w:sz w:val="18"/>
              </w:rPr>
              <w:t>52.02%</w:t>
            </w:r>
          </w:p>
        </w:tc>
      </w:tr>
      <w:tr w:rsidR="00FC207D" w14:paraId="1E1C0CDE" w14:textId="77777777">
        <w:trPr>
          <w:jc w:val="center"/>
        </w:trPr>
        <w:tc>
          <w:tcPr>
            <w:tcW w:w="1474" w:type="dxa"/>
          </w:tcPr>
          <w:p w14:paraId="2B1FFD93" w14:textId="77777777" w:rsidR="00FC207D" w:rsidRDefault="00457720">
            <w:pPr>
              <w:spacing w:before="20" w:after="20"/>
            </w:pPr>
            <w:r>
              <w:rPr>
                <w:b/>
                <w:sz w:val="18"/>
              </w:rPr>
              <w:t>2025</w:t>
            </w:r>
          </w:p>
        </w:tc>
        <w:tc>
          <w:tcPr>
            <w:tcW w:w="1587" w:type="dxa"/>
          </w:tcPr>
          <w:p w14:paraId="054FC779" w14:textId="77777777" w:rsidR="00FC207D" w:rsidRDefault="00457720">
            <w:pPr>
              <w:spacing w:before="20" w:after="20"/>
            </w:pPr>
            <w:r>
              <w:rPr>
                <w:sz w:val="18"/>
              </w:rPr>
              <w:t>12.39</w:t>
            </w:r>
          </w:p>
        </w:tc>
        <w:tc>
          <w:tcPr>
            <w:tcW w:w="1587" w:type="dxa"/>
          </w:tcPr>
          <w:p w14:paraId="60A422FB" w14:textId="77777777" w:rsidR="00FC207D" w:rsidRDefault="00457720">
            <w:pPr>
              <w:spacing w:before="20" w:after="20"/>
            </w:pPr>
            <w:r>
              <w:rPr>
                <w:sz w:val="18"/>
              </w:rPr>
              <w:t>19.86</w:t>
            </w:r>
          </w:p>
        </w:tc>
        <w:tc>
          <w:tcPr>
            <w:tcW w:w="1587" w:type="dxa"/>
          </w:tcPr>
          <w:p w14:paraId="13DECF9A" w14:textId="77777777" w:rsidR="00FC207D" w:rsidRDefault="00457720">
            <w:pPr>
              <w:spacing w:before="20" w:after="20"/>
            </w:pPr>
            <w:r>
              <w:rPr>
                <w:sz w:val="18"/>
              </w:rPr>
              <w:t>15.96</w:t>
            </w:r>
          </w:p>
        </w:tc>
        <w:tc>
          <w:tcPr>
            <w:tcW w:w="1587" w:type="dxa"/>
          </w:tcPr>
          <w:p w14:paraId="65CF074F" w14:textId="77777777" w:rsidR="00FC207D" w:rsidRDefault="00457720">
            <w:pPr>
              <w:spacing w:before="20" w:after="20"/>
            </w:pPr>
            <w:r>
              <w:rPr>
                <w:sz w:val="18"/>
              </w:rPr>
              <w:t>3.90</w:t>
            </w:r>
          </w:p>
        </w:tc>
        <w:tc>
          <w:tcPr>
            <w:tcW w:w="1587" w:type="dxa"/>
          </w:tcPr>
          <w:p w14:paraId="52583CA9" w14:textId="77777777" w:rsidR="00FC207D" w:rsidRDefault="00457720">
            <w:pPr>
              <w:spacing w:before="20" w:after="20"/>
            </w:pPr>
            <w:r>
              <w:rPr>
                <w:sz w:val="18"/>
              </w:rPr>
              <w:t>24.44%</w:t>
            </w:r>
          </w:p>
        </w:tc>
      </w:tr>
      <w:tr w:rsidR="00FC207D" w14:paraId="00301D2F" w14:textId="77777777">
        <w:trPr>
          <w:jc w:val="center"/>
        </w:trPr>
        <w:tc>
          <w:tcPr>
            <w:tcW w:w="1474" w:type="dxa"/>
            <w:shd w:val="clear" w:color="auto" w:fill="EEF1F5"/>
          </w:tcPr>
          <w:p w14:paraId="35266296" w14:textId="77777777" w:rsidR="00FC207D" w:rsidRDefault="00457720">
            <w:pPr>
              <w:spacing w:before="20" w:after="20"/>
            </w:pPr>
            <w:r>
              <w:rPr>
                <w:b/>
                <w:sz w:val="18"/>
              </w:rPr>
              <w:t>2026 (exp)</w:t>
            </w:r>
          </w:p>
        </w:tc>
        <w:tc>
          <w:tcPr>
            <w:tcW w:w="1587" w:type="dxa"/>
            <w:shd w:val="clear" w:color="auto" w:fill="EEF1F5"/>
          </w:tcPr>
          <w:p w14:paraId="1CA0E857" w14:textId="77777777" w:rsidR="00FC207D" w:rsidRDefault="00457720">
            <w:pPr>
              <w:spacing w:before="20" w:after="20"/>
            </w:pPr>
            <w:r>
              <w:rPr>
                <w:sz w:val="18"/>
              </w:rPr>
              <w:t>9.15</w:t>
            </w:r>
          </w:p>
        </w:tc>
        <w:tc>
          <w:tcPr>
            <w:tcW w:w="1587" w:type="dxa"/>
            <w:shd w:val="clear" w:color="auto" w:fill="EEF1F5"/>
          </w:tcPr>
          <w:p w14:paraId="63FE0EE5" w14:textId="77777777" w:rsidR="00FC207D" w:rsidRDefault="00457720">
            <w:pPr>
              <w:spacing w:before="20" w:after="20"/>
            </w:pPr>
            <w:r>
              <w:rPr>
                <w:sz w:val="18"/>
              </w:rPr>
              <w:t>13.05</w:t>
            </w:r>
          </w:p>
        </w:tc>
        <w:tc>
          <w:tcPr>
            <w:tcW w:w="1587" w:type="dxa"/>
            <w:shd w:val="clear" w:color="auto" w:fill="EEF1F5"/>
          </w:tcPr>
          <w:p w14:paraId="248E575C" w14:textId="77777777" w:rsidR="00FC207D" w:rsidRDefault="00457720">
            <w:pPr>
              <w:spacing w:before="20" w:after="20"/>
            </w:pPr>
            <w:r>
              <w:rPr>
                <w:sz w:val="18"/>
              </w:rPr>
              <w:t>12.35</w:t>
            </w:r>
          </w:p>
        </w:tc>
        <w:tc>
          <w:tcPr>
            <w:tcW w:w="1587" w:type="dxa"/>
            <w:shd w:val="clear" w:color="auto" w:fill="EEF1F5"/>
          </w:tcPr>
          <w:p w14:paraId="03BA3B0B" w14:textId="77777777" w:rsidR="00FC207D" w:rsidRDefault="00457720">
            <w:pPr>
              <w:spacing w:before="20" w:after="20"/>
            </w:pPr>
            <w:r>
              <w:rPr>
                <w:sz w:val="18"/>
              </w:rPr>
              <w:t>0.70</w:t>
            </w:r>
          </w:p>
        </w:tc>
        <w:tc>
          <w:tcPr>
            <w:tcW w:w="1587" w:type="dxa"/>
            <w:shd w:val="clear" w:color="auto" w:fill="EEF1F5"/>
          </w:tcPr>
          <w:p w14:paraId="1A77C793" w14:textId="77777777" w:rsidR="00FC207D" w:rsidRDefault="00457720">
            <w:pPr>
              <w:spacing w:before="20" w:after="20"/>
            </w:pPr>
            <w:r>
              <w:rPr>
                <w:sz w:val="18"/>
              </w:rPr>
              <w:t>5.67%</w:t>
            </w:r>
          </w:p>
        </w:tc>
      </w:tr>
    </w:tbl>
    <w:p w14:paraId="50DC5230" w14:textId="77777777" w:rsidR="00FC207D" w:rsidRDefault="00FC207D">
      <w:pPr>
        <w:spacing w:after="80"/>
      </w:pPr>
    </w:p>
    <w:p w14:paraId="2F49EB88" w14:textId="77777777" w:rsidR="00FC207D" w:rsidRDefault="00457720">
      <w:r>
        <w:rPr>
          <w:i/>
          <w:color w:val="5C6B7A"/>
          <w:sz w:val="18"/>
        </w:rPr>
        <w:t>All figures in lakh tonnes, as supplied. 2026 is marked (exp) in the workbook — it is the workbook's expectation and is hatched wherever it appears in a chart.</w:t>
      </w:r>
    </w:p>
    <w:p w14:paraId="41DD9E71" w14:textId="77777777" w:rsidR="00FC207D" w:rsidRDefault="00457720">
      <w:pPr>
        <w:pStyle w:val="Heading3"/>
      </w:pPr>
      <w:r>
        <w:t>Charts — supply and demand build-up</w:t>
      </w:r>
    </w:p>
    <w:p w14:paraId="6E142D50" w14:textId="77777777" w:rsidR="00FC207D" w:rsidRDefault="00457720">
      <w:pPr>
        <w:spacing w:after="60"/>
      </w:pPr>
      <w:r>
        <w:rPr>
          <w:b/>
          <w:color w:val="C2410C"/>
          <w:sz w:val="20"/>
        </w:rPr>
        <w:t xml:space="preserve">What it shows  </w:t>
      </w:r>
      <w:r>
        <w:t>Stacked bars showing what makes up supply (opening stock plus production) and demand (consumption plus exports).</w:t>
      </w:r>
    </w:p>
    <w:p w14:paraId="171B5538" w14:textId="77777777" w:rsidR="00FC207D" w:rsidRDefault="00457720">
      <w:pPr>
        <w:spacing w:after="60"/>
      </w:pPr>
      <w:r>
        <w:rPr>
          <w:b/>
          <w:color w:val="C2410C"/>
          <w:sz w:val="20"/>
        </w:rPr>
        <w:t xml:space="preserve">How to read it  </w:t>
      </w:r>
      <w:r>
        <w:t>Compare the two stacks per year. Demand exceeding supply draws down stocks.</w:t>
      </w:r>
    </w:p>
    <w:p w14:paraId="0EA10244" w14:textId="77777777" w:rsidR="00FC207D" w:rsidRDefault="00457720">
      <w:pPr>
        <w:spacing w:after="60"/>
      </w:pPr>
      <w:r>
        <w:rPr>
          <w:b/>
          <w:color w:val="C2410C"/>
          <w:sz w:val="20"/>
        </w:rPr>
        <w:t xml:space="preserve">What it says now  </w:t>
      </w:r>
      <w:r>
        <w:t>For 2026 the workbook expects supply of 13.05 against demand of 12.35 — the thinnest margin in the ten-year record apart from 2020 and 2021. Production at 9.15 is the lowest in the series, 26.2% below 2025 and 48% below the 2024 peak of 17.69.</w:t>
      </w:r>
    </w:p>
    <w:p w14:paraId="51E091AA" w14:textId="77777777" w:rsidR="00FC207D" w:rsidRDefault="00457720">
      <w:pPr>
        <w:spacing w:after="60"/>
      </w:pPr>
      <w:r>
        <w:rPr>
          <w:b/>
          <w:color w:val="C2410C"/>
          <w:sz w:val="20"/>
        </w:rPr>
        <w:t xml:space="preserve">What to do with it  </w:t>
      </w:r>
      <w:r>
        <w:t>This is the quantitative core of the bullish case. A production collapse of this size with steady consumption leaves almost no buffer.</w:t>
      </w:r>
    </w:p>
    <w:p w14:paraId="2F4111FB" w14:textId="77777777" w:rsidR="00FC207D" w:rsidRDefault="00FC207D">
      <w:pPr>
        <w:spacing w:after="40"/>
      </w:pPr>
    </w:p>
    <w:p w14:paraId="6E5BA13F" w14:textId="77777777" w:rsidR="00FC207D" w:rsidRDefault="00457720">
      <w:pPr>
        <w:pStyle w:val="Heading3"/>
      </w:pPr>
      <w:r>
        <w:t>Charts — ending stock and stock-to-use ratio</w:t>
      </w:r>
    </w:p>
    <w:p w14:paraId="4C45F0A3" w14:textId="77777777" w:rsidR="00FC207D" w:rsidRDefault="00457720">
      <w:pPr>
        <w:spacing w:after="60"/>
      </w:pPr>
      <w:r>
        <w:rPr>
          <w:b/>
          <w:color w:val="C2410C"/>
          <w:sz w:val="20"/>
        </w:rPr>
        <w:t xml:space="preserve">What it shows  </w:t>
      </w:r>
      <w:r>
        <w:t>Closing inventory each year, and that inventory as a share of annual usage.</w:t>
      </w:r>
    </w:p>
    <w:p w14:paraId="322D75B5" w14:textId="77777777" w:rsidR="00FC207D" w:rsidRDefault="00457720">
      <w:pPr>
        <w:spacing w:after="60"/>
      </w:pPr>
      <w:r>
        <w:rPr>
          <w:b/>
          <w:color w:val="C2410C"/>
          <w:sz w:val="20"/>
        </w:rPr>
        <w:t xml:space="preserve">How to read it  </w:t>
      </w:r>
      <w:r>
        <w:t>Low stock-to-use means little cushion, which historically coincides with firm and volatile prices.</w:t>
      </w:r>
    </w:p>
    <w:p w14:paraId="15096817" w14:textId="77777777" w:rsidR="00FC207D" w:rsidRDefault="00457720">
      <w:pPr>
        <w:spacing w:after="60"/>
      </w:pPr>
      <w:r>
        <w:rPr>
          <w:b/>
          <w:color w:val="C2410C"/>
          <w:sz w:val="20"/>
        </w:rPr>
        <w:t xml:space="preserve">What it says now  </w:t>
      </w:r>
      <w:r>
        <w:t>2026 stock-to-use is 5.67% against a nine-year average of 22.21%. Only 2020 (5.26%) and 2021 (4.60%) were tighter. The 2024 peak was 52.02%. Ending stock falls to 0.70 from 3.90.</w:t>
      </w:r>
    </w:p>
    <w:p w14:paraId="24EAEAD6" w14:textId="77777777" w:rsidR="00FC207D" w:rsidRDefault="00457720">
      <w:pPr>
        <w:spacing w:after="60"/>
      </w:pPr>
      <w:r>
        <w:rPr>
          <w:b/>
          <w:color w:val="C2410C"/>
          <w:sz w:val="20"/>
        </w:rPr>
        <w:t xml:space="preserve">What to do with it  </w:t>
      </w:r>
      <w:r>
        <w:t>The single most price-supportive figure in the workbook. When this ratio was last this low, in 2020 and 2021, the market went on to more than double by 2023.</w:t>
      </w:r>
    </w:p>
    <w:p w14:paraId="633FDB39" w14:textId="77777777" w:rsidR="00FC207D" w:rsidRDefault="00FC207D">
      <w:pPr>
        <w:spacing w:after="40"/>
      </w:pPr>
    </w:p>
    <w:p w14:paraId="23C9FE7D" w14:textId="77777777" w:rsidR="00FC207D" w:rsidRDefault="00457720">
      <w:pPr>
        <w:pStyle w:val="Heading3"/>
      </w:pPr>
      <w:r>
        <w:t>Chart and table — stock-to-use against annual average price</w:t>
      </w:r>
    </w:p>
    <w:p w14:paraId="1734C0A7" w14:textId="77777777" w:rsidR="00FC207D" w:rsidRDefault="00457720">
      <w:pPr>
        <w:spacing w:after="60"/>
      </w:pPr>
      <w:r>
        <w:rPr>
          <w:b/>
          <w:color w:val="C2410C"/>
          <w:sz w:val="20"/>
        </w:rPr>
        <w:t xml:space="preserve">What it shows  </w:t>
      </w:r>
      <w:r>
        <w:t>The tightness ratio plotted against that year's average price.</w:t>
      </w:r>
    </w:p>
    <w:p w14:paraId="5DCF85D5" w14:textId="77777777" w:rsidR="00FC207D" w:rsidRDefault="00457720">
      <w:pPr>
        <w:spacing w:after="60"/>
      </w:pPr>
      <w:r>
        <w:rPr>
          <w:b/>
          <w:color w:val="C2410C"/>
          <w:sz w:val="20"/>
        </w:rPr>
        <w:t xml:space="preserve">How to read it  </w:t>
      </w:r>
      <w:r>
        <w:t>Supply-buffer logic predicts a downward slope: more carry-out, softer prices.</w:t>
      </w:r>
    </w:p>
    <w:p w14:paraId="7D4E1AEF" w14:textId="77777777" w:rsidR="00FC207D" w:rsidRDefault="00457720">
      <w:pPr>
        <w:spacing w:after="60"/>
      </w:pPr>
      <w:r>
        <w:rPr>
          <w:b/>
          <w:color w:val="C2410C"/>
          <w:sz w:val="20"/>
        </w:rPr>
        <w:t xml:space="preserve">What it says now  </w:t>
      </w:r>
      <w:r>
        <w:t>The correlation is 0.03 across ten paired years — effectively flat, and it does not show the expected negative sign.</w:t>
      </w:r>
    </w:p>
    <w:p w14:paraId="386C4BDE" w14:textId="77777777" w:rsidR="00FC207D" w:rsidRDefault="00457720">
      <w:pPr>
        <w:spacing w:after="60"/>
      </w:pPr>
      <w:r>
        <w:rPr>
          <w:b/>
          <w:color w:val="C2410C"/>
          <w:sz w:val="20"/>
        </w:rPr>
        <w:t xml:space="preserve">What to do with it  </w:t>
      </w:r>
      <w:r>
        <w:t>Read this honestly. With only ten annual observations this proves nothing either way; it is far too small a sample for a significance test. The 2026 tightness remains a strong qualitative argument, but this chart does not provide statistical backing for it, and the dashboard says so rather than implying otherwise.</w:t>
      </w:r>
    </w:p>
    <w:p w14:paraId="2DA76608" w14:textId="77777777" w:rsidR="00FC207D" w:rsidRDefault="00FC207D">
      <w:pPr>
        <w:spacing w:after="40"/>
      </w:pPr>
    </w:p>
    <w:p w14:paraId="0A020758" w14:textId="77777777" w:rsidR="00FC207D" w:rsidRDefault="00457720">
      <w:pPr>
        <w:pStyle w:val="Heading3"/>
      </w:pPr>
      <w:r>
        <w:t>Table and charts — area, production and yield (APY)</w:t>
      </w:r>
    </w:p>
    <w:p w14:paraId="0AE0648F" w14:textId="77777777" w:rsidR="00FC207D" w:rsidRDefault="00457720">
      <w:pPr>
        <w:spacing w:after="60"/>
      </w:pPr>
      <w:r>
        <w:rPr>
          <w:b/>
          <w:color w:val="C2410C"/>
          <w:sz w:val="20"/>
        </w:rPr>
        <w:t xml:space="preserve">What it shows  </w:t>
      </w:r>
      <w:r>
        <w:t>State-level crop statistics by year.</w:t>
      </w:r>
    </w:p>
    <w:p w14:paraId="5D7E6E28" w14:textId="77777777" w:rsidR="00FC207D" w:rsidRDefault="00457720">
      <w:pPr>
        <w:spacing w:after="60"/>
      </w:pPr>
      <w:r>
        <w:rPr>
          <w:b/>
          <w:color w:val="C2410C"/>
          <w:sz w:val="20"/>
        </w:rPr>
        <w:t xml:space="preserve">How to read it  </w:t>
      </w:r>
      <w:r>
        <w:t>Area shows planting intent; production shows the outcome; yield shows productivity.</w:t>
      </w:r>
    </w:p>
    <w:p w14:paraId="5654D4D0" w14:textId="77777777" w:rsidR="00FC207D" w:rsidRDefault="00457720">
      <w:pPr>
        <w:spacing w:after="60"/>
      </w:pPr>
      <w:r>
        <w:rPr>
          <w:b/>
          <w:color w:val="C2410C"/>
          <w:sz w:val="20"/>
        </w:rPr>
        <w:t xml:space="preserve">What it says now  </w:t>
      </w:r>
      <w:r>
        <w:t>All-India area recovered to 721,461 hectares expected for 2026 from 617,997 in 2025, but the workbook records no 2026 production or yield figure — only area. The 2023 peak was 1,046,999 hectares producing 1,768,817 tonnes; 2025 produced 1,032,055 tonnes.</w:t>
      </w:r>
    </w:p>
    <w:p w14:paraId="0F751911" w14:textId="77777777" w:rsidR="00FC207D" w:rsidRDefault="00457720">
      <w:pPr>
        <w:spacing w:after="60"/>
      </w:pPr>
      <w:r>
        <w:rPr>
          <w:b/>
          <w:color w:val="C2410C"/>
          <w:sz w:val="20"/>
        </w:rPr>
        <w:t xml:space="preserve">What to do with it  </w:t>
      </w:r>
      <w:r>
        <w:t>The area recovery is a bearish signal for the following season, not for the next six months. Note that the absence of a 2026 production figure is shown as blank rather than estimated.</w:t>
      </w:r>
    </w:p>
    <w:p w14:paraId="1A4F4B10" w14:textId="77777777" w:rsidR="00FC207D" w:rsidRDefault="00FC207D">
      <w:pPr>
        <w:spacing w:after="40"/>
      </w:pPr>
    </w:p>
    <w:p w14:paraId="6EFF6CE4" w14:textId="77777777" w:rsidR="00FC207D" w:rsidRDefault="00457720">
      <w:pPr>
        <w:pStyle w:val="Heading3"/>
      </w:pPr>
      <w:r>
        <w:t>Table — cold storage stock</w:t>
      </w:r>
    </w:p>
    <w:p w14:paraId="58015CFD" w14:textId="77777777" w:rsidR="00FC207D" w:rsidRDefault="00457720">
      <w:pPr>
        <w:spacing w:after="60"/>
      </w:pPr>
      <w:r>
        <w:rPr>
          <w:b/>
          <w:color w:val="C2410C"/>
          <w:sz w:val="20"/>
        </w:rPr>
        <w:t xml:space="preserve">What it shows  </w:t>
      </w:r>
      <w:r>
        <w:t>Reported stock positions by state and market.</w:t>
      </w:r>
    </w:p>
    <w:p w14:paraId="475940FC" w14:textId="77777777" w:rsidR="00FC207D" w:rsidRDefault="00457720">
      <w:pPr>
        <w:spacing w:after="60"/>
      </w:pPr>
      <w:r>
        <w:rPr>
          <w:b/>
          <w:color w:val="C2410C"/>
          <w:sz w:val="20"/>
        </w:rPr>
        <w:lastRenderedPageBreak/>
        <w:t xml:space="preserve">How to read it  </w:t>
      </w:r>
      <w:r>
        <w:t>Shown for reference only.</w:t>
      </w:r>
    </w:p>
    <w:p w14:paraId="461ECCAD" w14:textId="77777777" w:rsidR="00FC207D" w:rsidRDefault="00457720">
      <w:pPr>
        <w:spacing w:after="60"/>
      </w:pPr>
      <w:r>
        <w:rPr>
          <w:b/>
          <w:color w:val="C2410C"/>
          <w:sz w:val="20"/>
        </w:rPr>
        <w:t xml:space="preserve">What it says now  </w:t>
      </w:r>
      <w:r>
        <w:t>Six reporting months across six locations, with at most three observations for any single location. Guntur fell from 6,956,450 bags in April 2025 to 3,276,900 in April 2026, a drop of 53%. Khammam ran 1,400,000 in April, 1,645,400 in June and 1,515,400 in July 2026.</w:t>
      </w:r>
    </w:p>
    <w:p w14:paraId="269EED7A" w14:textId="77777777" w:rsidR="00FC207D" w:rsidRDefault="00457720">
      <w:pPr>
        <w:spacing w:after="60"/>
      </w:pPr>
      <w:r>
        <w:rPr>
          <w:b/>
          <w:color w:val="C2410C"/>
          <w:sz w:val="20"/>
        </w:rPr>
        <w:t xml:space="preserve">What to do with it  </w:t>
      </w:r>
      <w:r>
        <w:t>The Guntur year-on-year halving is a striking and bullish data point, but it rests on two observations. Treat it as an indication, not a measurement.</w:t>
      </w:r>
    </w:p>
    <w:p w14:paraId="3A0938FD"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7DB95584" w14:textId="77777777">
        <w:trPr>
          <w:jc w:val="center"/>
        </w:trPr>
        <w:tc>
          <w:tcPr>
            <w:tcW w:w="9411" w:type="dxa"/>
            <w:tcBorders>
              <w:left w:val="single" w:sz="18" w:space="0" w:color="C2410C"/>
            </w:tcBorders>
            <w:shd w:val="clear" w:color="auto" w:fill="FDF1E7"/>
          </w:tcPr>
          <w:p w14:paraId="0EDC0952" w14:textId="77777777" w:rsidR="00FC207D" w:rsidRDefault="00457720">
            <w:pPr>
              <w:spacing w:after="40"/>
            </w:pPr>
            <w:r>
              <w:rPr>
                <w:b/>
                <w:color w:val="C2410C"/>
                <w:sz w:val="20"/>
              </w:rPr>
              <w:t>Conclusion for Page 9</w:t>
            </w:r>
          </w:p>
          <w:p w14:paraId="2A5E463D" w14:textId="77777777" w:rsidR="00FC207D" w:rsidRDefault="00457720">
            <w:pPr>
              <w:spacing w:after="0"/>
            </w:pPr>
            <w:r>
              <w:rPr>
                <w:sz w:val="20"/>
              </w:rPr>
              <w:t>Production down 26% year on year, stock-to-use at 5.67% against a 22% average, and Guntur cold storage apparently halved. This is the most compelling evidence for firm prices anywhere in the dashboard. The caveat is sample size: ten annual observations cannot support statistical testing, so this is a strong qualitative argument rather than a proven relationship.</w:t>
            </w:r>
          </w:p>
        </w:tc>
      </w:tr>
    </w:tbl>
    <w:p w14:paraId="4A12B478" w14:textId="77777777" w:rsidR="00FC207D" w:rsidRDefault="00FC207D">
      <w:pPr>
        <w:spacing w:after="80"/>
      </w:pPr>
    </w:p>
    <w:p w14:paraId="4AA241D3" w14:textId="77777777" w:rsidR="00FC207D" w:rsidRDefault="00457720">
      <w:pPr>
        <w:pStyle w:val="Heading2"/>
      </w:pPr>
      <w:bookmarkStart w:id="19" w:name="_Toc236139951"/>
      <w:r>
        <w:t>Page 10 — Forecast Center</w:t>
      </w:r>
      <w:bookmarkEnd w:id="19"/>
    </w:p>
    <w:p w14:paraId="4DC41A83" w14:textId="77777777" w:rsidR="00FC207D" w:rsidRDefault="00457720">
      <w:pPr>
        <w:spacing w:after="60"/>
      </w:pPr>
      <w:r>
        <w:rPr>
          <w:b/>
          <w:color w:val="C2410C"/>
          <w:sz w:val="20"/>
        </w:rPr>
        <w:t xml:space="preserve">Purpose  </w:t>
      </w:r>
      <w:r>
        <w:t>The flagship page. It fits every applicable forecasting model, scores each one on data it has not seen, picks the winner, and explains its reasoning.</w:t>
      </w:r>
    </w:p>
    <w:p w14:paraId="7739EBC7" w14:textId="77777777" w:rsidR="00FC207D" w:rsidRDefault="00457720">
      <w:pPr>
        <w:pStyle w:val="Heading3"/>
      </w:pPr>
      <w:r>
        <w:t>The controls</w:t>
      </w:r>
    </w:p>
    <w:p w14:paraId="0417297B" w14:textId="77777777" w:rsidR="00FC207D" w:rsidRDefault="00457720">
      <w:pPr>
        <w:spacing w:after="60"/>
      </w:pPr>
      <w:r>
        <w:rPr>
          <w:b/>
          <w:color w:val="C2410C"/>
          <w:sz w:val="20"/>
        </w:rPr>
        <w:t xml:space="preserve">What it shows  </w:t>
      </w:r>
      <w:r>
        <w:t>Variety, frequency, horizon, training window, and which models to attempt.</w:t>
      </w:r>
    </w:p>
    <w:p w14:paraId="079F14A6" w14:textId="77777777" w:rsidR="00FC207D" w:rsidRDefault="00457720">
      <w:pPr>
        <w:spacing w:after="60"/>
      </w:pPr>
      <w:r>
        <w:rPr>
          <w:b/>
          <w:color w:val="C2410C"/>
          <w:sz w:val="20"/>
        </w:rPr>
        <w:t xml:space="preserve">How to read it  </w:t>
      </w:r>
      <w:r>
        <w:t>The default horizon reaches six months at whichever frequency you pick — 26 weeks, 12 fortnights or 6 months. Press Run model sweep.</w:t>
      </w:r>
    </w:p>
    <w:p w14:paraId="7CE7EA49" w14:textId="77777777" w:rsidR="00FC207D" w:rsidRDefault="00457720">
      <w:pPr>
        <w:spacing w:after="60"/>
      </w:pPr>
      <w:r>
        <w:rPr>
          <w:b/>
          <w:color w:val="C2410C"/>
          <w:sz w:val="20"/>
        </w:rPr>
        <w:t xml:space="preserve">What it says now  </w:t>
      </w:r>
      <w:r>
        <w:t>Monthly runs take a few seconds; weekly takes longer because the series is four times as long.</w:t>
      </w:r>
    </w:p>
    <w:p w14:paraId="6813E562" w14:textId="77777777" w:rsidR="00FC207D" w:rsidRDefault="00457720">
      <w:pPr>
        <w:spacing w:after="60"/>
      </w:pPr>
      <w:r>
        <w:rPr>
          <w:b/>
          <w:color w:val="C2410C"/>
          <w:sz w:val="20"/>
        </w:rPr>
        <w:t xml:space="preserve">What to do with it  </w:t>
      </w:r>
      <w:r>
        <w:t>Start with Monthly. It is the most reliable frequency on this data, for the reasons set out below.</w:t>
      </w:r>
    </w:p>
    <w:p w14:paraId="5E53CBF9" w14:textId="77777777" w:rsidR="00FC207D" w:rsidRDefault="00FC207D">
      <w:pPr>
        <w:spacing w:after="40"/>
      </w:pPr>
    </w:p>
    <w:p w14:paraId="4FC4F476" w14:textId="77777777" w:rsidR="00FC207D" w:rsidRDefault="00457720">
      <w:pPr>
        <w:pStyle w:val="Heading3"/>
      </w:pPr>
      <w:r>
        <w:t>Table — model comparison and backtest scores</w:t>
      </w:r>
    </w:p>
    <w:p w14:paraId="51E32703" w14:textId="77777777" w:rsidR="00FC207D" w:rsidRDefault="00457720">
      <w:pPr>
        <w:spacing w:after="60"/>
      </w:pPr>
      <w:r>
        <w:rPr>
          <w:b/>
          <w:color w:val="C2410C"/>
          <w:sz w:val="20"/>
        </w:rPr>
        <w:t xml:space="preserve">What it shows  </w:t>
      </w:r>
      <w:r>
        <w:t>Every model that could be fitted, ranked by how badly it missed on data withheld from it.</w:t>
      </w:r>
    </w:p>
    <w:p w14:paraId="125C7742" w14:textId="77777777" w:rsidR="00FC207D" w:rsidRDefault="00457720">
      <w:pPr>
        <w:spacing w:after="60"/>
      </w:pPr>
      <w:r>
        <w:rPr>
          <w:b/>
          <w:color w:val="C2410C"/>
          <w:sz w:val="20"/>
        </w:rPr>
        <w:t xml:space="preserve">How to read it  </w:t>
      </w:r>
      <w:r>
        <w:t>Lower RMSE, MAE and MAPE are better; higher R² and directional accuracy are better. Models that could not be applied are listed with the reason.</w:t>
      </w:r>
    </w:p>
    <w:p w14:paraId="0057D84D" w14:textId="77777777" w:rsidR="00FC207D" w:rsidRDefault="00457720">
      <w:pPr>
        <w:spacing w:after="60"/>
      </w:pPr>
      <w:r>
        <w:rPr>
          <w:b/>
          <w:color w:val="C2410C"/>
          <w:sz w:val="20"/>
        </w:rPr>
        <w:t xml:space="preserve">What it says now  </w:t>
      </w:r>
      <w:r>
        <w:t>For Teja on monthly data, see the table below. VECM wins clearly. SARIMAX — the model using arrivals, offtake, exports and the exchange rate — comes last.</w:t>
      </w:r>
    </w:p>
    <w:p w14:paraId="4511B3BA" w14:textId="77777777" w:rsidR="00FC207D" w:rsidRDefault="00457720">
      <w:pPr>
        <w:spacing w:after="60"/>
      </w:pPr>
      <w:r>
        <w:rPr>
          <w:b/>
          <w:color w:val="C2410C"/>
          <w:sz w:val="20"/>
        </w:rPr>
        <w:t xml:space="preserve">What to do with it  </w:t>
      </w:r>
      <w:r>
        <w:t>The scoreboard is your evidence that the chosen forecast is the best available and not just the first one tried.</w:t>
      </w:r>
    </w:p>
    <w:p w14:paraId="5328B16D" w14:textId="77777777" w:rsidR="00FC207D" w:rsidRDefault="00FC207D">
      <w:pPr>
        <w:spacing w:after="40"/>
      </w:pPr>
    </w:p>
    <w:tbl>
      <w:tblPr>
        <w:tblStyle w:val="TableGrid"/>
        <w:tblW w:w="0" w:type="auto"/>
        <w:jc w:val="center"/>
        <w:tblLayout w:type="fixed"/>
        <w:tblLook w:val="04A0" w:firstRow="1" w:lastRow="0" w:firstColumn="1" w:lastColumn="0" w:noHBand="0" w:noVBand="1"/>
      </w:tblPr>
      <w:tblGrid>
        <w:gridCol w:w="2948"/>
        <w:gridCol w:w="1247"/>
        <w:gridCol w:w="1247"/>
        <w:gridCol w:w="1134"/>
        <w:gridCol w:w="1247"/>
        <w:gridCol w:w="1587"/>
      </w:tblGrid>
      <w:tr w:rsidR="00FC207D" w14:paraId="5EBFCBF1" w14:textId="77777777">
        <w:trPr>
          <w:jc w:val="center"/>
        </w:trPr>
        <w:tc>
          <w:tcPr>
            <w:tcW w:w="2948" w:type="dxa"/>
            <w:shd w:val="clear" w:color="auto" w:fill="1A2027"/>
          </w:tcPr>
          <w:p w14:paraId="5B2B7611" w14:textId="77777777" w:rsidR="00FC207D" w:rsidRDefault="00457720">
            <w:pPr>
              <w:spacing w:before="20" w:after="20"/>
            </w:pPr>
            <w:r>
              <w:rPr>
                <w:b/>
                <w:color w:val="FFFFFF"/>
                <w:sz w:val="18"/>
              </w:rPr>
              <w:t>Model</w:t>
            </w:r>
          </w:p>
        </w:tc>
        <w:tc>
          <w:tcPr>
            <w:tcW w:w="1247" w:type="dxa"/>
            <w:shd w:val="clear" w:color="auto" w:fill="1A2027"/>
          </w:tcPr>
          <w:p w14:paraId="2D5D515A" w14:textId="77777777" w:rsidR="00FC207D" w:rsidRDefault="00457720">
            <w:pPr>
              <w:spacing w:before="20" w:after="20"/>
            </w:pPr>
            <w:r>
              <w:rPr>
                <w:b/>
                <w:color w:val="FFFFFF"/>
                <w:sz w:val="18"/>
              </w:rPr>
              <w:t>RMSE</w:t>
            </w:r>
          </w:p>
        </w:tc>
        <w:tc>
          <w:tcPr>
            <w:tcW w:w="1247" w:type="dxa"/>
            <w:shd w:val="clear" w:color="auto" w:fill="1A2027"/>
          </w:tcPr>
          <w:p w14:paraId="7006C81A" w14:textId="77777777" w:rsidR="00FC207D" w:rsidRDefault="00457720">
            <w:pPr>
              <w:spacing w:before="20" w:after="20"/>
            </w:pPr>
            <w:r>
              <w:rPr>
                <w:b/>
                <w:color w:val="FFFFFF"/>
                <w:sz w:val="18"/>
              </w:rPr>
              <w:t>MAPE</w:t>
            </w:r>
          </w:p>
        </w:tc>
        <w:tc>
          <w:tcPr>
            <w:tcW w:w="1134" w:type="dxa"/>
            <w:shd w:val="clear" w:color="auto" w:fill="1A2027"/>
          </w:tcPr>
          <w:p w14:paraId="4F37888D" w14:textId="77777777" w:rsidR="00FC207D" w:rsidRDefault="00457720">
            <w:pPr>
              <w:spacing w:before="20" w:after="20"/>
            </w:pPr>
            <w:r>
              <w:rPr>
                <w:b/>
                <w:color w:val="FFFFFF"/>
                <w:sz w:val="18"/>
              </w:rPr>
              <w:t>R²</w:t>
            </w:r>
          </w:p>
        </w:tc>
        <w:tc>
          <w:tcPr>
            <w:tcW w:w="1247" w:type="dxa"/>
            <w:shd w:val="clear" w:color="auto" w:fill="1A2027"/>
          </w:tcPr>
          <w:p w14:paraId="207E73D9" w14:textId="77777777" w:rsidR="00FC207D" w:rsidRDefault="00457720">
            <w:pPr>
              <w:spacing w:before="20" w:after="20"/>
            </w:pPr>
            <w:r>
              <w:rPr>
                <w:b/>
                <w:color w:val="FFFFFF"/>
                <w:sz w:val="18"/>
              </w:rPr>
              <w:t>Direction</w:t>
            </w:r>
          </w:p>
        </w:tc>
        <w:tc>
          <w:tcPr>
            <w:tcW w:w="1587" w:type="dxa"/>
            <w:shd w:val="clear" w:color="auto" w:fill="1A2027"/>
          </w:tcPr>
          <w:p w14:paraId="2E2F1184" w14:textId="77777777" w:rsidR="00FC207D" w:rsidRDefault="00457720">
            <w:pPr>
              <w:spacing w:before="20" w:after="20"/>
            </w:pPr>
            <w:r>
              <w:rPr>
                <w:b/>
                <w:color w:val="FFFFFF"/>
                <w:sz w:val="18"/>
              </w:rPr>
              <w:t>Verdict</w:t>
            </w:r>
          </w:p>
        </w:tc>
      </w:tr>
      <w:tr w:rsidR="00FC207D" w14:paraId="1D07814E" w14:textId="77777777">
        <w:trPr>
          <w:jc w:val="center"/>
        </w:trPr>
        <w:tc>
          <w:tcPr>
            <w:tcW w:w="2948" w:type="dxa"/>
          </w:tcPr>
          <w:p w14:paraId="7EFFD854" w14:textId="77777777" w:rsidR="00FC207D" w:rsidRDefault="00457720">
            <w:pPr>
              <w:spacing w:before="20" w:after="20"/>
            </w:pPr>
            <w:r>
              <w:rPr>
                <w:b/>
                <w:sz w:val="18"/>
              </w:rPr>
              <w:t>VECM (rank 1, 4 series)</w:t>
            </w:r>
          </w:p>
        </w:tc>
        <w:tc>
          <w:tcPr>
            <w:tcW w:w="1247" w:type="dxa"/>
          </w:tcPr>
          <w:p w14:paraId="381B116B" w14:textId="77777777" w:rsidR="00FC207D" w:rsidRDefault="00457720">
            <w:pPr>
              <w:spacing w:before="20" w:after="20"/>
            </w:pPr>
            <w:r>
              <w:rPr>
                <w:sz w:val="18"/>
              </w:rPr>
              <w:t>1,867</w:t>
            </w:r>
          </w:p>
        </w:tc>
        <w:tc>
          <w:tcPr>
            <w:tcW w:w="1247" w:type="dxa"/>
          </w:tcPr>
          <w:p w14:paraId="0177F5F0" w14:textId="77777777" w:rsidR="00FC207D" w:rsidRDefault="00457720">
            <w:pPr>
              <w:spacing w:before="20" w:after="20"/>
            </w:pPr>
            <w:r>
              <w:rPr>
                <w:sz w:val="18"/>
              </w:rPr>
              <w:t>8.21%</w:t>
            </w:r>
          </w:p>
        </w:tc>
        <w:tc>
          <w:tcPr>
            <w:tcW w:w="1134" w:type="dxa"/>
          </w:tcPr>
          <w:p w14:paraId="7222B746" w14:textId="77777777" w:rsidR="00FC207D" w:rsidRDefault="00457720">
            <w:pPr>
              <w:spacing w:before="20" w:after="20"/>
            </w:pPr>
            <w:r>
              <w:rPr>
                <w:sz w:val="18"/>
              </w:rPr>
              <w:t>0.541</w:t>
            </w:r>
          </w:p>
        </w:tc>
        <w:tc>
          <w:tcPr>
            <w:tcW w:w="1247" w:type="dxa"/>
          </w:tcPr>
          <w:p w14:paraId="38DDF663" w14:textId="77777777" w:rsidR="00FC207D" w:rsidRDefault="00457720">
            <w:pPr>
              <w:spacing w:before="20" w:after="20"/>
            </w:pPr>
            <w:r>
              <w:rPr>
                <w:sz w:val="18"/>
              </w:rPr>
              <w:t>93.3%</w:t>
            </w:r>
          </w:p>
        </w:tc>
        <w:tc>
          <w:tcPr>
            <w:tcW w:w="1587" w:type="dxa"/>
          </w:tcPr>
          <w:p w14:paraId="36420005" w14:textId="77777777" w:rsidR="00FC207D" w:rsidRDefault="00457720">
            <w:pPr>
              <w:spacing w:before="20" w:after="20"/>
            </w:pPr>
            <w:r>
              <w:rPr>
                <w:sz w:val="18"/>
              </w:rPr>
              <w:t>SELECTED</w:t>
            </w:r>
          </w:p>
        </w:tc>
      </w:tr>
      <w:tr w:rsidR="00FC207D" w14:paraId="0514182F" w14:textId="77777777">
        <w:trPr>
          <w:jc w:val="center"/>
        </w:trPr>
        <w:tc>
          <w:tcPr>
            <w:tcW w:w="2948" w:type="dxa"/>
            <w:shd w:val="clear" w:color="auto" w:fill="EEF1F5"/>
          </w:tcPr>
          <w:p w14:paraId="43F85DBC" w14:textId="77777777" w:rsidR="00FC207D" w:rsidRDefault="00457720">
            <w:pPr>
              <w:spacing w:before="20" w:after="20"/>
            </w:pPr>
            <w:r>
              <w:rPr>
                <w:b/>
                <w:sz w:val="18"/>
              </w:rPr>
              <w:t>VAR (1 lag, 4 series)</w:t>
            </w:r>
          </w:p>
        </w:tc>
        <w:tc>
          <w:tcPr>
            <w:tcW w:w="1247" w:type="dxa"/>
            <w:shd w:val="clear" w:color="auto" w:fill="EEF1F5"/>
          </w:tcPr>
          <w:p w14:paraId="2A30CB51" w14:textId="77777777" w:rsidR="00FC207D" w:rsidRDefault="00457720">
            <w:pPr>
              <w:spacing w:before="20" w:after="20"/>
            </w:pPr>
            <w:r>
              <w:rPr>
                <w:sz w:val="18"/>
              </w:rPr>
              <w:t>2,219</w:t>
            </w:r>
          </w:p>
        </w:tc>
        <w:tc>
          <w:tcPr>
            <w:tcW w:w="1247" w:type="dxa"/>
            <w:shd w:val="clear" w:color="auto" w:fill="EEF1F5"/>
          </w:tcPr>
          <w:p w14:paraId="2CF4A9FC" w14:textId="77777777" w:rsidR="00FC207D" w:rsidRDefault="00457720">
            <w:pPr>
              <w:spacing w:before="20" w:after="20"/>
            </w:pPr>
            <w:r>
              <w:rPr>
                <w:sz w:val="18"/>
              </w:rPr>
              <w:t>11.51%</w:t>
            </w:r>
          </w:p>
        </w:tc>
        <w:tc>
          <w:tcPr>
            <w:tcW w:w="1134" w:type="dxa"/>
            <w:shd w:val="clear" w:color="auto" w:fill="EEF1F5"/>
          </w:tcPr>
          <w:p w14:paraId="4129EDEE" w14:textId="77777777" w:rsidR="00FC207D" w:rsidRDefault="00457720">
            <w:pPr>
              <w:spacing w:before="20" w:after="20"/>
            </w:pPr>
            <w:r>
              <w:rPr>
                <w:sz w:val="18"/>
              </w:rPr>
              <w:t>0.352</w:t>
            </w:r>
          </w:p>
        </w:tc>
        <w:tc>
          <w:tcPr>
            <w:tcW w:w="1247" w:type="dxa"/>
            <w:shd w:val="clear" w:color="auto" w:fill="EEF1F5"/>
          </w:tcPr>
          <w:p w14:paraId="0099A4F2" w14:textId="77777777" w:rsidR="00FC207D" w:rsidRDefault="00457720">
            <w:pPr>
              <w:spacing w:before="20" w:after="20"/>
            </w:pPr>
            <w:r>
              <w:rPr>
                <w:sz w:val="18"/>
              </w:rPr>
              <w:t>80.0%</w:t>
            </w:r>
          </w:p>
        </w:tc>
        <w:tc>
          <w:tcPr>
            <w:tcW w:w="1587" w:type="dxa"/>
            <w:shd w:val="clear" w:color="auto" w:fill="EEF1F5"/>
          </w:tcPr>
          <w:p w14:paraId="21599775" w14:textId="77777777" w:rsidR="00FC207D" w:rsidRDefault="00457720">
            <w:pPr>
              <w:spacing w:before="20" w:after="20"/>
            </w:pPr>
            <w:r>
              <w:rPr>
                <w:sz w:val="18"/>
              </w:rPr>
              <w:t>18.8% worse</w:t>
            </w:r>
          </w:p>
        </w:tc>
      </w:tr>
      <w:tr w:rsidR="00FC207D" w14:paraId="300ACE87" w14:textId="77777777">
        <w:trPr>
          <w:jc w:val="center"/>
        </w:trPr>
        <w:tc>
          <w:tcPr>
            <w:tcW w:w="2948" w:type="dxa"/>
          </w:tcPr>
          <w:p w14:paraId="6EF07649" w14:textId="77777777" w:rsidR="00FC207D" w:rsidRDefault="00457720">
            <w:pPr>
              <w:spacing w:before="20" w:after="20"/>
            </w:pPr>
            <w:r>
              <w:rPr>
                <w:b/>
                <w:sz w:val="18"/>
              </w:rPr>
              <w:t>ARIMA (0,1,2)</w:t>
            </w:r>
          </w:p>
        </w:tc>
        <w:tc>
          <w:tcPr>
            <w:tcW w:w="1247" w:type="dxa"/>
          </w:tcPr>
          <w:p w14:paraId="19F6C15A" w14:textId="77777777" w:rsidR="00FC207D" w:rsidRDefault="00457720">
            <w:pPr>
              <w:spacing w:before="20" w:after="20"/>
            </w:pPr>
            <w:r>
              <w:rPr>
                <w:sz w:val="18"/>
              </w:rPr>
              <w:t>2,287</w:t>
            </w:r>
          </w:p>
        </w:tc>
        <w:tc>
          <w:tcPr>
            <w:tcW w:w="1247" w:type="dxa"/>
          </w:tcPr>
          <w:p w14:paraId="2A644814" w14:textId="77777777" w:rsidR="00FC207D" w:rsidRDefault="00457720">
            <w:pPr>
              <w:spacing w:before="20" w:after="20"/>
            </w:pPr>
            <w:r>
              <w:rPr>
                <w:sz w:val="18"/>
              </w:rPr>
              <w:t>11.73%</w:t>
            </w:r>
          </w:p>
        </w:tc>
        <w:tc>
          <w:tcPr>
            <w:tcW w:w="1134" w:type="dxa"/>
          </w:tcPr>
          <w:p w14:paraId="642DEB73" w14:textId="77777777" w:rsidR="00FC207D" w:rsidRDefault="00457720">
            <w:pPr>
              <w:spacing w:before="20" w:after="20"/>
            </w:pPr>
            <w:r>
              <w:rPr>
                <w:sz w:val="18"/>
              </w:rPr>
              <w:t>0.312</w:t>
            </w:r>
          </w:p>
        </w:tc>
        <w:tc>
          <w:tcPr>
            <w:tcW w:w="1247" w:type="dxa"/>
          </w:tcPr>
          <w:p w14:paraId="50AE7FDB" w14:textId="77777777" w:rsidR="00FC207D" w:rsidRDefault="00457720">
            <w:pPr>
              <w:spacing w:before="20" w:after="20"/>
            </w:pPr>
            <w:r>
              <w:rPr>
                <w:sz w:val="18"/>
              </w:rPr>
              <w:t>73.3%</w:t>
            </w:r>
          </w:p>
        </w:tc>
        <w:tc>
          <w:tcPr>
            <w:tcW w:w="1587" w:type="dxa"/>
          </w:tcPr>
          <w:p w14:paraId="516BCFAC" w14:textId="77777777" w:rsidR="00FC207D" w:rsidRDefault="00457720">
            <w:pPr>
              <w:spacing w:before="20" w:after="20"/>
            </w:pPr>
            <w:r>
              <w:rPr>
                <w:sz w:val="18"/>
              </w:rPr>
              <w:t>Fitted</w:t>
            </w:r>
          </w:p>
        </w:tc>
      </w:tr>
      <w:tr w:rsidR="00FC207D" w14:paraId="40E54F07" w14:textId="77777777">
        <w:trPr>
          <w:jc w:val="center"/>
        </w:trPr>
        <w:tc>
          <w:tcPr>
            <w:tcW w:w="2948" w:type="dxa"/>
            <w:shd w:val="clear" w:color="auto" w:fill="EEF1F5"/>
          </w:tcPr>
          <w:p w14:paraId="29A1F11A" w14:textId="77777777" w:rsidR="00FC207D" w:rsidRDefault="00457720">
            <w:pPr>
              <w:spacing w:before="20" w:after="20"/>
            </w:pPr>
            <w:r>
              <w:rPr>
                <w:b/>
                <w:sz w:val="18"/>
              </w:rPr>
              <w:t>SARIMA (0,1,2)(0,0,1,12)</w:t>
            </w:r>
          </w:p>
        </w:tc>
        <w:tc>
          <w:tcPr>
            <w:tcW w:w="1247" w:type="dxa"/>
            <w:shd w:val="clear" w:color="auto" w:fill="EEF1F5"/>
          </w:tcPr>
          <w:p w14:paraId="44AB470A" w14:textId="77777777" w:rsidR="00FC207D" w:rsidRDefault="00457720">
            <w:pPr>
              <w:spacing w:before="20" w:after="20"/>
            </w:pPr>
            <w:r>
              <w:rPr>
                <w:sz w:val="18"/>
              </w:rPr>
              <w:t>2,332</w:t>
            </w:r>
          </w:p>
        </w:tc>
        <w:tc>
          <w:tcPr>
            <w:tcW w:w="1247" w:type="dxa"/>
            <w:shd w:val="clear" w:color="auto" w:fill="EEF1F5"/>
          </w:tcPr>
          <w:p w14:paraId="79D1273E" w14:textId="77777777" w:rsidR="00FC207D" w:rsidRDefault="00457720">
            <w:pPr>
              <w:spacing w:before="20" w:after="20"/>
            </w:pPr>
            <w:r>
              <w:rPr>
                <w:sz w:val="18"/>
              </w:rPr>
              <w:t>11.80%</w:t>
            </w:r>
          </w:p>
        </w:tc>
        <w:tc>
          <w:tcPr>
            <w:tcW w:w="1134" w:type="dxa"/>
            <w:shd w:val="clear" w:color="auto" w:fill="EEF1F5"/>
          </w:tcPr>
          <w:p w14:paraId="67DB62D7" w14:textId="77777777" w:rsidR="00FC207D" w:rsidRDefault="00457720">
            <w:pPr>
              <w:spacing w:before="20" w:after="20"/>
            </w:pPr>
            <w:r>
              <w:rPr>
                <w:sz w:val="18"/>
              </w:rPr>
              <w:t>0.284</w:t>
            </w:r>
          </w:p>
        </w:tc>
        <w:tc>
          <w:tcPr>
            <w:tcW w:w="1247" w:type="dxa"/>
            <w:shd w:val="clear" w:color="auto" w:fill="EEF1F5"/>
          </w:tcPr>
          <w:p w14:paraId="666BD2E8" w14:textId="77777777" w:rsidR="00FC207D" w:rsidRDefault="00457720">
            <w:pPr>
              <w:spacing w:before="20" w:after="20"/>
            </w:pPr>
            <w:r>
              <w:rPr>
                <w:sz w:val="18"/>
              </w:rPr>
              <w:t>60.0%</w:t>
            </w:r>
          </w:p>
        </w:tc>
        <w:tc>
          <w:tcPr>
            <w:tcW w:w="1587" w:type="dxa"/>
            <w:shd w:val="clear" w:color="auto" w:fill="EEF1F5"/>
          </w:tcPr>
          <w:p w14:paraId="5186F156" w14:textId="77777777" w:rsidR="00FC207D" w:rsidRDefault="00457720">
            <w:pPr>
              <w:spacing w:before="20" w:after="20"/>
            </w:pPr>
            <w:r>
              <w:rPr>
                <w:sz w:val="18"/>
              </w:rPr>
              <w:t>Fitted</w:t>
            </w:r>
          </w:p>
        </w:tc>
      </w:tr>
      <w:tr w:rsidR="00FC207D" w14:paraId="3026510E" w14:textId="77777777">
        <w:trPr>
          <w:jc w:val="center"/>
        </w:trPr>
        <w:tc>
          <w:tcPr>
            <w:tcW w:w="2948" w:type="dxa"/>
          </w:tcPr>
          <w:p w14:paraId="381590C4" w14:textId="77777777" w:rsidR="00FC207D" w:rsidRDefault="00457720">
            <w:pPr>
              <w:spacing w:before="20" w:after="20"/>
            </w:pPr>
            <w:r>
              <w:rPr>
                <w:b/>
                <w:sz w:val="18"/>
              </w:rPr>
              <w:t>Holt-Winters (additive, m=12)</w:t>
            </w:r>
          </w:p>
        </w:tc>
        <w:tc>
          <w:tcPr>
            <w:tcW w:w="1247" w:type="dxa"/>
          </w:tcPr>
          <w:p w14:paraId="2E5F8526" w14:textId="77777777" w:rsidR="00FC207D" w:rsidRDefault="00457720">
            <w:pPr>
              <w:spacing w:before="20" w:after="20"/>
            </w:pPr>
            <w:r>
              <w:rPr>
                <w:sz w:val="18"/>
              </w:rPr>
              <w:t>2,802</w:t>
            </w:r>
          </w:p>
        </w:tc>
        <w:tc>
          <w:tcPr>
            <w:tcW w:w="1247" w:type="dxa"/>
          </w:tcPr>
          <w:p w14:paraId="2183C365" w14:textId="77777777" w:rsidR="00FC207D" w:rsidRDefault="00457720">
            <w:pPr>
              <w:spacing w:before="20" w:after="20"/>
            </w:pPr>
            <w:r>
              <w:rPr>
                <w:sz w:val="18"/>
              </w:rPr>
              <w:t>12.75%</w:t>
            </w:r>
          </w:p>
        </w:tc>
        <w:tc>
          <w:tcPr>
            <w:tcW w:w="1134" w:type="dxa"/>
          </w:tcPr>
          <w:p w14:paraId="56EBC332" w14:textId="77777777" w:rsidR="00FC207D" w:rsidRDefault="00457720">
            <w:pPr>
              <w:spacing w:before="20" w:after="20"/>
            </w:pPr>
            <w:r>
              <w:rPr>
                <w:sz w:val="18"/>
              </w:rPr>
              <w:t>−</w:t>
            </w:r>
            <w:r>
              <w:rPr>
                <w:sz w:val="18"/>
              </w:rPr>
              <w:t>0.033</w:t>
            </w:r>
          </w:p>
        </w:tc>
        <w:tc>
          <w:tcPr>
            <w:tcW w:w="1247" w:type="dxa"/>
          </w:tcPr>
          <w:p w14:paraId="2DAC3646" w14:textId="77777777" w:rsidR="00FC207D" w:rsidRDefault="00457720">
            <w:pPr>
              <w:spacing w:before="20" w:after="20"/>
            </w:pPr>
            <w:r>
              <w:rPr>
                <w:sz w:val="18"/>
              </w:rPr>
              <w:t>60.0%</w:t>
            </w:r>
          </w:p>
        </w:tc>
        <w:tc>
          <w:tcPr>
            <w:tcW w:w="1587" w:type="dxa"/>
          </w:tcPr>
          <w:p w14:paraId="42AADE7E" w14:textId="77777777" w:rsidR="00FC207D" w:rsidRDefault="00457720">
            <w:pPr>
              <w:spacing w:before="20" w:after="20"/>
            </w:pPr>
            <w:r>
              <w:rPr>
                <w:sz w:val="18"/>
              </w:rPr>
              <w:t>Fitted</w:t>
            </w:r>
          </w:p>
        </w:tc>
      </w:tr>
      <w:tr w:rsidR="00FC207D" w14:paraId="4C2D5A47" w14:textId="77777777">
        <w:trPr>
          <w:jc w:val="center"/>
        </w:trPr>
        <w:tc>
          <w:tcPr>
            <w:tcW w:w="2948" w:type="dxa"/>
            <w:shd w:val="clear" w:color="auto" w:fill="EEF1F5"/>
          </w:tcPr>
          <w:p w14:paraId="4900524A" w14:textId="77777777" w:rsidR="00FC207D" w:rsidRDefault="00457720">
            <w:pPr>
              <w:spacing w:before="20" w:after="20"/>
            </w:pPr>
            <w:r>
              <w:rPr>
                <w:b/>
                <w:sz w:val="18"/>
              </w:rPr>
              <w:t>SARIMAX + 4 drivers</w:t>
            </w:r>
          </w:p>
        </w:tc>
        <w:tc>
          <w:tcPr>
            <w:tcW w:w="1247" w:type="dxa"/>
            <w:shd w:val="clear" w:color="auto" w:fill="EEF1F5"/>
          </w:tcPr>
          <w:p w14:paraId="2C61B04F" w14:textId="77777777" w:rsidR="00FC207D" w:rsidRDefault="00457720">
            <w:pPr>
              <w:spacing w:before="20" w:after="20"/>
            </w:pPr>
            <w:r>
              <w:rPr>
                <w:sz w:val="18"/>
              </w:rPr>
              <w:t>2,989</w:t>
            </w:r>
          </w:p>
        </w:tc>
        <w:tc>
          <w:tcPr>
            <w:tcW w:w="1247" w:type="dxa"/>
            <w:shd w:val="clear" w:color="auto" w:fill="EEF1F5"/>
          </w:tcPr>
          <w:p w14:paraId="3AB58EDB" w14:textId="77777777" w:rsidR="00FC207D" w:rsidRDefault="00457720">
            <w:pPr>
              <w:spacing w:before="20" w:after="20"/>
            </w:pPr>
            <w:r>
              <w:rPr>
                <w:sz w:val="18"/>
              </w:rPr>
              <w:t>14.77%</w:t>
            </w:r>
          </w:p>
        </w:tc>
        <w:tc>
          <w:tcPr>
            <w:tcW w:w="1134" w:type="dxa"/>
            <w:shd w:val="clear" w:color="auto" w:fill="EEF1F5"/>
          </w:tcPr>
          <w:p w14:paraId="62363E53" w14:textId="77777777" w:rsidR="00FC207D" w:rsidRDefault="00457720">
            <w:pPr>
              <w:spacing w:before="20" w:after="20"/>
            </w:pPr>
            <w:r>
              <w:rPr>
                <w:sz w:val="18"/>
              </w:rPr>
              <w:t>−</w:t>
            </w:r>
            <w:r>
              <w:rPr>
                <w:sz w:val="18"/>
              </w:rPr>
              <w:t>0.147</w:t>
            </w:r>
          </w:p>
        </w:tc>
        <w:tc>
          <w:tcPr>
            <w:tcW w:w="1247" w:type="dxa"/>
            <w:shd w:val="clear" w:color="auto" w:fill="EEF1F5"/>
          </w:tcPr>
          <w:p w14:paraId="5601DD07" w14:textId="77777777" w:rsidR="00FC207D" w:rsidRDefault="00457720">
            <w:pPr>
              <w:spacing w:before="20" w:after="20"/>
            </w:pPr>
            <w:r>
              <w:rPr>
                <w:sz w:val="18"/>
              </w:rPr>
              <w:t>43.3%</w:t>
            </w:r>
          </w:p>
        </w:tc>
        <w:tc>
          <w:tcPr>
            <w:tcW w:w="1587" w:type="dxa"/>
            <w:shd w:val="clear" w:color="auto" w:fill="EEF1F5"/>
          </w:tcPr>
          <w:p w14:paraId="20893E72" w14:textId="77777777" w:rsidR="00FC207D" w:rsidRDefault="00457720">
            <w:pPr>
              <w:spacing w:before="20" w:after="20"/>
            </w:pPr>
            <w:r>
              <w:rPr>
                <w:sz w:val="18"/>
              </w:rPr>
              <w:t>Worst</w:t>
            </w:r>
          </w:p>
        </w:tc>
      </w:tr>
    </w:tbl>
    <w:p w14:paraId="02ED3ED9" w14:textId="77777777" w:rsidR="00FC207D" w:rsidRDefault="00FC207D">
      <w:pPr>
        <w:spacing w:after="80"/>
      </w:pPr>
    </w:p>
    <w:p w14:paraId="6290B145" w14:textId="77777777" w:rsidR="00FC207D" w:rsidRDefault="00457720">
      <w:r>
        <w:rPr>
          <w:i/>
          <w:color w:val="5C6B7A"/>
          <w:sz w:val="18"/>
        </w:rPr>
        <w:t>Teja, monthly, six-month horizon. Scores from five rolling-origin backtest folds covering 30 held-out observations.</w:t>
      </w:r>
    </w:p>
    <w:p w14:paraId="63ED84E0" w14:textId="77777777" w:rsidR="00FC207D" w:rsidRDefault="00457720">
      <w:r>
        <w:lastRenderedPageBreak/>
        <w:t>Two things in that table are worth pausing on. First, VECM wins because it is the only model that knows the varieties share a long-run relationship — the same cointegration established on Page 5. Second, SARIMAX finishes last despite using the most information. That is not a fault: in a true forecast the drivers cannot be known in advance, so the backtest holds them at their last observed value, and the extra variables add noise rather than signal. A model that scored well by peeking at future arrivals woul</w:t>
      </w:r>
      <w:r>
        <w:t>d be lying to you.</w:t>
      </w:r>
    </w:p>
    <w:p w14:paraId="2A0F69EE" w14:textId="77777777" w:rsidR="00FC207D" w:rsidRDefault="00457720">
      <w:pPr>
        <w:pStyle w:val="Heading3"/>
      </w:pPr>
      <w:r>
        <w:t>Chart — the fan chart</w:t>
      </w:r>
    </w:p>
    <w:p w14:paraId="2C5FA029" w14:textId="77777777" w:rsidR="00FC207D" w:rsidRDefault="00457720">
      <w:pPr>
        <w:spacing w:after="60"/>
      </w:pPr>
      <w:r>
        <w:rPr>
          <w:b/>
          <w:color w:val="C2410C"/>
          <w:sz w:val="20"/>
        </w:rPr>
        <w:t xml:space="preserve">What it shows  </w:t>
      </w:r>
      <w:r>
        <w:t>History, the projected path, and two bands of uncertainty.</w:t>
      </w:r>
    </w:p>
    <w:p w14:paraId="6B90106B" w14:textId="77777777" w:rsidR="00FC207D" w:rsidRDefault="00457720">
      <w:pPr>
        <w:spacing w:after="60"/>
      </w:pPr>
      <w:r>
        <w:rPr>
          <w:b/>
          <w:color w:val="C2410C"/>
          <w:sz w:val="20"/>
        </w:rPr>
        <w:t xml:space="preserve">How to read it  </w:t>
      </w:r>
      <w:r>
        <w:t>Solid line is actual history; dashed line is projection; the dotted vertical line is where the forecast begins. The inner band is the 80% confidence interval, the outer the 95% prediction interval.</w:t>
      </w:r>
    </w:p>
    <w:p w14:paraId="10D2DCAC" w14:textId="77777777" w:rsidR="00FC207D" w:rsidRDefault="00457720">
      <w:pPr>
        <w:spacing w:after="60"/>
      </w:pPr>
      <w:r>
        <w:rPr>
          <w:b/>
          <w:color w:val="C2410C"/>
          <w:sz w:val="20"/>
        </w:rPr>
        <w:t xml:space="preserve">What it says now  </w:t>
      </w:r>
      <w:r>
        <w:t>For Teja the projection rises steadily from 22,873 in August to 26,867 in January. The outer band widens from 20,277–25,469 in August to 19,688–34,045 in January.</w:t>
      </w:r>
    </w:p>
    <w:p w14:paraId="04687972" w14:textId="77777777" w:rsidR="00FC207D" w:rsidRDefault="00457720">
      <w:pPr>
        <w:spacing w:after="60"/>
      </w:pPr>
      <w:r>
        <w:rPr>
          <w:b/>
          <w:color w:val="C2410C"/>
          <w:sz w:val="20"/>
        </w:rPr>
        <w:t xml:space="preserve">What to do with it  </w:t>
      </w:r>
      <w:r>
        <w:t>Look at how fast the outer band widens. By January it spans 14,000 rupees. That is the honest picture of six-month uncertainty in this market.</w:t>
      </w:r>
    </w:p>
    <w:p w14:paraId="3707BE6A" w14:textId="77777777" w:rsidR="00FC207D" w:rsidRDefault="00FC207D">
      <w:pPr>
        <w:spacing w:after="40"/>
      </w:pPr>
    </w:p>
    <w:p w14:paraId="3F20C498" w14:textId="77777777" w:rsidR="00FC207D" w:rsidRDefault="00457720">
      <w:pPr>
        <w:pStyle w:val="Heading3"/>
      </w:pPr>
      <w:r>
        <w:t>Table — the forecast</w:t>
      </w:r>
    </w:p>
    <w:p w14:paraId="6722DE1F" w14:textId="77777777" w:rsidR="00FC207D" w:rsidRDefault="00457720">
      <w:pPr>
        <w:spacing w:after="60"/>
      </w:pPr>
      <w:r>
        <w:rPr>
          <w:b/>
          <w:color w:val="C2410C"/>
          <w:sz w:val="20"/>
        </w:rPr>
        <w:t xml:space="preserve">What it shows  </w:t>
      </w:r>
      <w:r>
        <w:t>Period-by-period projected values with both intervals.</w:t>
      </w:r>
    </w:p>
    <w:p w14:paraId="3FB04279" w14:textId="77777777" w:rsidR="00FC207D" w:rsidRDefault="00457720">
      <w:pPr>
        <w:spacing w:after="60"/>
      </w:pPr>
      <w:r>
        <w:rPr>
          <w:b/>
          <w:color w:val="C2410C"/>
          <w:sz w:val="20"/>
        </w:rPr>
        <w:t xml:space="preserve">How to read it  </w:t>
      </w:r>
      <w:r>
        <w:t>Every row is a projection. None is historical data.</w:t>
      </w:r>
    </w:p>
    <w:p w14:paraId="67F2F56B" w14:textId="77777777" w:rsidR="00FC207D" w:rsidRDefault="00457720">
      <w:pPr>
        <w:spacing w:after="60"/>
      </w:pPr>
      <w:r>
        <w:rPr>
          <w:b/>
          <w:color w:val="C2410C"/>
          <w:sz w:val="20"/>
        </w:rPr>
        <w:t xml:space="preserve">What it says now  </w:t>
      </w:r>
      <w:r>
        <w:t>See the table below for both focus varieties.</w:t>
      </w:r>
    </w:p>
    <w:p w14:paraId="6EBE056D" w14:textId="77777777" w:rsidR="00FC207D" w:rsidRDefault="00457720">
      <w:pPr>
        <w:spacing w:after="60"/>
      </w:pPr>
      <w:r>
        <w:rPr>
          <w:b/>
          <w:color w:val="C2410C"/>
          <w:sz w:val="20"/>
        </w:rPr>
        <w:t xml:space="preserve">What to do with it  </w:t>
      </w:r>
      <w:r>
        <w:t>Use the prediction-interval columns for planning, and the point forecast only as the centre of gravity.</w:t>
      </w:r>
    </w:p>
    <w:p w14:paraId="0AE31499" w14:textId="77777777" w:rsidR="00FC207D" w:rsidRDefault="00FC207D">
      <w:pPr>
        <w:spacing w:after="40"/>
      </w:pPr>
    </w:p>
    <w:tbl>
      <w:tblPr>
        <w:tblStyle w:val="TableGrid"/>
        <w:tblW w:w="0" w:type="auto"/>
        <w:jc w:val="center"/>
        <w:tblLayout w:type="fixed"/>
        <w:tblLook w:val="04A0" w:firstRow="1" w:lastRow="0" w:firstColumn="1" w:lastColumn="0" w:noHBand="0" w:noVBand="1"/>
      </w:tblPr>
      <w:tblGrid>
        <w:gridCol w:w="1814"/>
        <w:gridCol w:w="1701"/>
        <w:gridCol w:w="2041"/>
        <w:gridCol w:w="1814"/>
        <w:gridCol w:w="2041"/>
      </w:tblGrid>
      <w:tr w:rsidR="00FC207D" w14:paraId="7B56FCBB" w14:textId="77777777">
        <w:trPr>
          <w:jc w:val="center"/>
        </w:trPr>
        <w:tc>
          <w:tcPr>
            <w:tcW w:w="1814" w:type="dxa"/>
            <w:shd w:val="clear" w:color="auto" w:fill="1A2027"/>
          </w:tcPr>
          <w:p w14:paraId="4499D792" w14:textId="77777777" w:rsidR="00FC207D" w:rsidRDefault="00457720">
            <w:pPr>
              <w:spacing w:before="20" w:after="20"/>
            </w:pPr>
            <w:r>
              <w:rPr>
                <w:b/>
                <w:color w:val="FFFFFF"/>
                <w:sz w:val="17"/>
              </w:rPr>
              <w:t>Period ending</w:t>
            </w:r>
          </w:p>
        </w:tc>
        <w:tc>
          <w:tcPr>
            <w:tcW w:w="1701" w:type="dxa"/>
            <w:shd w:val="clear" w:color="auto" w:fill="1A2027"/>
          </w:tcPr>
          <w:p w14:paraId="5CEFD966" w14:textId="77777777" w:rsidR="00FC207D" w:rsidRDefault="00457720">
            <w:pPr>
              <w:spacing w:before="20" w:after="20"/>
            </w:pPr>
            <w:r>
              <w:rPr>
                <w:b/>
                <w:color w:val="FFFFFF"/>
                <w:sz w:val="17"/>
              </w:rPr>
              <w:t>Teja forecast</w:t>
            </w:r>
          </w:p>
        </w:tc>
        <w:tc>
          <w:tcPr>
            <w:tcW w:w="2041" w:type="dxa"/>
            <w:shd w:val="clear" w:color="auto" w:fill="1A2027"/>
          </w:tcPr>
          <w:p w14:paraId="78740454" w14:textId="77777777" w:rsidR="00FC207D" w:rsidRDefault="00457720">
            <w:pPr>
              <w:spacing w:before="20" w:after="20"/>
            </w:pPr>
            <w:r>
              <w:rPr>
                <w:b/>
                <w:color w:val="FFFFFF"/>
                <w:sz w:val="17"/>
              </w:rPr>
              <w:t>Teja 95% range</w:t>
            </w:r>
          </w:p>
        </w:tc>
        <w:tc>
          <w:tcPr>
            <w:tcW w:w="1814" w:type="dxa"/>
            <w:shd w:val="clear" w:color="auto" w:fill="1A2027"/>
          </w:tcPr>
          <w:p w14:paraId="15D70866" w14:textId="77777777" w:rsidR="00FC207D" w:rsidRDefault="00457720">
            <w:pPr>
              <w:spacing w:before="20" w:after="20"/>
            </w:pPr>
            <w:r>
              <w:rPr>
                <w:b/>
                <w:color w:val="FFFFFF"/>
                <w:sz w:val="17"/>
              </w:rPr>
              <w:t>LCA 334 forecast</w:t>
            </w:r>
          </w:p>
        </w:tc>
        <w:tc>
          <w:tcPr>
            <w:tcW w:w="2041" w:type="dxa"/>
            <w:shd w:val="clear" w:color="auto" w:fill="1A2027"/>
          </w:tcPr>
          <w:p w14:paraId="7569EA86" w14:textId="77777777" w:rsidR="00FC207D" w:rsidRDefault="00457720">
            <w:pPr>
              <w:spacing w:before="20" w:after="20"/>
            </w:pPr>
            <w:r>
              <w:rPr>
                <w:b/>
                <w:color w:val="FFFFFF"/>
                <w:sz w:val="17"/>
              </w:rPr>
              <w:t>LCA 334 95% range</w:t>
            </w:r>
          </w:p>
        </w:tc>
      </w:tr>
      <w:tr w:rsidR="00FC207D" w14:paraId="41794B98" w14:textId="77777777">
        <w:trPr>
          <w:jc w:val="center"/>
        </w:trPr>
        <w:tc>
          <w:tcPr>
            <w:tcW w:w="1814" w:type="dxa"/>
          </w:tcPr>
          <w:p w14:paraId="532A7B0F" w14:textId="77777777" w:rsidR="00FC207D" w:rsidRDefault="00457720">
            <w:pPr>
              <w:spacing w:before="20" w:after="20"/>
            </w:pPr>
            <w:r>
              <w:rPr>
                <w:b/>
                <w:sz w:val="17"/>
              </w:rPr>
              <w:t>31 Aug 2026</w:t>
            </w:r>
          </w:p>
        </w:tc>
        <w:tc>
          <w:tcPr>
            <w:tcW w:w="1701" w:type="dxa"/>
          </w:tcPr>
          <w:p w14:paraId="1FBFC24C" w14:textId="77777777" w:rsidR="00FC207D" w:rsidRDefault="00457720">
            <w:pPr>
              <w:spacing w:before="20" w:after="20"/>
            </w:pPr>
            <w:r>
              <w:rPr>
                <w:sz w:val="17"/>
              </w:rPr>
              <w:t>22,873  (+9%)</w:t>
            </w:r>
          </w:p>
        </w:tc>
        <w:tc>
          <w:tcPr>
            <w:tcW w:w="2041" w:type="dxa"/>
          </w:tcPr>
          <w:p w14:paraId="1A8D9AE7" w14:textId="77777777" w:rsidR="00FC207D" w:rsidRDefault="00457720">
            <w:pPr>
              <w:spacing w:before="20" w:after="20"/>
            </w:pPr>
            <w:r>
              <w:rPr>
                <w:sz w:val="17"/>
              </w:rPr>
              <w:t>20,277 – 25,469</w:t>
            </w:r>
          </w:p>
        </w:tc>
        <w:tc>
          <w:tcPr>
            <w:tcW w:w="1814" w:type="dxa"/>
          </w:tcPr>
          <w:p w14:paraId="457C59B9" w14:textId="77777777" w:rsidR="00FC207D" w:rsidRDefault="00457720">
            <w:pPr>
              <w:spacing w:before="20" w:after="20"/>
            </w:pPr>
            <w:r>
              <w:rPr>
                <w:sz w:val="17"/>
              </w:rPr>
              <w:t>27,444  (+5%)</w:t>
            </w:r>
          </w:p>
        </w:tc>
        <w:tc>
          <w:tcPr>
            <w:tcW w:w="2041" w:type="dxa"/>
          </w:tcPr>
          <w:p w14:paraId="4E8AE4D3" w14:textId="77777777" w:rsidR="00FC207D" w:rsidRDefault="00457720">
            <w:pPr>
              <w:spacing w:before="20" w:after="20"/>
            </w:pPr>
            <w:r>
              <w:rPr>
                <w:sz w:val="17"/>
              </w:rPr>
              <w:t>23,972 – 30,917</w:t>
            </w:r>
          </w:p>
        </w:tc>
      </w:tr>
      <w:tr w:rsidR="00FC207D" w14:paraId="7F4EDEB1" w14:textId="77777777">
        <w:trPr>
          <w:jc w:val="center"/>
        </w:trPr>
        <w:tc>
          <w:tcPr>
            <w:tcW w:w="1814" w:type="dxa"/>
            <w:shd w:val="clear" w:color="auto" w:fill="EEF1F5"/>
          </w:tcPr>
          <w:p w14:paraId="6555D0FF" w14:textId="77777777" w:rsidR="00FC207D" w:rsidRDefault="00457720">
            <w:pPr>
              <w:spacing w:before="20" w:after="20"/>
            </w:pPr>
            <w:r>
              <w:rPr>
                <w:b/>
                <w:sz w:val="17"/>
              </w:rPr>
              <w:t>30 Sep 2026</w:t>
            </w:r>
          </w:p>
        </w:tc>
        <w:tc>
          <w:tcPr>
            <w:tcW w:w="1701" w:type="dxa"/>
            <w:shd w:val="clear" w:color="auto" w:fill="EEF1F5"/>
          </w:tcPr>
          <w:p w14:paraId="283FAB1E" w14:textId="77777777" w:rsidR="00FC207D" w:rsidRDefault="00457720">
            <w:pPr>
              <w:spacing w:before="20" w:after="20"/>
            </w:pPr>
            <w:r>
              <w:rPr>
                <w:sz w:val="17"/>
              </w:rPr>
              <w:t>23,682  (+13%)</w:t>
            </w:r>
          </w:p>
        </w:tc>
        <w:tc>
          <w:tcPr>
            <w:tcW w:w="2041" w:type="dxa"/>
            <w:shd w:val="clear" w:color="auto" w:fill="EEF1F5"/>
          </w:tcPr>
          <w:p w14:paraId="2D9467A1" w14:textId="77777777" w:rsidR="00FC207D" w:rsidRDefault="00457720">
            <w:pPr>
              <w:spacing w:before="20" w:after="20"/>
            </w:pPr>
            <w:r>
              <w:rPr>
                <w:sz w:val="17"/>
              </w:rPr>
              <w:t>19,754 – 27,610</w:t>
            </w:r>
          </w:p>
        </w:tc>
        <w:tc>
          <w:tcPr>
            <w:tcW w:w="1814" w:type="dxa"/>
            <w:shd w:val="clear" w:color="auto" w:fill="EEF1F5"/>
          </w:tcPr>
          <w:p w14:paraId="31585B23" w14:textId="77777777" w:rsidR="00FC207D" w:rsidRDefault="00457720">
            <w:pPr>
              <w:spacing w:before="20" w:after="20"/>
            </w:pPr>
            <w:r>
              <w:rPr>
                <w:sz w:val="17"/>
              </w:rPr>
              <w:t>28,975  (+11%)</w:t>
            </w:r>
          </w:p>
        </w:tc>
        <w:tc>
          <w:tcPr>
            <w:tcW w:w="2041" w:type="dxa"/>
            <w:shd w:val="clear" w:color="auto" w:fill="EEF1F5"/>
          </w:tcPr>
          <w:p w14:paraId="25AD2AC7" w14:textId="77777777" w:rsidR="00FC207D" w:rsidRDefault="00457720">
            <w:pPr>
              <w:spacing w:before="20" w:after="20"/>
            </w:pPr>
            <w:r>
              <w:rPr>
                <w:sz w:val="17"/>
              </w:rPr>
              <w:t>25,022 – 32,927</w:t>
            </w:r>
          </w:p>
        </w:tc>
      </w:tr>
      <w:tr w:rsidR="00FC207D" w14:paraId="00FB49C1" w14:textId="77777777">
        <w:trPr>
          <w:jc w:val="center"/>
        </w:trPr>
        <w:tc>
          <w:tcPr>
            <w:tcW w:w="1814" w:type="dxa"/>
          </w:tcPr>
          <w:p w14:paraId="0FC23AAB" w14:textId="77777777" w:rsidR="00FC207D" w:rsidRDefault="00457720">
            <w:pPr>
              <w:spacing w:before="20" w:after="20"/>
            </w:pPr>
            <w:r>
              <w:rPr>
                <w:b/>
                <w:sz w:val="17"/>
              </w:rPr>
              <w:t>31 Oct 2026</w:t>
            </w:r>
          </w:p>
        </w:tc>
        <w:tc>
          <w:tcPr>
            <w:tcW w:w="1701" w:type="dxa"/>
          </w:tcPr>
          <w:p w14:paraId="29516A18" w14:textId="77777777" w:rsidR="00FC207D" w:rsidRDefault="00457720">
            <w:pPr>
              <w:spacing w:before="20" w:after="20"/>
            </w:pPr>
            <w:r>
              <w:rPr>
                <w:sz w:val="17"/>
              </w:rPr>
              <w:t>24,257  (+16%)</w:t>
            </w:r>
          </w:p>
        </w:tc>
        <w:tc>
          <w:tcPr>
            <w:tcW w:w="2041" w:type="dxa"/>
          </w:tcPr>
          <w:p w14:paraId="335FE87F" w14:textId="77777777" w:rsidR="00FC207D" w:rsidRDefault="00457720">
            <w:pPr>
              <w:spacing w:before="20" w:after="20"/>
            </w:pPr>
            <w:r>
              <w:rPr>
                <w:sz w:val="17"/>
              </w:rPr>
              <w:t>18,638 – 29,875</w:t>
            </w:r>
          </w:p>
        </w:tc>
        <w:tc>
          <w:tcPr>
            <w:tcW w:w="1814" w:type="dxa"/>
          </w:tcPr>
          <w:p w14:paraId="01671872" w14:textId="77777777" w:rsidR="00FC207D" w:rsidRDefault="00457720">
            <w:pPr>
              <w:spacing w:before="20" w:after="20"/>
            </w:pPr>
            <w:r>
              <w:rPr>
                <w:sz w:val="17"/>
              </w:rPr>
              <w:t>29,623  (+14%)</w:t>
            </w:r>
          </w:p>
        </w:tc>
        <w:tc>
          <w:tcPr>
            <w:tcW w:w="2041" w:type="dxa"/>
          </w:tcPr>
          <w:p w14:paraId="6B218BC1" w14:textId="77777777" w:rsidR="00FC207D" w:rsidRDefault="00457720">
            <w:pPr>
              <w:spacing w:before="20" w:after="20"/>
            </w:pPr>
            <w:r>
              <w:rPr>
                <w:sz w:val="17"/>
              </w:rPr>
              <w:t>24,038 – 35,207</w:t>
            </w:r>
          </w:p>
        </w:tc>
      </w:tr>
      <w:tr w:rsidR="00FC207D" w14:paraId="42DD7F7B" w14:textId="77777777">
        <w:trPr>
          <w:jc w:val="center"/>
        </w:trPr>
        <w:tc>
          <w:tcPr>
            <w:tcW w:w="1814" w:type="dxa"/>
            <w:shd w:val="clear" w:color="auto" w:fill="EEF1F5"/>
          </w:tcPr>
          <w:p w14:paraId="434919A6" w14:textId="77777777" w:rsidR="00FC207D" w:rsidRDefault="00457720">
            <w:pPr>
              <w:spacing w:before="20" w:after="20"/>
            </w:pPr>
            <w:r>
              <w:rPr>
                <w:b/>
                <w:sz w:val="17"/>
              </w:rPr>
              <w:t>30 Nov 2026</w:t>
            </w:r>
          </w:p>
        </w:tc>
        <w:tc>
          <w:tcPr>
            <w:tcW w:w="1701" w:type="dxa"/>
            <w:shd w:val="clear" w:color="auto" w:fill="EEF1F5"/>
          </w:tcPr>
          <w:p w14:paraId="6669D968" w14:textId="77777777" w:rsidR="00FC207D" w:rsidRDefault="00457720">
            <w:pPr>
              <w:spacing w:before="20" w:after="20"/>
            </w:pPr>
            <w:r>
              <w:rPr>
                <w:sz w:val="17"/>
              </w:rPr>
              <w:t>25,050  (+19%)</w:t>
            </w:r>
          </w:p>
        </w:tc>
        <w:tc>
          <w:tcPr>
            <w:tcW w:w="2041" w:type="dxa"/>
            <w:shd w:val="clear" w:color="auto" w:fill="EEF1F5"/>
          </w:tcPr>
          <w:p w14:paraId="05C669DD" w14:textId="77777777" w:rsidR="00FC207D" w:rsidRDefault="00457720">
            <w:pPr>
              <w:spacing w:before="20" w:after="20"/>
            </w:pPr>
            <w:r>
              <w:rPr>
                <w:sz w:val="17"/>
              </w:rPr>
              <w:t>19,627 – 30,473</w:t>
            </w:r>
          </w:p>
        </w:tc>
        <w:tc>
          <w:tcPr>
            <w:tcW w:w="1814" w:type="dxa"/>
            <w:shd w:val="clear" w:color="auto" w:fill="EEF1F5"/>
          </w:tcPr>
          <w:p w14:paraId="27D7F929" w14:textId="77777777" w:rsidR="00FC207D" w:rsidRDefault="00457720">
            <w:pPr>
              <w:spacing w:before="20" w:after="20"/>
            </w:pPr>
            <w:r>
              <w:rPr>
                <w:sz w:val="17"/>
              </w:rPr>
              <w:t>30,652  (+17%)</w:t>
            </w:r>
          </w:p>
        </w:tc>
        <w:tc>
          <w:tcPr>
            <w:tcW w:w="2041" w:type="dxa"/>
            <w:shd w:val="clear" w:color="auto" w:fill="EEF1F5"/>
          </w:tcPr>
          <w:p w14:paraId="237E6460" w14:textId="77777777" w:rsidR="00FC207D" w:rsidRDefault="00457720">
            <w:pPr>
              <w:spacing w:before="20" w:after="20"/>
            </w:pPr>
            <w:r>
              <w:rPr>
                <w:sz w:val="17"/>
              </w:rPr>
              <w:t>24,049 – 37,256</w:t>
            </w:r>
          </w:p>
        </w:tc>
      </w:tr>
      <w:tr w:rsidR="00FC207D" w14:paraId="27793698" w14:textId="77777777">
        <w:trPr>
          <w:jc w:val="center"/>
        </w:trPr>
        <w:tc>
          <w:tcPr>
            <w:tcW w:w="1814" w:type="dxa"/>
          </w:tcPr>
          <w:p w14:paraId="46706BE6" w14:textId="77777777" w:rsidR="00FC207D" w:rsidRDefault="00457720">
            <w:pPr>
              <w:spacing w:before="20" w:after="20"/>
            </w:pPr>
            <w:r>
              <w:rPr>
                <w:b/>
                <w:sz w:val="17"/>
              </w:rPr>
              <w:t>31 Dec 2026</w:t>
            </w:r>
          </w:p>
        </w:tc>
        <w:tc>
          <w:tcPr>
            <w:tcW w:w="1701" w:type="dxa"/>
          </w:tcPr>
          <w:p w14:paraId="61E824B4" w14:textId="77777777" w:rsidR="00FC207D" w:rsidRDefault="00457720">
            <w:pPr>
              <w:spacing w:before="20" w:after="20"/>
            </w:pPr>
            <w:r>
              <w:rPr>
                <w:sz w:val="17"/>
              </w:rPr>
              <w:t>25,889  (+23%)</w:t>
            </w:r>
          </w:p>
        </w:tc>
        <w:tc>
          <w:tcPr>
            <w:tcW w:w="2041" w:type="dxa"/>
          </w:tcPr>
          <w:p w14:paraId="21D4F88A" w14:textId="77777777" w:rsidR="00FC207D" w:rsidRDefault="00457720">
            <w:pPr>
              <w:spacing w:before="20" w:after="20"/>
            </w:pPr>
            <w:r>
              <w:rPr>
                <w:sz w:val="17"/>
              </w:rPr>
              <w:t>19,546 – 32,233</w:t>
            </w:r>
          </w:p>
        </w:tc>
        <w:tc>
          <w:tcPr>
            <w:tcW w:w="1814" w:type="dxa"/>
          </w:tcPr>
          <w:p w14:paraId="024F963C" w14:textId="77777777" w:rsidR="00FC207D" w:rsidRDefault="00457720">
            <w:pPr>
              <w:spacing w:before="20" w:after="20"/>
            </w:pPr>
            <w:r>
              <w:rPr>
                <w:sz w:val="17"/>
              </w:rPr>
              <w:t>31,526  (+21%)</w:t>
            </w:r>
          </w:p>
        </w:tc>
        <w:tc>
          <w:tcPr>
            <w:tcW w:w="2041" w:type="dxa"/>
          </w:tcPr>
          <w:p w14:paraId="424335F1" w14:textId="77777777" w:rsidR="00FC207D" w:rsidRDefault="00457720">
            <w:pPr>
              <w:spacing w:before="20" w:after="20"/>
            </w:pPr>
            <w:r>
              <w:rPr>
                <w:sz w:val="17"/>
              </w:rPr>
              <w:t>23,888 – 39,164</w:t>
            </w:r>
          </w:p>
        </w:tc>
      </w:tr>
      <w:tr w:rsidR="00FC207D" w14:paraId="491F0295" w14:textId="77777777">
        <w:trPr>
          <w:jc w:val="center"/>
        </w:trPr>
        <w:tc>
          <w:tcPr>
            <w:tcW w:w="1814" w:type="dxa"/>
            <w:shd w:val="clear" w:color="auto" w:fill="EEF1F5"/>
          </w:tcPr>
          <w:p w14:paraId="7030401B" w14:textId="77777777" w:rsidR="00FC207D" w:rsidRDefault="00457720">
            <w:pPr>
              <w:spacing w:before="20" w:after="20"/>
            </w:pPr>
            <w:r>
              <w:rPr>
                <w:b/>
                <w:sz w:val="17"/>
              </w:rPr>
              <w:t>31 Jan 2027</w:t>
            </w:r>
          </w:p>
        </w:tc>
        <w:tc>
          <w:tcPr>
            <w:tcW w:w="1701" w:type="dxa"/>
            <w:shd w:val="clear" w:color="auto" w:fill="EEF1F5"/>
          </w:tcPr>
          <w:p w14:paraId="06183250" w14:textId="77777777" w:rsidR="00FC207D" w:rsidRDefault="00457720">
            <w:pPr>
              <w:spacing w:before="20" w:after="20"/>
            </w:pPr>
            <w:r>
              <w:rPr>
                <w:sz w:val="17"/>
              </w:rPr>
              <w:t>26,867  (+28%)</w:t>
            </w:r>
          </w:p>
        </w:tc>
        <w:tc>
          <w:tcPr>
            <w:tcW w:w="2041" w:type="dxa"/>
            <w:shd w:val="clear" w:color="auto" w:fill="EEF1F5"/>
          </w:tcPr>
          <w:p w14:paraId="694EED1E" w14:textId="77777777" w:rsidR="00FC207D" w:rsidRDefault="00457720">
            <w:pPr>
              <w:spacing w:before="20" w:after="20"/>
            </w:pPr>
            <w:r>
              <w:rPr>
                <w:sz w:val="17"/>
              </w:rPr>
              <w:t>19,688 – 34,045</w:t>
            </w:r>
          </w:p>
        </w:tc>
        <w:tc>
          <w:tcPr>
            <w:tcW w:w="1814" w:type="dxa"/>
            <w:shd w:val="clear" w:color="auto" w:fill="EEF1F5"/>
          </w:tcPr>
          <w:p w14:paraId="13EB91BC" w14:textId="77777777" w:rsidR="00FC207D" w:rsidRDefault="00457720">
            <w:pPr>
              <w:spacing w:before="20" w:after="20"/>
            </w:pPr>
            <w:r>
              <w:rPr>
                <w:sz w:val="17"/>
              </w:rPr>
              <w:t>32,472  (+24%)</w:t>
            </w:r>
          </w:p>
        </w:tc>
        <w:tc>
          <w:tcPr>
            <w:tcW w:w="2041" w:type="dxa"/>
            <w:shd w:val="clear" w:color="auto" w:fill="EEF1F5"/>
          </w:tcPr>
          <w:p w14:paraId="4F429A1C" w14:textId="77777777" w:rsidR="00FC207D" w:rsidRDefault="00457720">
            <w:pPr>
              <w:spacing w:before="20" w:after="20"/>
            </w:pPr>
            <w:r>
              <w:rPr>
                <w:sz w:val="17"/>
              </w:rPr>
              <w:t>22,761 – 42,184</w:t>
            </w:r>
          </w:p>
        </w:tc>
      </w:tr>
    </w:tbl>
    <w:p w14:paraId="45B2E2DF" w14:textId="77777777" w:rsidR="00FC207D" w:rsidRDefault="00FC207D">
      <w:pPr>
        <w:spacing w:after="80"/>
      </w:pPr>
    </w:p>
    <w:p w14:paraId="7AB66F8E" w14:textId="77777777" w:rsidR="00FC207D" w:rsidRDefault="00457720">
      <w:r>
        <w:rPr>
          <w:i/>
          <w:color w:val="5C6B7A"/>
          <w:sz w:val="18"/>
        </w:rPr>
        <w:t>Percentages are against the latest observed monthly average — Teja 20,996 and LCA 334 26,089, both for the part-month to 20 July 2026.</w:t>
      </w:r>
    </w:p>
    <w:p w14:paraId="43E2A607" w14:textId="77777777" w:rsidR="00FC207D" w:rsidRDefault="00457720">
      <w:pPr>
        <w:pStyle w:val="Heading3"/>
      </w:pPr>
      <w:r>
        <w:t>The model selection rationale</w:t>
      </w:r>
    </w:p>
    <w:p w14:paraId="690835BB" w14:textId="77777777" w:rsidR="00FC207D" w:rsidRDefault="00457720">
      <w:pPr>
        <w:spacing w:after="60"/>
      </w:pPr>
      <w:r>
        <w:rPr>
          <w:b/>
          <w:color w:val="C2410C"/>
          <w:sz w:val="20"/>
        </w:rPr>
        <w:t xml:space="preserve">What it shows  </w:t>
      </w:r>
      <w:r>
        <w:t>A written explanation of why this model won, in plain language.</w:t>
      </w:r>
    </w:p>
    <w:p w14:paraId="7B0222F1" w14:textId="77777777" w:rsidR="00FC207D" w:rsidRDefault="00457720">
      <w:pPr>
        <w:spacing w:after="60"/>
      </w:pPr>
      <w:r>
        <w:rPr>
          <w:b/>
          <w:color w:val="C2410C"/>
          <w:sz w:val="20"/>
        </w:rPr>
        <w:t xml:space="preserve">How to read it  </w:t>
      </w:r>
      <w:r>
        <w:t>It names the winner, the metric, the margin over the runner-up, and warns you if the margin is too narrow to be meaningful.</w:t>
      </w:r>
    </w:p>
    <w:p w14:paraId="1C0379DB" w14:textId="77777777" w:rsidR="00FC207D" w:rsidRDefault="00457720">
      <w:pPr>
        <w:spacing w:after="60"/>
      </w:pPr>
      <w:r>
        <w:rPr>
          <w:b/>
          <w:color w:val="C2410C"/>
          <w:sz w:val="20"/>
        </w:rPr>
        <w:t xml:space="preserve">What it says now  </w:t>
      </w:r>
      <w:r>
        <w:t>For Teja: VECM won on lowest RMSE (1,867) across five folds and 30 held-out points; the next best was 18.8% worse; it called direction correctly 93% of the time. For LCA 334 the margin over ARIMA was 34%.</w:t>
      </w:r>
    </w:p>
    <w:p w14:paraId="4C66753D" w14:textId="77777777" w:rsidR="00FC207D" w:rsidRDefault="00457720">
      <w:pPr>
        <w:spacing w:after="60"/>
      </w:pPr>
      <w:r>
        <w:rPr>
          <w:b/>
          <w:color w:val="C2410C"/>
          <w:sz w:val="20"/>
        </w:rPr>
        <w:t xml:space="preserve">What to do with it  </w:t>
      </w:r>
      <w:r>
        <w:t>Read this before quoting any forecast. It is where the dashboard tells you how much to trust the number.</w:t>
      </w:r>
    </w:p>
    <w:p w14:paraId="11AC8539" w14:textId="77777777" w:rsidR="00FC207D" w:rsidRDefault="00FC207D">
      <w:pPr>
        <w:spacing w:after="40"/>
      </w:pPr>
    </w:p>
    <w:p w14:paraId="227F89F1" w14:textId="77777777" w:rsidR="00FC207D" w:rsidRDefault="00457720">
      <w:pPr>
        <w:pStyle w:val="Heading3"/>
      </w:pPr>
      <w:r>
        <w:t>Driver attribution and VIF</w:t>
      </w:r>
    </w:p>
    <w:p w14:paraId="11DB98CD" w14:textId="77777777" w:rsidR="00FC207D" w:rsidRDefault="00457720">
      <w:pPr>
        <w:spacing w:after="60"/>
      </w:pPr>
      <w:r>
        <w:rPr>
          <w:b/>
          <w:color w:val="C2410C"/>
          <w:sz w:val="20"/>
        </w:rPr>
        <w:t xml:space="preserve">What it shows  </w:t>
      </w:r>
      <w:r>
        <w:t>A regression of price changes on the workbook's available drivers.</w:t>
      </w:r>
    </w:p>
    <w:p w14:paraId="3081B76E" w14:textId="77777777" w:rsidR="00FC207D" w:rsidRDefault="00457720">
      <w:pPr>
        <w:spacing w:after="60"/>
      </w:pPr>
      <w:r>
        <w:rPr>
          <w:b/>
          <w:color w:val="C2410C"/>
          <w:sz w:val="20"/>
        </w:rPr>
        <w:lastRenderedPageBreak/>
        <w:t xml:space="preserve">How to read it  </w:t>
      </w:r>
      <w:r>
        <w:t>Standardised betas let you rank drivers measured in different units. Check VIF before reading any single coefficient.</w:t>
      </w:r>
    </w:p>
    <w:p w14:paraId="7B66D152" w14:textId="77777777" w:rsidR="00FC207D" w:rsidRDefault="00457720">
      <w:pPr>
        <w:spacing w:after="60"/>
      </w:pPr>
      <w:r>
        <w:rPr>
          <w:b/>
          <w:color w:val="C2410C"/>
          <w:sz w:val="20"/>
        </w:rPr>
        <w:t xml:space="preserve">What it says now  </w:t>
      </w:r>
      <w:r>
        <w:t>For Teja monthly: USD/INR is significant and positive (beta +0.57, p&lt;0.0001), Guntur offtake significant and negative (beta −0.57, p=0.007), Guntur arrivals significant and positive (beta +0.46, p=0.022), exports not significant (p=0.803). Together they explain 40% of month-to-month movement.</w:t>
      </w:r>
    </w:p>
    <w:p w14:paraId="3279393E" w14:textId="77777777" w:rsidR="00FC207D" w:rsidRDefault="00457720">
      <w:pPr>
        <w:spacing w:after="60"/>
      </w:pPr>
      <w:r>
        <w:rPr>
          <w:b/>
          <w:color w:val="C2410C"/>
          <w:sz w:val="20"/>
        </w:rPr>
        <w:t xml:space="preserve">What to do with it  </w:t>
      </w:r>
      <w:r>
        <w:t>Useful for understanding, but read the note below before drawing conclusions about arrivals.</w:t>
      </w:r>
    </w:p>
    <w:p w14:paraId="6F95BC23"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134FF357" w14:textId="77777777">
        <w:trPr>
          <w:jc w:val="center"/>
        </w:trPr>
        <w:tc>
          <w:tcPr>
            <w:tcW w:w="9411" w:type="dxa"/>
            <w:tcBorders>
              <w:left w:val="single" w:sz="18" w:space="0" w:color="B91C1C"/>
            </w:tcBorders>
            <w:shd w:val="clear" w:color="auto" w:fill="FFF6E5"/>
          </w:tcPr>
          <w:p w14:paraId="5E5F88E4" w14:textId="77777777" w:rsidR="00FC207D" w:rsidRDefault="00457720">
            <w:pPr>
              <w:spacing w:after="40"/>
            </w:pPr>
            <w:r>
              <w:rPr>
                <w:b/>
                <w:color w:val="B91C1C"/>
                <w:sz w:val="20"/>
              </w:rPr>
              <w:t>How to read the arrivals coefficient</w:t>
            </w:r>
          </w:p>
          <w:p w14:paraId="12138E8A" w14:textId="77777777" w:rsidR="00FC207D" w:rsidRDefault="00457720">
            <w:pPr>
              <w:spacing w:after="0"/>
            </w:pPr>
            <w:r>
              <w:rPr>
                <w:sz w:val="20"/>
              </w:rPr>
              <w:t>The arrivals coefficient here is positive — price rising with arrivals — which contradicts both supply logic and the negative elasticity on Page 4. The reason is collinearity: arrivals and offtake carry much the same information (VIF 6.2 and 6.5), and with offtake held constant, higher arrivals mostly means a busier market rather than a glut. Do not read this coefficient as “more arrivals raise prices”. The cleaner estimate is the elasticity on Page 4, which is small and negative.</w:t>
            </w:r>
          </w:p>
        </w:tc>
      </w:tr>
    </w:tbl>
    <w:p w14:paraId="7D3714B6" w14:textId="77777777" w:rsidR="00FC207D" w:rsidRDefault="00FC207D">
      <w:pPr>
        <w:spacing w:after="80"/>
      </w:pPr>
    </w:p>
    <w:p w14:paraId="45228E97" w14:textId="77777777" w:rsidR="00FC207D" w:rsidRDefault="00457720">
      <w:pPr>
        <w:pStyle w:val="Heading3"/>
      </w:pPr>
      <w:r>
        <w:t>Weekly forecast — and why it disagrees</w:t>
      </w:r>
    </w:p>
    <w:p w14:paraId="59C51617" w14:textId="77777777" w:rsidR="00FC207D" w:rsidRDefault="00457720">
      <w:pPr>
        <w:spacing w:after="60"/>
      </w:pPr>
      <w:r>
        <w:rPr>
          <w:b/>
          <w:color w:val="C2410C"/>
          <w:sz w:val="20"/>
        </w:rPr>
        <w:t xml:space="preserve">What it shows  </w:t>
      </w:r>
      <w:r>
        <w:t>The same sweep run on weekly data with a 26-week horizon.</w:t>
      </w:r>
    </w:p>
    <w:p w14:paraId="78ED4505" w14:textId="77777777" w:rsidR="00FC207D" w:rsidRDefault="00457720">
      <w:pPr>
        <w:spacing w:after="60"/>
      </w:pPr>
      <w:r>
        <w:rPr>
          <w:b/>
          <w:color w:val="C2410C"/>
          <w:sz w:val="20"/>
        </w:rPr>
        <w:t xml:space="preserve">How to read it  </w:t>
      </w:r>
      <w:r>
        <w:t>Compare its scores with the monthly run before deciding which to believe.</w:t>
      </w:r>
    </w:p>
    <w:p w14:paraId="417DDAC2" w14:textId="77777777" w:rsidR="00FC207D" w:rsidRDefault="00457720">
      <w:pPr>
        <w:spacing w:after="60"/>
      </w:pPr>
      <w:r>
        <w:rPr>
          <w:b/>
          <w:color w:val="C2410C"/>
          <w:sz w:val="20"/>
        </w:rPr>
        <w:t xml:space="preserve">What it says now  </w:t>
      </w:r>
      <w:r>
        <w:t>The weekly winner is SARIMAX with an RMSE of 3,237, a MAPE of 14.9% and an R² of −0.11, projecting Teja at 20,813 by late January — essentially unchanged. SARIMA is skipped because a 52-week seasonal cycle needs more history than 589 observations can support.</w:t>
      </w:r>
    </w:p>
    <w:p w14:paraId="143E2DC1" w14:textId="77777777" w:rsidR="00FC207D" w:rsidRDefault="00457720">
      <w:pPr>
        <w:spacing w:after="60"/>
      </w:pPr>
      <w:r>
        <w:rPr>
          <w:b/>
          <w:color w:val="C2410C"/>
          <w:sz w:val="20"/>
        </w:rPr>
        <w:t xml:space="preserve">What to do with it  </w:t>
      </w:r>
      <w:r>
        <w:t>Note the negative R²: over the test windows a flat line would have beaten this model. That is why the monthly view should carry more weight for a six-month decision. But the disagreement is real information — the near term is genuinely uncertain even if the six-month direction is not.</w:t>
      </w:r>
    </w:p>
    <w:p w14:paraId="306E0075"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054AF3D8" w14:textId="77777777">
        <w:trPr>
          <w:jc w:val="center"/>
        </w:trPr>
        <w:tc>
          <w:tcPr>
            <w:tcW w:w="9411" w:type="dxa"/>
            <w:tcBorders>
              <w:left w:val="single" w:sz="18" w:space="0" w:color="C2410C"/>
            </w:tcBorders>
            <w:shd w:val="clear" w:color="auto" w:fill="FDF1E7"/>
          </w:tcPr>
          <w:p w14:paraId="07145CF4" w14:textId="77777777" w:rsidR="00FC207D" w:rsidRDefault="00457720">
            <w:pPr>
              <w:spacing w:after="40"/>
            </w:pPr>
            <w:r>
              <w:rPr>
                <w:b/>
                <w:color w:val="C2410C"/>
                <w:sz w:val="20"/>
              </w:rPr>
              <w:t>Conclusion for Page 10</w:t>
            </w:r>
          </w:p>
          <w:p w14:paraId="333EA4F4" w14:textId="77777777" w:rsidR="00FC207D" w:rsidRDefault="00457720">
            <w:pPr>
              <w:spacing w:after="0"/>
            </w:pPr>
            <w:r>
              <w:rPr>
                <w:sz w:val="20"/>
              </w:rPr>
              <w:t>The best model is a VECM that exploits the long-run relationship between varieties, and it has a good record: 8.2% average error and 93% correct on direction. It projects Teja up 28% and LCA 334 up 24% over six months. Two things temper that: the model is extrapolating a rally in which prices already doubled, and the weekly model — which backtests poorly — says flat. Trade the direction, size for the range, and revisit when the next month of data lands.</w:t>
            </w:r>
          </w:p>
        </w:tc>
      </w:tr>
    </w:tbl>
    <w:p w14:paraId="277958B9" w14:textId="77777777" w:rsidR="00FC207D" w:rsidRDefault="00FC207D">
      <w:pPr>
        <w:spacing w:after="80"/>
      </w:pPr>
    </w:p>
    <w:p w14:paraId="754D6DF9" w14:textId="77777777" w:rsidR="00FC207D" w:rsidRDefault="00457720">
      <w:pPr>
        <w:pStyle w:val="Heading2"/>
      </w:pPr>
      <w:bookmarkStart w:id="20" w:name="_Toc236139952"/>
      <w:r>
        <w:t>Page 11 — Automated Insights</w:t>
      </w:r>
      <w:bookmarkEnd w:id="20"/>
    </w:p>
    <w:p w14:paraId="3680CF36" w14:textId="77777777" w:rsidR="00FC207D" w:rsidRDefault="00457720">
      <w:pPr>
        <w:spacing w:after="60"/>
      </w:pPr>
      <w:r>
        <w:rPr>
          <w:b/>
          <w:color w:val="C2410C"/>
          <w:sz w:val="20"/>
        </w:rPr>
        <w:t xml:space="preserve">Purpose  </w:t>
      </w:r>
      <w:r>
        <w:t>Every finding the workbook supports, written out in sentences and ranked by how strong the evidence is.</w:t>
      </w:r>
    </w:p>
    <w:p w14:paraId="069A17DF" w14:textId="77777777" w:rsidR="00FC207D" w:rsidRDefault="00457720">
      <w:pPr>
        <w:pStyle w:val="Heading3"/>
      </w:pPr>
      <w:r>
        <w:t>The insight cards</w:t>
      </w:r>
    </w:p>
    <w:p w14:paraId="609283E7" w14:textId="77777777" w:rsidR="00FC207D" w:rsidRDefault="00457720">
      <w:pPr>
        <w:spacing w:after="60"/>
      </w:pPr>
      <w:r>
        <w:rPr>
          <w:b/>
          <w:color w:val="C2410C"/>
          <w:sz w:val="20"/>
        </w:rPr>
        <w:t xml:space="preserve">What it shows  </w:t>
      </w:r>
      <w:r>
        <w:t>One card per finding, with a strength badge, the headline, the supporting statistic, the source sheet, and an expandable evidence block.</w:t>
      </w:r>
    </w:p>
    <w:p w14:paraId="6FDB101A" w14:textId="77777777" w:rsidR="00FC207D" w:rsidRDefault="00457720">
      <w:pPr>
        <w:spacing w:after="60"/>
      </w:pPr>
      <w:r>
        <w:rPr>
          <w:b/>
          <w:color w:val="C2410C"/>
          <w:sz w:val="20"/>
        </w:rPr>
        <w:t xml:space="preserve">How to read it  </w:t>
      </w:r>
      <w:r>
        <w:t>Filter by strength or category using the two dropdowns. STRONG findings are backed by significant tests on adequate samples; DATA GAP findings record what cannot be answered.</w:t>
      </w:r>
    </w:p>
    <w:p w14:paraId="4205B7D2" w14:textId="77777777" w:rsidR="00FC207D" w:rsidRDefault="00457720">
      <w:pPr>
        <w:spacing w:after="60"/>
      </w:pPr>
      <w:r>
        <w:rPr>
          <w:b/>
          <w:color w:val="C2410C"/>
          <w:sz w:val="20"/>
        </w:rPr>
        <w:t xml:space="preserve">What it says now  </w:t>
      </w:r>
      <w:r>
        <w:t>Thirty-four findings in total: 6 strong, 11 moderate, 5 weak and 12 data gaps.</w:t>
      </w:r>
    </w:p>
    <w:p w14:paraId="7069CF39" w14:textId="77777777" w:rsidR="00FC207D" w:rsidRDefault="00457720">
      <w:pPr>
        <w:spacing w:after="60"/>
      </w:pPr>
      <w:r>
        <w:rPr>
          <w:b/>
          <w:color w:val="C2410C"/>
          <w:sz w:val="20"/>
        </w:rPr>
        <w:t xml:space="preserve">What to do with it  </w:t>
      </w:r>
      <w:r>
        <w:t>Read the six strong findings first, then the twelve data gaps. Skip straight to Data gaps only before promising an analysis to anyone.</w:t>
      </w:r>
    </w:p>
    <w:p w14:paraId="263FB90A" w14:textId="77777777" w:rsidR="00FC207D" w:rsidRDefault="00FC207D">
      <w:pPr>
        <w:spacing w:after="40"/>
      </w:pPr>
    </w:p>
    <w:tbl>
      <w:tblPr>
        <w:tblStyle w:val="TableGrid"/>
        <w:tblW w:w="0" w:type="auto"/>
        <w:jc w:val="center"/>
        <w:tblLayout w:type="fixed"/>
        <w:tblLook w:val="04A0" w:firstRow="1" w:lastRow="0" w:firstColumn="1" w:lastColumn="0" w:noHBand="0" w:noVBand="1"/>
      </w:tblPr>
      <w:tblGrid>
        <w:gridCol w:w="1474"/>
        <w:gridCol w:w="907"/>
        <w:gridCol w:w="3628"/>
        <w:gridCol w:w="3402"/>
      </w:tblGrid>
      <w:tr w:rsidR="00FC207D" w14:paraId="5B0B6750" w14:textId="77777777">
        <w:trPr>
          <w:jc w:val="center"/>
        </w:trPr>
        <w:tc>
          <w:tcPr>
            <w:tcW w:w="1474" w:type="dxa"/>
            <w:shd w:val="clear" w:color="auto" w:fill="1A2027"/>
          </w:tcPr>
          <w:p w14:paraId="75AA8DDF" w14:textId="77777777" w:rsidR="00FC207D" w:rsidRDefault="00457720">
            <w:pPr>
              <w:spacing w:before="20" w:after="20"/>
            </w:pPr>
            <w:r>
              <w:rPr>
                <w:b/>
                <w:color w:val="FFFFFF"/>
                <w:sz w:val="18"/>
              </w:rPr>
              <w:lastRenderedPageBreak/>
              <w:t>Strength</w:t>
            </w:r>
          </w:p>
        </w:tc>
        <w:tc>
          <w:tcPr>
            <w:tcW w:w="907" w:type="dxa"/>
            <w:shd w:val="clear" w:color="auto" w:fill="1A2027"/>
          </w:tcPr>
          <w:p w14:paraId="2B118AAA" w14:textId="77777777" w:rsidR="00FC207D" w:rsidRDefault="00457720">
            <w:pPr>
              <w:spacing w:before="20" w:after="20"/>
            </w:pPr>
            <w:r>
              <w:rPr>
                <w:b/>
                <w:color w:val="FFFFFF"/>
                <w:sz w:val="18"/>
              </w:rPr>
              <w:t>Count</w:t>
            </w:r>
          </w:p>
        </w:tc>
        <w:tc>
          <w:tcPr>
            <w:tcW w:w="3628" w:type="dxa"/>
            <w:shd w:val="clear" w:color="auto" w:fill="1A2027"/>
          </w:tcPr>
          <w:p w14:paraId="5B016FE7" w14:textId="77777777" w:rsidR="00FC207D" w:rsidRDefault="00457720">
            <w:pPr>
              <w:spacing w:before="20" w:after="20"/>
            </w:pPr>
            <w:r>
              <w:rPr>
                <w:b/>
                <w:color w:val="FFFFFF"/>
                <w:sz w:val="18"/>
              </w:rPr>
              <w:t>What it means</w:t>
            </w:r>
          </w:p>
        </w:tc>
        <w:tc>
          <w:tcPr>
            <w:tcW w:w="3402" w:type="dxa"/>
            <w:shd w:val="clear" w:color="auto" w:fill="1A2027"/>
          </w:tcPr>
          <w:p w14:paraId="612ECA15" w14:textId="77777777" w:rsidR="00FC207D" w:rsidRDefault="00457720">
            <w:pPr>
              <w:spacing w:before="20" w:after="20"/>
            </w:pPr>
            <w:r>
              <w:rPr>
                <w:b/>
                <w:color w:val="FFFFFF"/>
                <w:sz w:val="18"/>
              </w:rPr>
              <w:t>How to use it</w:t>
            </w:r>
          </w:p>
        </w:tc>
      </w:tr>
      <w:tr w:rsidR="00FC207D" w14:paraId="4931B3E0" w14:textId="77777777">
        <w:trPr>
          <w:jc w:val="center"/>
        </w:trPr>
        <w:tc>
          <w:tcPr>
            <w:tcW w:w="1474" w:type="dxa"/>
          </w:tcPr>
          <w:p w14:paraId="5F87402D" w14:textId="77777777" w:rsidR="00FC207D" w:rsidRDefault="00457720">
            <w:pPr>
              <w:spacing w:before="20" w:after="20"/>
            </w:pPr>
            <w:r>
              <w:rPr>
                <w:b/>
                <w:sz w:val="18"/>
              </w:rPr>
              <w:t>STRONG</w:t>
            </w:r>
          </w:p>
        </w:tc>
        <w:tc>
          <w:tcPr>
            <w:tcW w:w="907" w:type="dxa"/>
          </w:tcPr>
          <w:p w14:paraId="62B5EF90" w14:textId="77777777" w:rsidR="00FC207D" w:rsidRDefault="00457720">
            <w:pPr>
              <w:spacing w:before="20" w:after="20"/>
            </w:pPr>
            <w:r>
              <w:rPr>
                <w:sz w:val="18"/>
              </w:rPr>
              <w:t>6</w:t>
            </w:r>
          </w:p>
        </w:tc>
        <w:tc>
          <w:tcPr>
            <w:tcW w:w="3628" w:type="dxa"/>
          </w:tcPr>
          <w:p w14:paraId="78B452C2" w14:textId="77777777" w:rsidR="00FC207D" w:rsidRDefault="00457720">
            <w:pPr>
              <w:spacing w:before="20" w:after="20"/>
            </w:pPr>
            <w:r>
              <w:rPr>
                <w:sz w:val="18"/>
              </w:rPr>
              <w:t>Significant test on an adequate sample.</w:t>
            </w:r>
          </w:p>
        </w:tc>
        <w:tc>
          <w:tcPr>
            <w:tcW w:w="3402" w:type="dxa"/>
          </w:tcPr>
          <w:p w14:paraId="38D7C873" w14:textId="77777777" w:rsidR="00FC207D" w:rsidRDefault="00457720">
            <w:pPr>
              <w:spacing w:before="20" w:after="20"/>
            </w:pPr>
            <w:r>
              <w:rPr>
                <w:sz w:val="18"/>
              </w:rPr>
              <w:t>Safe to state in a management pack.</w:t>
            </w:r>
          </w:p>
        </w:tc>
      </w:tr>
      <w:tr w:rsidR="00FC207D" w14:paraId="631E8E70" w14:textId="77777777">
        <w:trPr>
          <w:jc w:val="center"/>
        </w:trPr>
        <w:tc>
          <w:tcPr>
            <w:tcW w:w="1474" w:type="dxa"/>
            <w:shd w:val="clear" w:color="auto" w:fill="EEF1F5"/>
          </w:tcPr>
          <w:p w14:paraId="12CE78E3" w14:textId="77777777" w:rsidR="00FC207D" w:rsidRDefault="00457720">
            <w:pPr>
              <w:spacing w:before="20" w:after="20"/>
            </w:pPr>
            <w:r>
              <w:rPr>
                <w:b/>
                <w:sz w:val="18"/>
              </w:rPr>
              <w:t>MODERATE</w:t>
            </w:r>
          </w:p>
        </w:tc>
        <w:tc>
          <w:tcPr>
            <w:tcW w:w="907" w:type="dxa"/>
            <w:shd w:val="clear" w:color="auto" w:fill="EEF1F5"/>
          </w:tcPr>
          <w:p w14:paraId="16004E25" w14:textId="77777777" w:rsidR="00FC207D" w:rsidRDefault="00457720">
            <w:pPr>
              <w:spacing w:before="20" w:after="20"/>
            </w:pPr>
            <w:r>
              <w:rPr>
                <w:sz w:val="18"/>
              </w:rPr>
              <w:t>11</w:t>
            </w:r>
          </w:p>
        </w:tc>
        <w:tc>
          <w:tcPr>
            <w:tcW w:w="3628" w:type="dxa"/>
            <w:shd w:val="clear" w:color="auto" w:fill="EEF1F5"/>
          </w:tcPr>
          <w:p w14:paraId="24C2A554" w14:textId="77777777" w:rsidR="00FC207D" w:rsidRDefault="00457720">
            <w:pPr>
              <w:spacing w:before="20" w:after="20"/>
            </w:pPr>
            <w:r>
              <w:rPr>
                <w:sz w:val="18"/>
              </w:rPr>
              <w:t>Significant but with a caveat, or a smaller sample.</w:t>
            </w:r>
          </w:p>
        </w:tc>
        <w:tc>
          <w:tcPr>
            <w:tcW w:w="3402" w:type="dxa"/>
            <w:shd w:val="clear" w:color="auto" w:fill="EEF1F5"/>
          </w:tcPr>
          <w:p w14:paraId="5A4D50B8" w14:textId="77777777" w:rsidR="00FC207D" w:rsidRDefault="00457720">
            <w:pPr>
              <w:spacing w:before="20" w:after="20"/>
            </w:pPr>
            <w:r>
              <w:rPr>
                <w:sz w:val="18"/>
              </w:rPr>
              <w:t>State with the caveat attached.</w:t>
            </w:r>
          </w:p>
        </w:tc>
      </w:tr>
      <w:tr w:rsidR="00FC207D" w14:paraId="38C3D7D8" w14:textId="77777777">
        <w:trPr>
          <w:jc w:val="center"/>
        </w:trPr>
        <w:tc>
          <w:tcPr>
            <w:tcW w:w="1474" w:type="dxa"/>
          </w:tcPr>
          <w:p w14:paraId="264B5899" w14:textId="77777777" w:rsidR="00FC207D" w:rsidRDefault="00457720">
            <w:pPr>
              <w:spacing w:before="20" w:after="20"/>
            </w:pPr>
            <w:r>
              <w:rPr>
                <w:b/>
                <w:sz w:val="18"/>
              </w:rPr>
              <w:t>WEAK</w:t>
            </w:r>
          </w:p>
        </w:tc>
        <w:tc>
          <w:tcPr>
            <w:tcW w:w="907" w:type="dxa"/>
          </w:tcPr>
          <w:p w14:paraId="3392AD5D" w14:textId="77777777" w:rsidR="00FC207D" w:rsidRDefault="00457720">
            <w:pPr>
              <w:spacing w:before="20" w:after="20"/>
            </w:pPr>
            <w:r>
              <w:rPr>
                <w:sz w:val="18"/>
              </w:rPr>
              <w:t>5</w:t>
            </w:r>
          </w:p>
        </w:tc>
        <w:tc>
          <w:tcPr>
            <w:tcW w:w="3628" w:type="dxa"/>
          </w:tcPr>
          <w:p w14:paraId="1D11A314" w14:textId="77777777" w:rsidR="00FC207D" w:rsidRDefault="00457720">
            <w:pPr>
              <w:spacing w:before="20" w:after="20"/>
            </w:pPr>
            <w:r>
              <w:rPr>
                <w:sz w:val="18"/>
              </w:rPr>
              <w:t>Right direction, but fails significance or is tiny.</w:t>
            </w:r>
          </w:p>
        </w:tc>
        <w:tc>
          <w:tcPr>
            <w:tcW w:w="3402" w:type="dxa"/>
          </w:tcPr>
          <w:p w14:paraId="48A9E505" w14:textId="77777777" w:rsidR="00FC207D" w:rsidRDefault="00457720">
            <w:pPr>
              <w:spacing w:before="20" w:after="20"/>
            </w:pPr>
            <w:r>
              <w:rPr>
                <w:sz w:val="18"/>
              </w:rPr>
              <w:t>Mention only if asked; do not build on it.</w:t>
            </w:r>
          </w:p>
        </w:tc>
      </w:tr>
      <w:tr w:rsidR="00FC207D" w14:paraId="5FEFF211" w14:textId="77777777">
        <w:trPr>
          <w:jc w:val="center"/>
        </w:trPr>
        <w:tc>
          <w:tcPr>
            <w:tcW w:w="1474" w:type="dxa"/>
            <w:shd w:val="clear" w:color="auto" w:fill="EEF1F5"/>
          </w:tcPr>
          <w:p w14:paraId="4C3C49F1" w14:textId="77777777" w:rsidR="00FC207D" w:rsidRDefault="00457720">
            <w:pPr>
              <w:spacing w:before="20" w:after="20"/>
            </w:pPr>
            <w:r>
              <w:rPr>
                <w:b/>
                <w:sz w:val="18"/>
              </w:rPr>
              <w:t>DATA GAP</w:t>
            </w:r>
          </w:p>
        </w:tc>
        <w:tc>
          <w:tcPr>
            <w:tcW w:w="907" w:type="dxa"/>
            <w:shd w:val="clear" w:color="auto" w:fill="EEF1F5"/>
          </w:tcPr>
          <w:p w14:paraId="3FED7F8A" w14:textId="77777777" w:rsidR="00FC207D" w:rsidRDefault="00457720">
            <w:pPr>
              <w:spacing w:before="20" w:after="20"/>
            </w:pPr>
            <w:r>
              <w:rPr>
                <w:sz w:val="18"/>
              </w:rPr>
              <w:t>12</w:t>
            </w:r>
          </w:p>
        </w:tc>
        <w:tc>
          <w:tcPr>
            <w:tcW w:w="3628" w:type="dxa"/>
            <w:shd w:val="clear" w:color="auto" w:fill="EEF1F5"/>
          </w:tcPr>
          <w:p w14:paraId="15429492" w14:textId="77777777" w:rsidR="00FC207D" w:rsidRDefault="00457720">
            <w:pPr>
              <w:spacing w:before="20" w:after="20"/>
            </w:pPr>
            <w:r>
              <w:rPr>
                <w:sz w:val="18"/>
              </w:rPr>
              <w:t>The workbook cannot answer this question.</w:t>
            </w:r>
          </w:p>
        </w:tc>
        <w:tc>
          <w:tcPr>
            <w:tcW w:w="3402" w:type="dxa"/>
            <w:shd w:val="clear" w:color="auto" w:fill="EEF1F5"/>
          </w:tcPr>
          <w:p w14:paraId="364A6ACC" w14:textId="77777777" w:rsidR="00FC207D" w:rsidRDefault="00457720">
            <w:pPr>
              <w:spacing w:before="20" w:after="20"/>
            </w:pPr>
            <w:r>
              <w:rPr>
                <w:sz w:val="18"/>
              </w:rPr>
              <w:t>Say so plainly. This is a finding, not a blank.</w:t>
            </w:r>
          </w:p>
        </w:tc>
      </w:tr>
    </w:tbl>
    <w:p w14:paraId="13266DD7" w14:textId="77777777" w:rsidR="00FC207D" w:rsidRDefault="00FC207D">
      <w:pPr>
        <w:spacing w:after="80"/>
      </w:pPr>
    </w:p>
    <w:p w14:paraId="445087A7" w14:textId="77777777" w:rsidR="00FC207D" w:rsidRDefault="00457720">
      <w:r>
        <w:t>The six strong findings, in the dashboard's own words:</w:t>
      </w:r>
    </w:p>
    <w:p w14:paraId="6070F47F" w14:textId="77777777" w:rsidR="00FC207D" w:rsidRDefault="00457720">
      <w:pPr>
        <w:pStyle w:val="ListBullet"/>
        <w:spacing w:after="60"/>
        <w:ind w:left="340"/>
      </w:pPr>
      <w:r>
        <w:t>Khammam cold-storage lots trade at a median premium of 2,600 over fresh lots.</w:t>
      </w:r>
    </w:p>
    <w:p w14:paraId="68609C61" w14:textId="77777777" w:rsidR="00FC207D" w:rsidRDefault="00457720">
      <w:pPr>
        <w:pStyle w:val="ListBullet"/>
        <w:spacing w:after="60"/>
        <w:ind w:left="340"/>
      </w:pPr>
      <w:r>
        <w:t>The markets are cointegrated (rank 3): spreads mean-revert.</w:t>
      </w:r>
    </w:p>
    <w:p w14:paraId="5D5C12D2" w14:textId="77777777" w:rsidR="00FC207D" w:rsidRDefault="00457720">
      <w:pPr>
        <w:pStyle w:val="ListBullet"/>
        <w:spacing w:after="60"/>
        <w:ind w:left="340"/>
      </w:pPr>
      <w:r>
        <w:t>Guntur influences Warangal, Khammam (cold storage) and Khammam (non cold storage).</w:t>
      </w:r>
    </w:p>
    <w:p w14:paraId="304AFD79" w14:textId="77777777" w:rsidR="00FC207D" w:rsidRDefault="00457720">
      <w:pPr>
        <w:pStyle w:val="ListBullet"/>
        <w:spacing w:after="60"/>
        <w:ind w:left="340"/>
      </w:pPr>
      <w:r>
        <w:t>Teja leads price discovery among Guntur varieties.</w:t>
      </w:r>
    </w:p>
    <w:p w14:paraId="47EAD61C" w14:textId="77777777" w:rsidR="00FC207D" w:rsidRDefault="00457720">
      <w:pPr>
        <w:pStyle w:val="ListBullet"/>
        <w:spacing w:after="60"/>
        <w:ind w:left="340"/>
      </w:pPr>
      <w:r>
        <w:t>Teja is seasonally firmest in September, November and October and softest in May, April and February.</w:t>
      </w:r>
    </w:p>
    <w:p w14:paraId="1724D122" w14:textId="77777777" w:rsidR="00FC207D" w:rsidRDefault="00457720">
      <w:pPr>
        <w:pStyle w:val="ListBullet"/>
        <w:spacing w:after="60"/>
        <w:ind w:left="340"/>
      </w:pPr>
      <w:r>
        <w:t>Peak arrivals fall in February, March, April and November; May, June, July and October are the lean months.</w:t>
      </w:r>
    </w:p>
    <w:p w14:paraId="7A77BA79" w14:textId="77777777" w:rsidR="00FC207D" w:rsidRDefault="00457720">
      <w:pPr>
        <w:pStyle w:val="Heading3"/>
      </w:pPr>
      <w:r>
        <w:t>The cold-storage premium finding</w:t>
      </w:r>
    </w:p>
    <w:p w14:paraId="5E39ABD7" w14:textId="77777777" w:rsidR="00FC207D" w:rsidRDefault="00457720">
      <w:pPr>
        <w:spacing w:after="60"/>
      </w:pPr>
      <w:r>
        <w:rPr>
          <w:b/>
          <w:color w:val="C2410C"/>
          <w:sz w:val="20"/>
        </w:rPr>
        <w:t xml:space="preserve">What it shows  </w:t>
      </w:r>
      <w:r>
        <w:t>The price gap between Khammam cold-storage and fresh lots.</w:t>
      </w:r>
    </w:p>
    <w:p w14:paraId="658248EB" w14:textId="77777777" w:rsidR="00FC207D" w:rsidRDefault="00457720">
      <w:pPr>
        <w:spacing w:after="60"/>
      </w:pPr>
      <w:r>
        <w:rPr>
          <w:b/>
          <w:color w:val="C2410C"/>
          <w:sz w:val="20"/>
        </w:rPr>
        <w:t xml:space="preserve">How to read it  </w:t>
      </w:r>
      <w:r>
        <w:t>Derived from the two Khammam price sheets, not from the sparse stock sheet.</w:t>
      </w:r>
    </w:p>
    <w:p w14:paraId="52345C33" w14:textId="77777777" w:rsidR="00FC207D" w:rsidRDefault="00457720">
      <w:pPr>
        <w:spacing w:after="60"/>
      </w:pPr>
      <w:r>
        <w:rPr>
          <w:b/>
          <w:color w:val="C2410C"/>
          <w:sz w:val="20"/>
        </w:rPr>
        <w:t xml:space="preserve">What it says now  </w:t>
      </w:r>
      <w:r>
        <w:t>Across 320 days when both were quoted, the median premium was 2,600 and the mean 2,078, ranging from −2,150 to +7,850, with cold-storage material dearer on 76% of days.</w:t>
      </w:r>
    </w:p>
    <w:p w14:paraId="3DC201E5" w14:textId="77777777" w:rsidR="00FC207D" w:rsidRDefault="00457720">
      <w:pPr>
        <w:spacing w:after="60"/>
      </w:pPr>
      <w:r>
        <w:rPr>
          <w:b/>
          <w:color w:val="C2410C"/>
          <w:sz w:val="20"/>
        </w:rPr>
        <w:t xml:space="preserve">What to do with it  </w:t>
      </w:r>
      <w:r>
        <w:t>The only storage economics the workbook supports, and it is directly useful: it prices the value of holding stock. Note that on roughly a quarter of days the premium disappears or inverts.</w:t>
      </w:r>
    </w:p>
    <w:p w14:paraId="56CF8136"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7CF8A173" w14:textId="77777777">
        <w:trPr>
          <w:jc w:val="center"/>
        </w:trPr>
        <w:tc>
          <w:tcPr>
            <w:tcW w:w="9411" w:type="dxa"/>
            <w:tcBorders>
              <w:left w:val="single" w:sz="18" w:space="0" w:color="C2410C"/>
            </w:tcBorders>
            <w:shd w:val="clear" w:color="auto" w:fill="FDF1E7"/>
          </w:tcPr>
          <w:p w14:paraId="719CD858" w14:textId="77777777" w:rsidR="00FC207D" w:rsidRDefault="00457720">
            <w:pPr>
              <w:spacing w:after="40"/>
            </w:pPr>
            <w:r>
              <w:rPr>
                <w:b/>
                <w:color w:val="C2410C"/>
                <w:sz w:val="20"/>
              </w:rPr>
              <w:t>Conclusion for Page 11</w:t>
            </w:r>
          </w:p>
          <w:p w14:paraId="29249F1B" w14:textId="77777777" w:rsidR="00FC207D" w:rsidRDefault="00457720">
            <w:pPr>
              <w:spacing w:after="0"/>
            </w:pPr>
            <w:r>
              <w:rPr>
                <w:sz w:val="20"/>
              </w:rPr>
              <w:t>Thirty-four findings, of which six are strong enough to state without qualification. Twelve record questions the workbook cannot answer — read those before committing to an analysis for someone else.</w:t>
            </w:r>
          </w:p>
        </w:tc>
      </w:tr>
    </w:tbl>
    <w:p w14:paraId="6956C664" w14:textId="77777777" w:rsidR="00FC207D" w:rsidRDefault="00FC207D">
      <w:pPr>
        <w:spacing w:after="80"/>
      </w:pPr>
    </w:p>
    <w:p w14:paraId="4105CFDB" w14:textId="77777777" w:rsidR="00FC207D" w:rsidRDefault="00457720">
      <w:pPr>
        <w:pStyle w:val="Heading2"/>
      </w:pPr>
      <w:bookmarkStart w:id="21" w:name="_Toc236139953"/>
      <w:r>
        <w:t>Page 12 — Data Dictionary</w:t>
      </w:r>
      <w:bookmarkEnd w:id="21"/>
    </w:p>
    <w:p w14:paraId="1703E31F" w14:textId="77777777" w:rsidR="00FC207D" w:rsidRDefault="00457720">
      <w:pPr>
        <w:spacing w:after="60"/>
      </w:pPr>
      <w:r>
        <w:rPr>
          <w:b/>
          <w:color w:val="C2410C"/>
          <w:sz w:val="20"/>
        </w:rPr>
        <w:t xml:space="preserve">Purpose  </w:t>
      </w:r>
      <w:r>
        <w:t>The reference layer: what is in every sheet, how complete it is, and what units it uses. Generated from the workbook each time the application starts.</w:t>
      </w:r>
    </w:p>
    <w:p w14:paraId="0B2CD895" w14:textId="77777777" w:rsidR="00FC207D" w:rsidRDefault="00457720">
      <w:pPr>
        <w:pStyle w:val="Heading3"/>
      </w:pPr>
      <w:r>
        <w:t>Table — field-level dictionary</w:t>
      </w:r>
    </w:p>
    <w:p w14:paraId="527D8812" w14:textId="77777777" w:rsidR="00FC207D" w:rsidRDefault="00457720">
      <w:pPr>
        <w:spacing w:after="60"/>
      </w:pPr>
      <w:r>
        <w:rPr>
          <w:b/>
          <w:color w:val="C2410C"/>
          <w:sz w:val="20"/>
        </w:rPr>
        <w:t xml:space="preserve">What it shows  </w:t>
      </w:r>
      <w:r>
        <w:t>Every sheet, every column, its role, type, how much of it is populated, its range and its unit.</w:t>
      </w:r>
    </w:p>
    <w:p w14:paraId="34DA005E" w14:textId="77777777" w:rsidR="00FC207D" w:rsidRDefault="00457720">
      <w:pPr>
        <w:spacing w:after="60"/>
      </w:pPr>
      <w:r>
        <w:rPr>
          <w:b/>
          <w:color w:val="C2410C"/>
          <w:sz w:val="20"/>
        </w:rPr>
        <w:t xml:space="preserve">How to read it  </w:t>
      </w:r>
      <w:r>
        <w:t>The Populated column is the one to check — it tells you what share of rows actually have a value.</w:t>
      </w:r>
    </w:p>
    <w:p w14:paraId="2A4CEA38" w14:textId="77777777" w:rsidR="00FC207D" w:rsidRDefault="00457720">
      <w:pPr>
        <w:spacing w:after="60"/>
      </w:pPr>
      <w:r>
        <w:rPr>
          <w:b/>
          <w:color w:val="C2410C"/>
          <w:sz w:val="20"/>
        </w:rPr>
        <w:t xml:space="preserve">What it says now  </w:t>
      </w:r>
      <w:r>
        <w:t>All thirteen worksheets are mapped and used; none is unmapped. Coverage varies sharply, from 100% on the main price columns to 85% on some seasonality months.</w:t>
      </w:r>
    </w:p>
    <w:p w14:paraId="63C2388A" w14:textId="77777777" w:rsidR="00FC207D" w:rsidRDefault="00457720">
      <w:pPr>
        <w:spacing w:after="60"/>
      </w:pPr>
      <w:r>
        <w:rPr>
          <w:b/>
          <w:color w:val="C2410C"/>
          <w:sz w:val="20"/>
        </w:rPr>
        <w:t xml:space="preserve">What to do with it  </w:t>
      </w:r>
      <w:r>
        <w:t>Use it to answer “do we even have that field?” before designing an analysis.</w:t>
      </w:r>
    </w:p>
    <w:p w14:paraId="2CFFE9F0" w14:textId="77777777" w:rsidR="00FC207D" w:rsidRDefault="00FC207D">
      <w:pPr>
        <w:spacing w:after="40"/>
      </w:pPr>
    </w:p>
    <w:p w14:paraId="70BE73ED" w14:textId="77777777" w:rsidR="00FC207D" w:rsidRDefault="00457720">
      <w:pPr>
        <w:pStyle w:val="Heading3"/>
      </w:pPr>
      <w:r>
        <w:t>Table — units and conversions read from the workbook</w:t>
      </w:r>
    </w:p>
    <w:p w14:paraId="55723FD6" w14:textId="77777777" w:rsidR="00FC207D" w:rsidRDefault="00457720">
      <w:pPr>
        <w:spacing w:after="60"/>
      </w:pPr>
      <w:r>
        <w:rPr>
          <w:b/>
          <w:color w:val="C2410C"/>
          <w:sz w:val="20"/>
        </w:rPr>
        <w:t xml:space="preserve">What it shows  </w:t>
      </w:r>
      <w:r>
        <w:t>Every unit statement and bag-weight conversion the application found in the sheet headers.</w:t>
      </w:r>
    </w:p>
    <w:p w14:paraId="1B07CE95" w14:textId="77777777" w:rsidR="00FC207D" w:rsidRDefault="00457720">
      <w:pPr>
        <w:spacing w:after="60"/>
      </w:pPr>
      <w:r>
        <w:rPr>
          <w:b/>
          <w:color w:val="C2410C"/>
          <w:sz w:val="20"/>
        </w:rPr>
        <w:t xml:space="preserve">How to read it  </w:t>
      </w:r>
      <w:r>
        <w:t>Nothing here is assumed. Each entry names where it was read from.</w:t>
      </w:r>
    </w:p>
    <w:p w14:paraId="158CFBCE" w14:textId="77777777" w:rsidR="00FC207D" w:rsidRDefault="00457720">
      <w:pPr>
        <w:spacing w:after="60"/>
      </w:pPr>
      <w:r>
        <w:rPr>
          <w:b/>
          <w:color w:val="C2410C"/>
          <w:sz w:val="20"/>
        </w:rPr>
        <w:lastRenderedPageBreak/>
        <w:t xml:space="preserve">What it says now  </w:t>
      </w:r>
      <w:r>
        <w:t>Guntur arrivals and offtake are 45 kg per bag; Warangal and both Khammam sheets are 40 kg. The balance sheet is in lakh tonnes. The export sheet states no unit at all.</w:t>
      </w:r>
    </w:p>
    <w:p w14:paraId="5CA4C0DC" w14:textId="77777777" w:rsidR="00FC207D" w:rsidRDefault="00457720">
      <w:pPr>
        <w:spacing w:after="60"/>
      </w:pPr>
      <w:r>
        <w:rPr>
          <w:b/>
          <w:color w:val="C2410C"/>
          <w:sz w:val="20"/>
        </w:rPr>
        <w:t xml:space="preserve">What to do with it  </w:t>
      </w:r>
      <w:r>
        <w:t>Settles unit disputes. It is also the reason the dashboard refuses to convert export figures into tonnes — the sheet never says what they are.</w:t>
      </w:r>
    </w:p>
    <w:p w14:paraId="3787AC83" w14:textId="77777777" w:rsidR="00FC207D" w:rsidRDefault="00FC207D">
      <w:pPr>
        <w:spacing w:after="40"/>
      </w:pPr>
    </w:p>
    <w:p w14:paraId="6AF1E957" w14:textId="77777777" w:rsidR="00FC207D" w:rsidRDefault="00457720">
      <w:pPr>
        <w:pStyle w:val="Heading3"/>
      </w:pPr>
      <w:r>
        <w:t>Data quality notes</w:t>
      </w:r>
    </w:p>
    <w:p w14:paraId="5D91A0F2" w14:textId="77777777" w:rsidR="00FC207D" w:rsidRDefault="00457720">
      <w:pPr>
        <w:spacing w:after="60"/>
      </w:pPr>
      <w:r>
        <w:rPr>
          <w:b/>
          <w:color w:val="C2410C"/>
          <w:sz w:val="20"/>
        </w:rPr>
        <w:t xml:space="preserve">What it shows  </w:t>
      </w:r>
      <w:r>
        <w:t>Coverage holes and thin datasets found on load.</w:t>
      </w:r>
    </w:p>
    <w:p w14:paraId="36D844F2" w14:textId="77777777" w:rsidR="00FC207D" w:rsidRDefault="00457720">
      <w:pPr>
        <w:spacing w:after="60"/>
      </w:pPr>
      <w:r>
        <w:rPr>
          <w:b/>
          <w:color w:val="C2410C"/>
          <w:sz w:val="20"/>
        </w:rPr>
        <w:t xml:space="preserve">How to read it  </w:t>
      </w:r>
      <w:r>
        <w:t>Each note names the affected series, the number of gaps and the largest one.</w:t>
      </w:r>
    </w:p>
    <w:p w14:paraId="21D9DA5F" w14:textId="77777777" w:rsidR="00FC207D" w:rsidRDefault="00457720">
      <w:pPr>
        <w:spacing w:after="60"/>
      </w:pPr>
      <w:r>
        <w:rPr>
          <w:b/>
          <w:color w:val="C2410C"/>
          <w:sz w:val="20"/>
        </w:rPr>
        <w:t xml:space="preserve">What it says now  </w:t>
      </w:r>
      <w:r>
        <w:t>Eight notes. The most serious is the USD/INR gap of 1,119 days. Khammam fresh lots have nine gaps over 45 days, the largest 292 days. Cold-storage stock has six rows.</w:t>
      </w:r>
    </w:p>
    <w:p w14:paraId="3D9B3BEA" w14:textId="77777777" w:rsidR="00FC207D" w:rsidRDefault="00457720">
      <w:pPr>
        <w:spacing w:after="60"/>
      </w:pPr>
      <w:r>
        <w:rPr>
          <w:b/>
          <w:color w:val="C2410C"/>
          <w:sz w:val="20"/>
        </w:rPr>
        <w:t xml:space="preserve">What to do with it  </w:t>
      </w:r>
      <w:r>
        <w:t>Read this once before you use the dashboard in anger. Every one of these notes limits some conclusion elsewhere.</w:t>
      </w:r>
    </w:p>
    <w:p w14:paraId="07564BD7" w14:textId="77777777" w:rsidR="00FC207D" w:rsidRDefault="00FC207D">
      <w:pPr>
        <w:spacing w:after="40"/>
      </w:pPr>
    </w:p>
    <w:tbl>
      <w:tblPr>
        <w:tblW w:w="0" w:type="auto"/>
        <w:jc w:val="center"/>
        <w:tblLayout w:type="fixed"/>
        <w:tblLook w:val="04A0" w:firstRow="1" w:lastRow="0" w:firstColumn="1" w:lastColumn="0" w:noHBand="0" w:noVBand="1"/>
      </w:tblPr>
      <w:tblGrid>
        <w:gridCol w:w="9411"/>
      </w:tblGrid>
      <w:tr w:rsidR="00FC207D" w14:paraId="422AEEEC" w14:textId="77777777">
        <w:trPr>
          <w:jc w:val="center"/>
        </w:trPr>
        <w:tc>
          <w:tcPr>
            <w:tcW w:w="9411" w:type="dxa"/>
            <w:tcBorders>
              <w:left w:val="single" w:sz="18" w:space="0" w:color="C2410C"/>
            </w:tcBorders>
            <w:shd w:val="clear" w:color="auto" w:fill="FDF1E7"/>
          </w:tcPr>
          <w:p w14:paraId="14A823B1" w14:textId="77777777" w:rsidR="00FC207D" w:rsidRDefault="00457720">
            <w:pPr>
              <w:spacing w:after="40"/>
            </w:pPr>
            <w:r>
              <w:rPr>
                <w:b/>
                <w:color w:val="C2410C"/>
                <w:sz w:val="20"/>
              </w:rPr>
              <w:t>Conclusion for Page 12</w:t>
            </w:r>
          </w:p>
          <w:p w14:paraId="116DF3B4" w14:textId="77777777" w:rsidR="00FC207D" w:rsidRDefault="00457720">
            <w:pPr>
              <w:spacing w:after="0"/>
            </w:pPr>
            <w:r>
              <w:rPr>
                <w:sz w:val="20"/>
              </w:rPr>
              <w:t>All thirteen sheets are parsed and used. Units and conversions are read from the sheets themselves rather than assumed, and eight coverage limitations are documented. This is the page that makes every other page auditable.</w:t>
            </w:r>
          </w:p>
        </w:tc>
      </w:tr>
    </w:tbl>
    <w:p w14:paraId="041CA5DC" w14:textId="77777777" w:rsidR="00FC207D" w:rsidRDefault="00FC207D">
      <w:pPr>
        <w:spacing w:after="80"/>
      </w:pPr>
    </w:p>
    <w:p w14:paraId="5A139F65" w14:textId="77777777" w:rsidR="00FC207D" w:rsidRDefault="00457720">
      <w:r>
        <w:br w:type="page"/>
      </w:r>
    </w:p>
    <w:p w14:paraId="3DD6C18E" w14:textId="77777777" w:rsidR="00FC207D" w:rsidRDefault="00457720">
      <w:pPr>
        <w:pStyle w:val="Heading1"/>
        <w:pBdr>
          <w:bottom w:val="single" w:sz="12" w:space="4" w:color="C2410C"/>
        </w:pBdr>
      </w:pPr>
      <w:bookmarkStart w:id="22" w:name="_Toc236139954"/>
      <w:r>
        <w:lastRenderedPageBreak/>
        <w:t>Part 5 — The business questions, answered directly</w:t>
      </w:r>
      <w:bookmarkEnd w:id="22"/>
    </w:p>
    <w:tbl>
      <w:tblPr>
        <w:tblStyle w:val="TableGrid"/>
        <w:tblW w:w="0" w:type="auto"/>
        <w:jc w:val="center"/>
        <w:tblLayout w:type="fixed"/>
        <w:tblLook w:val="04A0" w:firstRow="1" w:lastRow="0" w:firstColumn="1" w:lastColumn="0" w:noHBand="0" w:noVBand="1"/>
      </w:tblPr>
      <w:tblGrid>
        <w:gridCol w:w="2608"/>
        <w:gridCol w:w="6803"/>
      </w:tblGrid>
      <w:tr w:rsidR="00FC207D" w14:paraId="6725AEBB" w14:textId="77777777">
        <w:trPr>
          <w:jc w:val="center"/>
        </w:trPr>
        <w:tc>
          <w:tcPr>
            <w:tcW w:w="2608" w:type="dxa"/>
            <w:shd w:val="clear" w:color="auto" w:fill="1A2027"/>
          </w:tcPr>
          <w:p w14:paraId="72CC3295" w14:textId="77777777" w:rsidR="00FC207D" w:rsidRDefault="00457720">
            <w:pPr>
              <w:spacing w:before="20" w:after="20"/>
            </w:pPr>
            <w:r>
              <w:rPr>
                <w:b/>
                <w:color w:val="FFFFFF"/>
                <w:sz w:val="18"/>
              </w:rPr>
              <w:t>Question</w:t>
            </w:r>
          </w:p>
        </w:tc>
        <w:tc>
          <w:tcPr>
            <w:tcW w:w="6803" w:type="dxa"/>
            <w:shd w:val="clear" w:color="auto" w:fill="1A2027"/>
          </w:tcPr>
          <w:p w14:paraId="1EBD81B5" w14:textId="77777777" w:rsidR="00FC207D" w:rsidRDefault="00457720">
            <w:pPr>
              <w:spacing w:before="20" w:after="20"/>
            </w:pPr>
            <w:r>
              <w:rPr>
                <w:b/>
                <w:color w:val="FFFFFF"/>
                <w:sz w:val="18"/>
              </w:rPr>
              <w:t>Answer from this workbook</w:t>
            </w:r>
          </w:p>
        </w:tc>
      </w:tr>
      <w:tr w:rsidR="00FC207D" w14:paraId="0E4280B3" w14:textId="77777777">
        <w:trPr>
          <w:jc w:val="center"/>
        </w:trPr>
        <w:tc>
          <w:tcPr>
            <w:tcW w:w="2608" w:type="dxa"/>
          </w:tcPr>
          <w:p w14:paraId="2BAD1BB2" w14:textId="77777777" w:rsidR="00FC207D" w:rsidRDefault="00457720">
            <w:pPr>
              <w:spacing w:before="20" w:after="20"/>
            </w:pPr>
            <w:r>
              <w:rPr>
                <w:b/>
                <w:sz w:val="18"/>
              </w:rPr>
              <w:t>Which variety leads price discovery?</w:t>
            </w:r>
          </w:p>
        </w:tc>
        <w:tc>
          <w:tcPr>
            <w:tcW w:w="6803" w:type="dxa"/>
          </w:tcPr>
          <w:p w14:paraId="2B0C3463" w14:textId="77777777" w:rsidR="00FC207D" w:rsidRDefault="00457720">
            <w:pPr>
              <w:spacing w:before="20" w:after="20"/>
            </w:pPr>
            <w:r>
              <w:rPr>
                <w:sz w:val="18"/>
              </w:rPr>
              <w:t>Teja. It is the dominant side of the relationship with all eight other varieties and its past values help predict every one of them (leadership score 0.675). For the market's overall level, however, No.5 (average correlation 0.923) is the better single benchmark.</w:t>
            </w:r>
          </w:p>
        </w:tc>
      </w:tr>
      <w:tr w:rsidR="00FC207D" w14:paraId="52B92AEB" w14:textId="77777777">
        <w:trPr>
          <w:jc w:val="center"/>
        </w:trPr>
        <w:tc>
          <w:tcPr>
            <w:tcW w:w="2608" w:type="dxa"/>
            <w:shd w:val="clear" w:color="auto" w:fill="EEF1F5"/>
          </w:tcPr>
          <w:p w14:paraId="2850187D" w14:textId="77777777" w:rsidR="00FC207D" w:rsidRDefault="00457720">
            <w:pPr>
              <w:spacing w:before="20" w:after="20"/>
            </w:pPr>
            <w:r>
              <w:rPr>
                <w:b/>
                <w:sz w:val="18"/>
              </w:rPr>
              <w:t>Which varieties follow?</w:t>
            </w:r>
          </w:p>
        </w:tc>
        <w:tc>
          <w:tcPr>
            <w:tcW w:w="6803" w:type="dxa"/>
            <w:shd w:val="clear" w:color="auto" w:fill="EEF1F5"/>
          </w:tcPr>
          <w:p w14:paraId="23C83580" w14:textId="77777777" w:rsidR="00FC207D" w:rsidRDefault="00457720">
            <w:pPr>
              <w:spacing w:before="20" w:after="20"/>
            </w:pPr>
            <w:r>
              <w:rPr>
                <w:sz w:val="18"/>
              </w:rPr>
              <w:t>Fatki clearly (score 0.338, influenced by three varieties, and correlating only 0.586 with the complex) and Byadgi to a lesser degree. NCDEX Quality, No.273 and Denvor Delux sit in the middle.</w:t>
            </w:r>
          </w:p>
        </w:tc>
      </w:tr>
      <w:tr w:rsidR="00FC207D" w14:paraId="00C56FFB" w14:textId="77777777">
        <w:trPr>
          <w:jc w:val="center"/>
        </w:trPr>
        <w:tc>
          <w:tcPr>
            <w:tcW w:w="2608" w:type="dxa"/>
          </w:tcPr>
          <w:p w14:paraId="24B054C9" w14:textId="77777777" w:rsidR="00FC207D" w:rsidRDefault="00457720">
            <w:pPr>
              <w:spacing w:before="20" w:after="20"/>
            </w:pPr>
            <w:r>
              <w:rPr>
                <w:b/>
                <w:sz w:val="18"/>
              </w:rPr>
              <w:t>Does Guntur influence Warangal and Khammam?</w:t>
            </w:r>
          </w:p>
        </w:tc>
        <w:tc>
          <w:tcPr>
            <w:tcW w:w="6803" w:type="dxa"/>
          </w:tcPr>
          <w:p w14:paraId="1BB16D93" w14:textId="77777777" w:rsidR="00FC207D" w:rsidRDefault="00457720">
            <w:pPr>
              <w:spacing w:before="20" w:after="20"/>
            </w:pPr>
            <w:r>
              <w:rPr>
                <w:sz w:val="18"/>
              </w:rPr>
              <w:t>Yes. Guntur one-way drives Khammam fresh lots (p=0.0014 against 0.338 in reverse) and is the dominant partner in two-way relationships with Warangal and Khammam cold storage. Guntur scores 0.650 against Khammam fresh lots' 0.058.</w:t>
            </w:r>
          </w:p>
        </w:tc>
      </w:tr>
      <w:tr w:rsidR="00FC207D" w14:paraId="06CC2E8A" w14:textId="77777777">
        <w:trPr>
          <w:jc w:val="center"/>
        </w:trPr>
        <w:tc>
          <w:tcPr>
            <w:tcW w:w="2608" w:type="dxa"/>
            <w:shd w:val="clear" w:color="auto" w:fill="EEF1F5"/>
          </w:tcPr>
          <w:p w14:paraId="31659FEA" w14:textId="77777777" w:rsidR="00FC207D" w:rsidRDefault="00457720">
            <w:pPr>
              <w:spacing w:before="20" w:after="20"/>
            </w:pPr>
            <w:r>
              <w:rPr>
                <w:b/>
                <w:sz w:val="18"/>
              </w:rPr>
              <w:t>What is the lead-lag period between markets?</w:t>
            </w:r>
          </w:p>
        </w:tc>
        <w:tc>
          <w:tcPr>
            <w:tcW w:w="6803" w:type="dxa"/>
            <w:shd w:val="clear" w:color="auto" w:fill="EEF1F5"/>
          </w:tcPr>
          <w:p w14:paraId="22B4A289" w14:textId="77777777" w:rsidR="00FC207D" w:rsidRDefault="00457720">
            <w:pPr>
              <w:spacing w:before="20" w:after="20"/>
            </w:pPr>
            <w:r>
              <w:rPr>
                <w:sz w:val="18"/>
              </w:rPr>
              <w:t>Zero. Every pair peaks at zero days on daily data. These mandis re-price the same day, so there is no timing lead to trade. Influence is about information, not sequence.</w:t>
            </w:r>
          </w:p>
        </w:tc>
      </w:tr>
      <w:tr w:rsidR="00FC207D" w14:paraId="78CB9A4C" w14:textId="77777777">
        <w:trPr>
          <w:jc w:val="center"/>
        </w:trPr>
        <w:tc>
          <w:tcPr>
            <w:tcW w:w="2608" w:type="dxa"/>
          </w:tcPr>
          <w:p w14:paraId="622207E9" w14:textId="77777777" w:rsidR="00FC207D" w:rsidRDefault="00457720">
            <w:pPr>
              <w:spacing w:before="20" w:after="20"/>
            </w:pPr>
            <w:r>
              <w:rPr>
                <w:b/>
                <w:sz w:val="18"/>
              </w:rPr>
              <w:t>Are the markets integrated or diverging?</w:t>
            </w:r>
          </w:p>
        </w:tc>
        <w:tc>
          <w:tcPr>
            <w:tcW w:w="6803" w:type="dxa"/>
          </w:tcPr>
          <w:p w14:paraId="4E965870" w14:textId="77777777" w:rsidR="00FC207D" w:rsidRDefault="00457720">
            <w:pPr>
              <w:spacing w:before="20" w:after="20"/>
            </w:pPr>
            <w:r>
              <w:rPr>
                <w:sz w:val="18"/>
              </w:rPr>
              <w:t>Integrated. Johansen finds rank 3 of a possible 3 across the four series on 261 common trading days. Five of six pairs are cointegrated bilaterally; the exception is Warangal against Khammam cold storage (p=0.216). Spreads mean-revert.</w:t>
            </w:r>
          </w:p>
        </w:tc>
      </w:tr>
      <w:tr w:rsidR="00FC207D" w14:paraId="6A43A77F" w14:textId="77777777">
        <w:trPr>
          <w:jc w:val="center"/>
        </w:trPr>
        <w:tc>
          <w:tcPr>
            <w:tcW w:w="2608" w:type="dxa"/>
            <w:shd w:val="clear" w:color="auto" w:fill="EEF1F5"/>
          </w:tcPr>
          <w:p w14:paraId="35EB5F1B" w14:textId="77777777" w:rsidR="00FC207D" w:rsidRDefault="00457720">
            <w:pPr>
              <w:spacing w:before="20" w:after="20"/>
            </w:pPr>
            <w:r>
              <w:rPr>
                <w:b/>
                <w:sz w:val="18"/>
              </w:rPr>
              <w:t>How do arrivals affect prices?</w:t>
            </w:r>
          </w:p>
        </w:tc>
        <w:tc>
          <w:tcPr>
            <w:tcW w:w="6803" w:type="dxa"/>
            <w:shd w:val="clear" w:color="auto" w:fill="EEF1F5"/>
          </w:tcPr>
          <w:p w14:paraId="21AC4E46" w14:textId="77777777" w:rsidR="00FC207D" w:rsidRDefault="00457720">
            <w:pPr>
              <w:spacing w:before="20" w:after="20"/>
            </w:pPr>
            <w:r>
              <w:rPr>
                <w:sz w:val="18"/>
              </w:rPr>
              <w:t>Weakly, immediately, and in the expected direction. Elasticity is −0.011 at a one-week lag (p=0.012), explaining about 1% of weekly price variation. The difference between the heaviest and lightest arrival weeks is not statistically significant (p=0.141). Arrival timing is highly predictable; its price impact is not.</w:t>
            </w:r>
          </w:p>
        </w:tc>
      </w:tr>
      <w:tr w:rsidR="00FC207D" w14:paraId="56C86655" w14:textId="77777777">
        <w:trPr>
          <w:jc w:val="center"/>
        </w:trPr>
        <w:tc>
          <w:tcPr>
            <w:tcW w:w="2608" w:type="dxa"/>
          </w:tcPr>
          <w:p w14:paraId="407DABB2" w14:textId="77777777" w:rsidR="00FC207D" w:rsidRDefault="00457720">
            <w:pPr>
              <w:spacing w:before="20" w:after="20"/>
            </w:pPr>
            <w:r>
              <w:rPr>
                <w:b/>
                <w:sz w:val="18"/>
              </w:rPr>
              <w:t>What drives LCA 334 and Teja prices?</w:t>
            </w:r>
          </w:p>
        </w:tc>
        <w:tc>
          <w:tcPr>
            <w:tcW w:w="6803" w:type="dxa"/>
          </w:tcPr>
          <w:p w14:paraId="3030AF78" w14:textId="77777777" w:rsidR="00FC207D" w:rsidRDefault="00457720">
            <w:pPr>
              <w:spacing w:before="20" w:after="20"/>
            </w:pPr>
            <w:r>
              <w:rPr>
                <w:sz w:val="18"/>
              </w:rPr>
              <w:t>In order of strength: the exchange rate (standardised beta +0.57, p&lt;0.0001), the offtake ratio (−0.57), and arrivals (+0.46, but see the collinearity caution). Exports are not significant contemporaneously but lead price by about four months. Together the available drivers explain 40% of month-to-month movement, so most of the price is its own trend.</w:t>
            </w:r>
          </w:p>
        </w:tc>
      </w:tr>
      <w:tr w:rsidR="00FC207D" w14:paraId="04D23818" w14:textId="77777777">
        <w:trPr>
          <w:jc w:val="center"/>
        </w:trPr>
        <w:tc>
          <w:tcPr>
            <w:tcW w:w="2608" w:type="dxa"/>
            <w:shd w:val="clear" w:color="auto" w:fill="EEF1F5"/>
          </w:tcPr>
          <w:p w14:paraId="610ABF9E" w14:textId="77777777" w:rsidR="00FC207D" w:rsidRDefault="00457720">
            <w:pPr>
              <w:spacing w:before="20" w:after="20"/>
            </w:pPr>
            <w:r>
              <w:rPr>
                <w:b/>
                <w:sz w:val="18"/>
              </w:rPr>
              <w:t>What are the projected prices?</w:t>
            </w:r>
          </w:p>
        </w:tc>
        <w:tc>
          <w:tcPr>
            <w:tcW w:w="6803" w:type="dxa"/>
            <w:shd w:val="clear" w:color="auto" w:fill="EEF1F5"/>
          </w:tcPr>
          <w:p w14:paraId="7465EA16" w14:textId="77777777" w:rsidR="00FC207D" w:rsidRDefault="00457720">
            <w:pPr>
              <w:spacing w:before="20" w:after="20"/>
            </w:pPr>
            <w:r>
              <w:rPr>
                <w:sz w:val="18"/>
              </w:rPr>
              <w:t>Teja: 22,873 in August rising to 26,867 by January 2027 (+28%), 95% range 19,688–34,045. LCA 334: 27,444 rising to 32,472 (+24%), range 22,761–42,184. Both from a VECM model. The weekly model, which backtests poorly, projects flat.</w:t>
            </w:r>
          </w:p>
        </w:tc>
      </w:tr>
      <w:tr w:rsidR="00FC207D" w14:paraId="39A566C3" w14:textId="77777777">
        <w:trPr>
          <w:jc w:val="center"/>
        </w:trPr>
        <w:tc>
          <w:tcPr>
            <w:tcW w:w="2608" w:type="dxa"/>
          </w:tcPr>
          <w:p w14:paraId="0FBEABFE" w14:textId="77777777" w:rsidR="00FC207D" w:rsidRDefault="00457720">
            <w:pPr>
              <w:spacing w:before="20" w:after="20"/>
            </w:pPr>
            <w:r>
              <w:rPr>
                <w:b/>
                <w:sz w:val="18"/>
              </w:rPr>
              <w:t>How reliable are the forecasts?</w:t>
            </w:r>
          </w:p>
        </w:tc>
        <w:tc>
          <w:tcPr>
            <w:tcW w:w="6803" w:type="dxa"/>
          </w:tcPr>
          <w:p w14:paraId="20D8D663" w14:textId="77777777" w:rsidR="00FC207D" w:rsidRDefault="00457720">
            <w:pPr>
              <w:spacing w:before="20" w:after="20"/>
            </w:pPr>
            <w:r>
              <w:rPr>
                <w:sz w:val="18"/>
              </w:rPr>
              <w:t>The monthly model is respectable: 8.2% average error, 93% directional accuracy, positive out-of-sample R² of 0.54 across five backtest folds. The weekly model is not: its R² is negative, meaning a flat line would have beaten it. Trust monthly for direction; treat the magnitude as uncertain and plan against the range.</w:t>
            </w:r>
          </w:p>
        </w:tc>
      </w:tr>
      <w:tr w:rsidR="00FC207D" w14:paraId="26F5DD91" w14:textId="77777777">
        <w:trPr>
          <w:jc w:val="center"/>
        </w:trPr>
        <w:tc>
          <w:tcPr>
            <w:tcW w:w="2608" w:type="dxa"/>
            <w:shd w:val="clear" w:color="auto" w:fill="EEF1F5"/>
          </w:tcPr>
          <w:p w14:paraId="196415AB" w14:textId="77777777" w:rsidR="00FC207D" w:rsidRDefault="00457720">
            <w:pPr>
              <w:spacing w:before="20" w:after="20"/>
            </w:pPr>
            <w:r>
              <w:rPr>
                <w:b/>
                <w:sz w:val="18"/>
              </w:rPr>
              <w:t>What are the key risks and opportunities?</w:t>
            </w:r>
          </w:p>
        </w:tc>
        <w:tc>
          <w:tcPr>
            <w:tcW w:w="6803" w:type="dxa"/>
            <w:shd w:val="clear" w:color="auto" w:fill="EEF1F5"/>
          </w:tcPr>
          <w:p w14:paraId="2F9FF7E5" w14:textId="77777777" w:rsidR="00FC207D" w:rsidRDefault="00457720">
            <w:pPr>
              <w:spacing w:before="20" w:after="20"/>
            </w:pPr>
            <w:r>
              <w:rPr>
                <w:sz w:val="18"/>
              </w:rPr>
              <w:t>Opportunity: the tightest supply in five years (stock-to-use 5.67% against a 22.21% average, production down 26%) against a market that has already doubled. Risks: the forecast extrapolates an exceptional rally; the offtake ratio at 62% versus 76% suggests buyer resistance; area planted has recovered 17%, which is bearish for the following season; and the currency evidence rests on a series with a three-year hole.</w:t>
            </w:r>
          </w:p>
        </w:tc>
      </w:tr>
    </w:tbl>
    <w:p w14:paraId="4141C131" w14:textId="77777777" w:rsidR="00FC207D" w:rsidRDefault="00FC207D">
      <w:pPr>
        <w:spacing w:after="80"/>
      </w:pPr>
    </w:p>
    <w:p w14:paraId="129D5383" w14:textId="77777777" w:rsidR="00FC207D" w:rsidRDefault="00457720">
      <w:r>
        <w:br w:type="page"/>
      </w:r>
    </w:p>
    <w:p w14:paraId="389992D8" w14:textId="77777777" w:rsidR="00FC207D" w:rsidRDefault="00457720">
      <w:pPr>
        <w:pStyle w:val="Heading1"/>
        <w:pBdr>
          <w:bottom w:val="single" w:sz="12" w:space="4" w:color="C2410C"/>
        </w:pBdr>
      </w:pPr>
      <w:bookmarkStart w:id="23" w:name="_Toc236139955"/>
      <w:r>
        <w:lastRenderedPageBreak/>
        <w:t>Part 6 — What this workbook cannot tell you</w:t>
      </w:r>
      <w:bookmarkEnd w:id="23"/>
    </w:p>
    <w:p w14:paraId="76A34288" w14:textId="77777777" w:rsidR="00FC207D" w:rsidRDefault="00457720">
      <w:r>
        <w:t>These are not defects in the dashboard. They are limits of the data, and the application states each one wherever it is relevant rather than filling the gap with an estimate. Knowing them is what stops a confident presentation from being wrong.</w:t>
      </w:r>
    </w:p>
    <w:tbl>
      <w:tblPr>
        <w:tblStyle w:val="TableGrid"/>
        <w:tblW w:w="0" w:type="auto"/>
        <w:jc w:val="center"/>
        <w:tblLayout w:type="fixed"/>
        <w:tblLook w:val="04A0" w:firstRow="1" w:lastRow="0" w:firstColumn="1" w:lastColumn="0" w:noHBand="0" w:noVBand="1"/>
      </w:tblPr>
      <w:tblGrid>
        <w:gridCol w:w="2608"/>
        <w:gridCol w:w="3402"/>
        <w:gridCol w:w="3402"/>
      </w:tblGrid>
      <w:tr w:rsidR="00FC207D" w14:paraId="06D70A11" w14:textId="77777777">
        <w:trPr>
          <w:jc w:val="center"/>
        </w:trPr>
        <w:tc>
          <w:tcPr>
            <w:tcW w:w="2608" w:type="dxa"/>
            <w:shd w:val="clear" w:color="auto" w:fill="1A2027"/>
          </w:tcPr>
          <w:p w14:paraId="703C41FB" w14:textId="77777777" w:rsidR="00FC207D" w:rsidRDefault="00457720">
            <w:pPr>
              <w:spacing w:before="20" w:after="20"/>
            </w:pPr>
            <w:r>
              <w:rPr>
                <w:b/>
                <w:color w:val="FFFFFF"/>
                <w:sz w:val="17"/>
              </w:rPr>
              <w:t>Question you cannot answer</w:t>
            </w:r>
          </w:p>
        </w:tc>
        <w:tc>
          <w:tcPr>
            <w:tcW w:w="3402" w:type="dxa"/>
            <w:shd w:val="clear" w:color="auto" w:fill="1A2027"/>
          </w:tcPr>
          <w:p w14:paraId="52BC2DA6" w14:textId="77777777" w:rsidR="00FC207D" w:rsidRDefault="00457720">
            <w:pPr>
              <w:spacing w:before="20" w:after="20"/>
            </w:pPr>
            <w:r>
              <w:rPr>
                <w:b/>
                <w:color w:val="FFFFFF"/>
                <w:sz w:val="17"/>
              </w:rPr>
              <w:t>Why not</w:t>
            </w:r>
          </w:p>
        </w:tc>
        <w:tc>
          <w:tcPr>
            <w:tcW w:w="3402" w:type="dxa"/>
            <w:shd w:val="clear" w:color="auto" w:fill="1A2027"/>
          </w:tcPr>
          <w:p w14:paraId="18300FB3" w14:textId="77777777" w:rsidR="00FC207D" w:rsidRDefault="00457720">
            <w:pPr>
              <w:spacing w:before="20" w:after="20"/>
            </w:pPr>
            <w:r>
              <w:rPr>
                <w:b/>
                <w:color w:val="FFFFFF"/>
                <w:sz w:val="17"/>
              </w:rPr>
              <w:t>What you can do instead</w:t>
            </w:r>
          </w:p>
        </w:tc>
      </w:tr>
      <w:tr w:rsidR="00FC207D" w14:paraId="75B2EB90" w14:textId="77777777">
        <w:trPr>
          <w:jc w:val="center"/>
        </w:trPr>
        <w:tc>
          <w:tcPr>
            <w:tcW w:w="2608" w:type="dxa"/>
          </w:tcPr>
          <w:p w14:paraId="02A9DEF5" w14:textId="77777777" w:rsidR="00FC207D" w:rsidRDefault="00457720">
            <w:pPr>
              <w:spacing w:before="20" w:after="20"/>
            </w:pPr>
            <w:r>
              <w:rPr>
                <w:b/>
                <w:sz w:val="17"/>
              </w:rPr>
              <w:t>Does cold-storage inventory move prices?</w:t>
            </w:r>
          </w:p>
        </w:tc>
        <w:tc>
          <w:tcPr>
            <w:tcW w:w="3402" w:type="dxa"/>
          </w:tcPr>
          <w:p w14:paraId="49DB19FF" w14:textId="77777777" w:rsidR="00FC207D" w:rsidRDefault="00457720">
            <w:pPr>
              <w:spacing w:before="20" w:after="20"/>
            </w:pPr>
            <w:r>
              <w:rPr>
                <w:sz w:val="17"/>
              </w:rPr>
              <w:t>The stock sheet holds six reporting months across six locations, with at most three observations for any one location. The minimum for any correlation in this application is thirty.</w:t>
            </w:r>
          </w:p>
        </w:tc>
        <w:tc>
          <w:tcPr>
            <w:tcW w:w="3402" w:type="dxa"/>
          </w:tcPr>
          <w:p w14:paraId="75811FEE" w14:textId="77777777" w:rsidR="00FC207D" w:rsidRDefault="00457720">
            <w:pPr>
              <w:spacing w:before="20" w:after="20"/>
            </w:pPr>
            <w:r>
              <w:rPr>
                <w:sz w:val="17"/>
              </w:rPr>
              <w:t>Use the Khammam cold-versus-fresh price premium (median 2,600 across 320 shared days), which measures storage economics directly from price sheets.</w:t>
            </w:r>
          </w:p>
        </w:tc>
      </w:tr>
      <w:tr w:rsidR="00FC207D" w14:paraId="6745C831" w14:textId="77777777">
        <w:trPr>
          <w:jc w:val="center"/>
        </w:trPr>
        <w:tc>
          <w:tcPr>
            <w:tcW w:w="2608" w:type="dxa"/>
            <w:shd w:val="clear" w:color="auto" w:fill="EEF1F5"/>
          </w:tcPr>
          <w:p w14:paraId="6C03E820" w14:textId="77777777" w:rsidR="00FC207D" w:rsidRDefault="00457720">
            <w:pPr>
              <w:spacing w:before="20" w:after="20"/>
            </w:pPr>
            <w:r>
              <w:rPr>
                <w:b/>
                <w:sz w:val="17"/>
              </w:rPr>
              <w:t>Do festivals move prices?</w:t>
            </w:r>
          </w:p>
        </w:tc>
        <w:tc>
          <w:tcPr>
            <w:tcW w:w="3402" w:type="dxa"/>
            <w:shd w:val="clear" w:color="auto" w:fill="EEF1F5"/>
          </w:tcPr>
          <w:p w14:paraId="6CECF45B" w14:textId="77777777" w:rsidR="00FC207D" w:rsidRDefault="00457720">
            <w:pPr>
              <w:spacing w:before="20" w:after="20"/>
            </w:pPr>
            <w:r>
              <w:rPr>
                <w:sz w:val="17"/>
              </w:rPr>
              <w:t>Diwali, Sankranti and similar festivals move through the Gregorian calendar year to year. Isolating their effect needs a festival-date calendar, and the workbook contains none.</w:t>
            </w:r>
          </w:p>
        </w:tc>
        <w:tc>
          <w:tcPr>
            <w:tcW w:w="3402" w:type="dxa"/>
            <w:shd w:val="clear" w:color="auto" w:fill="EEF1F5"/>
          </w:tcPr>
          <w:p w14:paraId="59673414" w14:textId="77777777" w:rsidR="00FC207D" w:rsidRDefault="00457720">
            <w:pPr>
              <w:spacing w:before="20" w:after="20"/>
            </w:pPr>
            <w:r>
              <w:rPr>
                <w:sz w:val="17"/>
              </w:rPr>
              <w:t>The monthly seasonal index necessarily blends festival demand with harvest timing. Use it as a combined pattern and do not attribute it to festivals.</w:t>
            </w:r>
          </w:p>
        </w:tc>
      </w:tr>
      <w:tr w:rsidR="00FC207D" w14:paraId="0D38F13A" w14:textId="77777777">
        <w:trPr>
          <w:jc w:val="center"/>
        </w:trPr>
        <w:tc>
          <w:tcPr>
            <w:tcW w:w="2608" w:type="dxa"/>
          </w:tcPr>
          <w:p w14:paraId="7B1DF356" w14:textId="77777777" w:rsidR="00FC207D" w:rsidRDefault="00457720">
            <w:pPr>
              <w:spacing w:before="20" w:after="20"/>
            </w:pPr>
            <w:r>
              <w:rPr>
                <w:b/>
                <w:sz w:val="17"/>
              </w:rPr>
              <w:t>What happened to the exchange rate in 2020–21?</w:t>
            </w:r>
          </w:p>
        </w:tc>
        <w:tc>
          <w:tcPr>
            <w:tcW w:w="3402" w:type="dxa"/>
          </w:tcPr>
          <w:p w14:paraId="470D2DE4" w14:textId="77777777" w:rsidR="00FC207D" w:rsidRDefault="00457720">
            <w:pPr>
              <w:spacing w:before="20" w:after="20"/>
            </w:pPr>
            <w:r>
              <w:rPr>
                <w:sz w:val="17"/>
              </w:rPr>
              <w:t>The USD/INR sheet is missing 1,119 consecutive days, 15 May 2019 to 7 June 2022. 2020 and 2021 are absent entirely.</w:t>
            </w:r>
          </w:p>
        </w:tc>
        <w:tc>
          <w:tcPr>
            <w:tcW w:w="3402" w:type="dxa"/>
          </w:tcPr>
          <w:p w14:paraId="5FA66336" w14:textId="77777777" w:rsidR="00FC207D" w:rsidRDefault="00457720">
            <w:pPr>
              <w:spacing w:before="20" w:after="20"/>
            </w:pPr>
            <w:r>
              <w:rPr>
                <w:sz w:val="17"/>
              </w:rPr>
              <w:t>Read every currency statistic as spanning that hole. The 0.78 correlation joins two disconnected periods and partly reflects shared trend.</w:t>
            </w:r>
          </w:p>
        </w:tc>
      </w:tr>
      <w:tr w:rsidR="00FC207D" w14:paraId="19F39764" w14:textId="77777777">
        <w:trPr>
          <w:jc w:val="center"/>
        </w:trPr>
        <w:tc>
          <w:tcPr>
            <w:tcW w:w="2608" w:type="dxa"/>
            <w:shd w:val="clear" w:color="auto" w:fill="EEF1F5"/>
          </w:tcPr>
          <w:p w14:paraId="5C8AF30B" w14:textId="77777777" w:rsidR="00FC207D" w:rsidRDefault="00457720">
            <w:pPr>
              <w:spacing w:before="20" w:after="20"/>
            </w:pPr>
            <w:r>
              <w:rPr>
                <w:b/>
                <w:sz w:val="17"/>
              </w:rPr>
              <w:t>Is the stock-to-use relationship with price statistically real?</w:t>
            </w:r>
          </w:p>
        </w:tc>
        <w:tc>
          <w:tcPr>
            <w:tcW w:w="3402" w:type="dxa"/>
            <w:shd w:val="clear" w:color="auto" w:fill="EEF1F5"/>
          </w:tcPr>
          <w:p w14:paraId="599AD6F2" w14:textId="77777777" w:rsidR="00FC207D" w:rsidRDefault="00457720">
            <w:pPr>
              <w:spacing w:before="20" w:after="20"/>
            </w:pPr>
            <w:r>
              <w:rPr>
                <w:sz w:val="17"/>
              </w:rPr>
              <w:t>Only ten annual observations exist. That is far too few for a significance test or a regression.</w:t>
            </w:r>
          </w:p>
        </w:tc>
        <w:tc>
          <w:tcPr>
            <w:tcW w:w="3402" w:type="dxa"/>
            <w:shd w:val="clear" w:color="auto" w:fill="EEF1F5"/>
          </w:tcPr>
          <w:p w14:paraId="2434D59C" w14:textId="77777777" w:rsidR="00FC207D" w:rsidRDefault="00457720">
            <w:pPr>
              <w:spacing w:before="20" w:after="20"/>
            </w:pPr>
            <w:r>
              <w:rPr>
                <w:sz w:val="17"/>
              </w:rPr>
              <w:t>Treat the 2026 tightness as a strong qualitative argument. The measured correlation of 0.03 neither supports nor refutes it.</w:t>
            </w:r>
          </w:p>
        </w:tc>
      </w:tr>
      <w:tr w:rsidR="00FC207D" w14:paraId="6119B46D" w14:textId="77777777">
        <w:trPr>
          <w:jc w:val="center"/>
        </w:trPr>
        <w:tc>
          <w:tcPr>
            <w:tcW w:w="2608" w:type="dxa"/>
          </w:tcPr>
          <w:p w14:paraId="3103A960" w14:textId="77777777" w:rsidR="00FC207D" w:rsidRDefault="00457720">
            <w:pPr>
              <w:spacing w:before="20" w:after="20"/>
            </w:pPr>
            <w:r>
              <w:rPr>
                <w:b/>
                <w:sz w:val="17"/>
              </w:rPr>
              <w:t>What are exports in tonnes?</w:t>
            </w:r>
          </w:p>
        </w:tc>
        <w:tc>
          <w:tcPr>
            <w:tcW w:w="3402" w:type="dxa"/>
          </w:tcPr>
          <w:p w14:paraId="74859DBD" w14:textId="77777777" w:rsidR="00FC207D" w:rsidRDefault="00457720">
            <w:pPr>
              <w:spacing w:before="20" w:after="20"/>
            </w:pPr>
            <w:r>
              <w:rPr>
                <w:sz w:val="17"/>
              </w:rPr>
              <w:t>The export sheet states no unit of measure anywhere.</w:t>
            </w:r>
          </w:p>
        </w:tc>
        <w:tc>
          <w:tcPr>
            <w:tcW w:w="3402" w:type="dxa"/>
          </w:tcPr>
          <w:p w14:paraId="45016202" w14:textId="77777777" w:rsidR="00FC207D" w:rsidRDefault="00457720">
            <w:pPr>
              <w:spacing w:before="20" w:after="20"/>
            </w:pPr>
            <w:r>
              <w:rPr>
                <w:sz w:val="17"/>
              </w:rPr>
              <w:t>Compare export figures only against each other. The dashboard refuses to convert them rather than guess.</w:t>
            </w:r>
          </w:p>
        </w:tc>
      </w:tr>
      <w:tr w:rsidR="00FC207D" w14:paraId="03AC924E" w14:textId="77777777">
        <w:trPr>
          <w:jc w:val="center"/>
        </w:trPr>
        <w:tc>
          <w:tcPr>
            <w:tcW w:w="2608" w:type="dxa"/>
            <w:shd w:val="clear" w:color="auto" w:fill="EEF1F5"/>
          </w:tcPr>
          <w:p w14:paraId="322BA14D" w14:textId="77777777" w:rsidR="00FC207D" w:rsidRDefault="00457720">
            <w:pPr>
              <w:spacing w:before="20" w:after="20"/>
            </w:pPr>
            <w:r>
              <w:rPr>
                <w:b/>
                <w:sz w:val="17"/>
              </w:rPr>
              <w:t>Can I compare arrival bag counts across markets?</w:t>
            </w:r>
          </w:p>
        </w:tc>
        <w:tc>
          <w:tcPr>
            <w:tcW w:w="3402" w:type="dxa"/>
            <w:shd w:val="clear" w:color="auto" w:fill="EEF1F5"/>
          </w:tcPr>
          <w:p w14:paraId="4ED7C96F" w14:textId="77777777" w:rsidR="00FC207D" w:rsidRDefault="00457720">
            <w:pPr>
              <w:spacing w:before="20" w:after="20"/>
            </w:pPr>
            <w:r>
              <w:rPr>
                <w:sz w:val="17"/>
              </w:rPr>
              <w:t>Bag weights differ: 45 kg at Guntur, 40 kg at Warangal and Khammam.</w:t>
            </w:r>
          </w:p>
        </w:tc>
        <w:tc>
          <w:tcPr>
            <w:tcW w:w="3402" w:type="dxa"/>
            <w:shd w:val="clear" w:color="auto" w:fill="EEF1F5"/>
          </w:tcPr>
          <w:p w14:paraId="47578595" w14:textId="77777777" w:rsidR="00FC207D" w:rsidRDefault="00457720">
            <w:pPr>
              <w:spacing w:before="20" w:after="20"/>
            </w:pPr>
            <w:r>
              <w:rPr>
                <w:sz w:val="17"/>
              </w:rPr>
              <w:t>Use the tonnage table on the Market Overview page, which converts using each sheet's own stated weight.</w:t>
            </w:r>
          </w:p>
        </w:tc>
      </w:tr>
      <w:tr w:rsidR="00FC207D" w14:paraId="5056CC5E" w14:textId="77777777">
        <w:trPr>
          <w:jc w:val="center"/>
        </w:trPr>
        <w:tc>
          <w:tcPr>
            <w:tcW w:w="2608" w:type="dxa"/>
          </w:tcPr>
          <w:p w14:paraId="0E756067" w14:textId="77777777" w:rsidR="00FC207D" w:rsidRDefault="00457720">
            <w:pPr>
              <w:spacing w:before="20" w:after="20"/>
            </w:pPr>
            <w:r>
              <w:rPr>
                <w:b/>
                <w:sz w:val="17"/>
              </w:rPr>
              <w:t>Which mandi should I watch to trade another a day later?</w:t>
            </w:r>
          </w:p>
        </w:tc>
        <w:tc>
          <w:tcPr>
            <w:tcW w:w="3402" w:type="dxa"/>
          </w:tcPr>
          <w:p w14:paraId="48000D62" w14:textId="77777777" w:rsidR="00FC207D" w:rsidRDefault="00457720">
            <w:pPr>
              <w:spacing w:before="20" w:after="20"/>
            </w:pPr>
            <w:r>
              <w:rPr>
                <w:sz w:val="17"/>
              </w:rPr>
              <w:t>None. Every cross-correlation peaks at zero lag on daily data.</w:t>
            </w:r>
          </w:p>
        </w:tc>
        <w:tc>
          <w:tcPr>
            <w:tcW w:w="3402" w:type="dxa"/>
          </w:tcPr>
          <w:p w14:paraId="450E4AC2" w14:textId="77777777" w:rsidR="00FC207D" w:rsidRDefault="00457720">
            <w:pPr>
              <w:spacing w:before="20" w:after="20"/>
            </w:pPr>
            <w:r>
              <w:rPr>
                <w:sz w:val="17"/>
              </w:rPr>
              <w:t>There is no timing edge. Use the spread levels and the cointegration result instead.</w:t>
            </w:r>
          </w:p>
        </w:tc>
      </w:tr>
      <w:tr w:rsidR="00FC207D" w14:paraId="027F763D" w14:textId="77777777">
        <w:trPr>
          <w:jc w:val="center"/>
        </w:trPr>
        <w:tc>
          <w:tcPr>
            <w:tcW w:w="2608" w:type="dxa"/>
            <w:shd w:val="clear" w:color="auto" w:fill="EEF1F5"/>
          </w:tcPr>
          <w:p w14:paraId="2CEB0E76" w14:textId="77777777" w:rsidR="00FC207D" w:rsidRDefault="00457720">
            <w:pPr>
              <w:spacing w:before="20" w:after="20"/>
            </w:pPr>
            <w:r>
              <w:rPr>
                <w:b/>
                <w:sz w:val="17"/>
              </w:rPr>
              <w:t>What will production be in 2026?</w:t>
            </w:r>
          </w:p>
        </w:tc>
        <w:tc>
          <w:tcPr>
            <w:tcW w:w="3402" w:type="dxa"/>
            <w:shd w:val="clear" w:color="auto" w:fill="EEF1F5"/>
          </w:tcPr>
          <w:p w14:paraId="50969650" w14:textId="77777777" w:rsidR="00FC207D" w:rsidRDefault="00457720">
            <w:pPr>
              <w:spacing w:before="20" w:after="20"/>
            </w:pPr>
            <w:r>
              <w:rPr>
                <w:sz w:val="17"/>
              </w:rPr>
              <w:t>The APY sheet records an area figure for 2026 but no production or yield.</w:t>
            </w:r>
          </w:p>
        </w:tc>
        <w:tc>
          <w:tcPr>
            <w:tcW w:w="3402" w:type="dxa"/>
            <w:shd w:val="clear" w:color="auto" w:fill="EEF1F5"/>
          </w:tcPr>
          <w:p w14:paraId="3C1165E9" w14:textId="77777777" w:rsidR="00FC207D" w:rsidRDefault="00457720">
            <w:pPr>
              <w:spacing w:before="20" w:after="20"/>
            </w:pPr>
            <w:r>
              <w:rPr>
                <w:sz w:val="17"/>
              </w:rPr>
              <w:t>Use the balance sheet's expected production of 9.15 lakh tonnes, remembering it is the workbook's expectation, not a measurement.</w:t>
            </w:r>
          </w:p>
        </w:tc>
      </w:tr>
      <w:tr w:rsidR="00FC207D" w14:paraId="45E2FEEB" w14:textId="77777777">
        <w:trPr>
          <w:jc w:val="center"/>
        </w:trPr>
        <w:tc>
          <w:tcPr>
            <w:tcW w:w="2608" w:type="dxa"/>
          </w:tcPr>
          <w:p w14:paraId="6EE7A66C" w14:textId="77777777" w:rsidR="00FC207D" w:rsidRDefault="00457720">
            <w:pPr>
              <w:spacing w:before="20" w:after="20"/>
            </w:pPr>
            <w:r>
              <w:rPr>
                <w:b/>
                <w:sz w:val="17"/>
              </w:rPr>
              <w:t>Is the latest monthly average comparable with earlier months?</w:t>
            </w:r>
          </w:p>
        </w:tc>
        <w:tc>
          <w:tcPr>
            <w:tcW w:w="3402" w:type="dxa"/>
          </w:tcPr>
          <w:p w14:paraId="47E87A24" w14:textId="77777777" w:rsidR="00FC207D" w:rsidRDefault="00457720">
            <w:pPr>
              <w:spacing w:before="20" w:after="20"/>
            </w:pPr>
            <w:r>
              <w:rPr>
                <w:sz w:val="17"/>
              </w:rPr>
              <w:t>The workbook ends on 20 July 2026, so the July average covers 20 of 31 days.</w:t>
            </w:r>
          </w:p>
        </w:tc>
        <w:tc>
          <w:tcPr>
            <w:tcW w:w="3402" w:type="dxa"/>
          </w:tcPr>
          <w:p w14:paraId="3CA2A00E" w14:textId="77777777" w:rsidR="00FC207D" w:rsidRDefault="00457720">
            <w:pPr>
              <w:spacing w:before="20" w:after="20"/>
            </w:pPr>
            <w:r>
              <w:rPr>
                <w:sz w:val="17"/>
              </w:rPr>
              <w:t>The dashboard flags this wherever a resampled series is used. It matters most because that part-month is the forecast's starting point.</w:t>
            </w:r>
          </w:p>
        </w:tc>
      </w:tr>
    </w:tbl>
    <w:p w14:paraId="305A624D" w14:textId="77777777" w:rsidR="00FC207D" w:rsidRDefault="00FC207D">
      <w:pPr>
        <w:spacing w:after="80"/>
      </w:pPr>
    </w:p>
    <w:p w14:paraId="1679F127" w14:textId="77777777" w:rsidR="00FC207D" w:rsidRDefault="00457720">
      <w:r>
        <w:br w:type="page"/>
      </w:r>
    </w:p>
    <w:p w14:paraId="5F251C17" w14:textId="77777777" w:rsidR="00FC207D" w:rsidRDefault="00457720">
      <w:pPr>
        <w:pStyle w:val="Heading1"/>
        <w:pBdr>
          <w:bottom w:val="single" w:sz="12" w:space="4" w:color="C2410C"/>
        </w:pBdr>
      </w:pPr>
      <w:bookmarkStart w:id="24" w:name="_Toc236139956"/>
      <w:r>
        <w:lastRenderedPageBreak/>
        <w:t>Part 7 — Quick reference: every chart in one line</w:t>
      </w:r>
      <w:bookmarkEnd w:id="24"/>
    </w:p>
    <w:tbl>
      <w:tblPr>
        <w:tblStyle w:val="TableGrid"/>
        <w:tblW w:w="0" w:type="auto"/>
        <w:jc w:val="center"/>
        <w:tblLayout w:type="fixed"/>
        <w:tblLook w:val="04A0" w:firstRow="1" w:lastRow="0" w:firstColumn="1" w:lastColumn="0" w:noHBand="0" w:noVBand="1"/>
      </w:tblPr>
      <w:tblGrid>
        <w:gridCol w:w="1814"/>
        <w:gridCol w:w="2835"/>
        <w:gridCol w:w="4762"/>
      </w:tblGrid>
      <w:tr w:rsidR="00FC207D" w14:paraId="4A8E8361" w14:textId="77777777">
        <w:trPr>
          <w:jc w:val="center"/>
        </w:trPr>
        <w:tc>
          <w:tcPr>
            <w:tcW w:w="1814" w:type="dxa"/>
            <w:shd w:val="clear" w:color="auto" w:fill="1A2027"/>
          </w:tcPr>
          <w:p w14:paraId="2DB37DAA" w14:textId="77777777" w:rsidR="00FC207D" w:rsidRDefault="00457720">
            <w:pPr>
              <w:spacing w:before="20" w:after="20"/>
            </w:pPr>
            <w:r>
              <w:rPr>
                <w:b/>
                <w:color w:val="FFFFFF"/>
                <w:sz w:val="16"/>
              </w:rPr>
              <w:t>Page</w:t>
            </w:r>
          </w:p>
        </w:tc>
        <w:tc>
          <w:tcPr>
            <w:tcW w:w="2835" w:type="dxa"/>
            <w:shd w:val="clear" w:color="auto" w:fill="1A2027"/>
          </w:tcPr>
          <w:p w14:paraId="59E8BE65" w14:textId="77777777" w:rsidR="00FC207D" w:rsidRDefault="00457720">
            <w:pPr>
              <w:spacing w:before="20" w:after="20"/>
            </w:pPr>
            <w:r>
              <w:rPr>
                <w:b/>
                <w:color w:val="FFFFFF"/>
                <w:sz w:val="16"/>
              </w:rPr>
              <w:t>Chart or table</w:t>
            </w:r>
          </w:p>
        </w:tc>
        <w:tc>
          <w:tcPr>
            <w:tcW w:w="4762" w:type="dxa"/>
            <w:shd w:val="clear" w:color="auto" w:fill="1A2027"/>
          </w:tcPr>
          <w:p w14:paraId="50DD0826" w14:textId="77777777" w:rsidR="00FC207D" w:rsidRDefault="00457720">
            <w:pPr>
              <w:spacing w:before="20" w:after="20"/>
            </w:pPr>
            <w:r>
              <w:rPr>
                <w:b/>
                <w:color w:val="FFFFFF"/>
                <w:sz w:val="16"/>
              </w:rPr>
              <w:t>What it tells you in one line</w:t>
            </w:r>
          </w:p>
        </w:tc>
      </w:tr>
      <w:tr w:rsidR="00FC207D" w14:paraId="7E38C6E5" w14:textId="77777777">
        <w:trPr>
          <w:jc w:val="center"/>
        </w:trPr>
        <w:tc>
          <w:tcPr>
            <w:tcW w:w="1814" w:type="dxa"/>
          </w:tcPr>
          <w:p w14:paraId="5852F774" w14:textId="77777777" w:rsidR="00FC207D" w:rsidRDefault="00457720">
            <w:pPr>
              <w:spacing w:before="20" w:after="20"/>
            </w:pPr>
            <w:r>
              <w:rPr>
                <w:b/>
                <w:sz w:val="16"/>
              </w:rPr>
              <w:t>Executive Summary</w:t>
            </w:r>
          </w:p>
        </w:tc>
        <w:tc>
          <w:tcPr>
            <w:tcW w:w="2835" w:type="dxa"/>
          </w:tcPr>
          <w:p w14:paraId="01EC0778" w14:textId="77777777" w:rsidR="00FC207D" w:rsidRDefault="00457720">
            <w:pPr>
              <w:spacing w:before="20" w:after="20"/>
            </w:pPr>
            <w:r>
              <w:rPr>
                <w:sz w:val="16"/>
              </w:rPr>
              <w:t>Summary cards</w:t>
            </w:r>
          </w:p>
        </w:tc>
        <w:tc>
          <w:tcPr>
            <w:tcW w:w="4762" w:type="dxa"/>
          </w:tcPr>
          <w:p w14:paraId="56E73067" w14:textId="77777777" w:rsidR="00FC207D" w:rsidRDefault="00457720">
            <w:pPr>
              <w:spacing w:before="20" w:after="20"/>
            </w:pPr>
            <w:r>
              <w:rPr>
                <w:sz w:val="16"/>
              </w:rPr>
              <w:t>Latest price and how fast it got there.</w:t>
            </w:r>
          </w:p>
        </w:tc>
      </w:tr>
      <w:tr w:rsidR="00FC207D" w14:paraId="1190D0E2" w14:textId="77777777">
        <w:trPr>
          <w:jc w:val="center"/>
        </w:trPr>
        <w:tc>
          <w:tcPr>
            <w:tcW w:w="1814" w:type="dxa"/>
            <w:shd w:val="clear" w:color="auto" w:fill="EEF1F5"/>
          </w:tcPr>
          <w:p w14:paraId="63332A1D" w14:textId="77777777" w:rsidR="00FC207D" w:rsidRDefault="00FC207D">
            <w:pPr>
              <w:spacing w:before="20" w:after="20"/>
            </w:pPr>
          </w:p>
        </w:tc>
        <w:tc>
          <w:tcPr>
            <w:tcW w:w="2835" w:type="dxa"/>
            <w:shd w:val="clear" w:color="auto" w:fill="EEF1F5"/>
          </w:tcPr>
          <w:p w14:paraId="3CE37C2B" w14:textId="77777777" w:rsidR="00FC207D" w:rsidRDefault="00457720">
            <w:pPr>
              <w:spacing w:before="20" w:after="20"/>
            </w:pPr>
            <w:r>
              <w:rPr>
                <w:sz w:val="16"/>
              </w:rPr>
              <w:t>Change by horizon</w:t>
            </w:r>
          </w:p>
        </w:tc>
        <w:tc>
          <w:tcPr>
            <w:tcW w:w="4762" w:type="dxa"/>
            <w:shd w:val="clear" w:color="auto" w:fill="EEF1F5"/>
          </w:tcPr>
          <w:p w14:paraId="7E1F4B18" w14:textId="77777777" w:rsidR="00FC207D" w:rsidRDefault="00457720">
            <w:pPr>
              <w:spacing w:before="20" w:after="20"/>
            </w:pPr>
            <w:r>
              <w:rPr>
                <w:sz w:val="16"/>
              </w:rPr>
              <w:t>Whether a move is recent or long-standing.</w:t>
            </w:r>
          </w:p>
        </w:tc>
      </w:tr>
      <w:tr w:rsidR="00FC207D" w14:paraId="6631C5E3" w14:textId="77777777">
        <w:trPr>
          <w:jc w:val="center"/>
        </w:trPr>
        <w:tc>
          <w:tcPr>
            <w:tcW w:w="1814" w:type="dxa"/>
          </w:tcPr>
          <w:p w14:paraId="7BAA16A2" w14:textId="77777777" w:rsidR="00FC207D" w:rsidRDefault="00FC207D">
            <w:pPr>
              <w:spacing w:before="20" w:after="20"/>
            </w:pPr>
          </w:p>
        </w:tc>
        <w:tc>
          <w:tcPr>
            <w:tcW w:w="2835" w:type="dxa"/>
          </w:tcPr>
          <w:p w14:paraId="47334F52" w14:textId="77777777" w:rsidR="00FC207D" w:rsidRDefault="00457720">
            <w:pPr>
              <w:spacing w:before="20" w:after="20"/>
            </w:pPr>
            <w:r>
              <w:rPr>
                <w:sz w:val="16"/>
              </w:rPr>
              <w:t>Sentiment gauge + components</w:t>
            </w:r>
          </w:p>
        </w:tc>
        <w:tc>
          <w:tcPr>
            <w:tcW w:w="4762" w:type="dxa"/>
          </w:tcPr>
          <w:p w14:paraId="1676CA0B" w14:textId="77777777" w:rsidR="00FC207D" w:rsidRDefault="00457720">
            <w:pPr>
              <w:spacing w:before="20" w:after="20"/>
            </w:pPr>
            <w:r>
              <w:rPr>
                <w:sz w:val="16"/>
              </w:rPr>
              <w:t>Bullish or bearish, and which of five measures is driving it.</w:t>
            </w:r>
          </w:p>
        </w:tc>
      </w:tr>
      <w:tr w:rsidR="00FC207D" w14:paraId="2E50FBC6" w14:textId="77777777">
        <w:trPr>
          <w:jc w:val="center"/>
        </w:trPr>
        <w:tc>
          <w:tcPr>
            <w:tcW w:w="1814" w:type="dxa"/>
            <w:shd w:val="clear" w:color="auto" w:fill="EEF1F5"/>
          </w:tcPr>
          <w:p w14:paraId="1E8170A8" w14:textId="77777777" w:rsidR="00FC207D" w:rsidRDefault="00FC207D">
            <w:pPr>
              <w:spacing w:before="20" w:after="20"/>
            </w:pPr>
          </w:p>
        </w:tc>
        <w:tc>
          <w:tcPr>
            <w:tcW w:w="2835" w:type="dxa"/>
            <w:shd w:val="clear" w:color="auto" w:fill="EEF1F5"/>
          </w:tcPr>
          <w:p w14:paraId="66CB92AE" w14:textId="77777777" w:rsidR="00FC207D" w:rsidRDefault="00457720">
            <w:pPr>
              <w:spacing w:before="20" w:after="20"/>
            </w:pPr>
            <w:r>
              <w:rPr>
                <w:sz w:val="16"/>
              </w:rPr>
              <w:t>Variety prices</w:t>
            </w:r>
          </w:p>
        </w:tc>
        <w:tc>
          <w:tcPr>
            <w:tcW w:w="4762" w:type="dxa"/>
            <w:shd w:val="clear" w:color="auto" w:fill="EEF1F5"/>
          </w:tcPr>
          <w:p w14:paraId="2AC6F926" w14:textId="77777777" w:rsidR="00FC207D" w:rsidRDefault="00457720">
            <w:pPr>
              <w:spacing w:before="20" w:after="20"/>
            </w:pPr>
            <w:r>
              <w:rPr>
                <w:sz w:val="16"/>
              </w:rPr>
              <w:t>The whole complex moves as one bundle.</w:t>
            </w:r>
          </w:p>
        </w:tc>
      </w:tr>
      <w:tr w:rsidR="00FC207D" w14:paraId="3801896C" w14:textId="77777777">
        <w:trPr>
          <w:jc w:val="center"/>
        </w:trPr>
        <w:tc>
          <w:tcPr>
            <w:tcW w:w="1814" w:type="dxa"/>
          </w:tcPr>
          <w:p w14:paraId="73D7B404" w14:textId="77777777" w:rsidR="00FC207D" w:rsidRDefault="00FC207D">
            <w:pPr>
              <w:spacing w:before="20" w:after="20"/>
            </w:pPr>
          </w:p>
        </w:tc>
        <w:tc>
          <w:tcPr>
            <w:tcW w:w="2835" w:type="dxa"/>
          </w:tcPr>
          <w:p w14:paraId="3521FC88" w14:textId="77777777" w:rsidR="00FC207D" w:rsidRDefault="00457720">
            <w:pPr>
              <w:spacing w:before="20" w:after="20"/>
            </w:pPr>
            <w:r>
              <w:rPr>
                <w:sz w:val="16"/>
              </w:rPr>
              <w:t>Supply and trade cards</w:t>
            </w:r>
          </w:p>
        </w:tc>
        <w:tc>
          <w:tcPr>
            <w:tcW w:w="4762" w:type="dxa"/>
          </w:tcPr>
          <w:p w14:paraId="73E1C9A4" w14:textId="77777777" w:rsidR="00FC207D" w:rsidRDefault="00457720">
            <w:pPr>
              <w:spacing w:before="20" w:after="20"/>
            </w:pPr>
            <w:r>
              <w:rPr>
                <w:sz w:val="16"/>
              </w:rPr>
              <w:t>Arrivals, offtake ratio, exports and stock tightness against their norms.</w:t>
            </w:r>
          </w:p>
        </w:tc>
      </w:tr>
      <w:tr w:rsidR="00FC207D" w14:paraId="72E6ABBD" w14:textId="77777777">
        <w:trPr>
          <w:jc w:val="center"/>
        </w:trPr>
        <w:tc>
          <w:tcPr>
            <w:tcW w:w="1814" w:type="dxa"/>
            <w:shd w:val="clear" w:color="auto" w:fill="EEF1F5"/>
          </w:tcPr>
          <w:p w14:paraId="2E01BCFE" w14:textId="77777777" w:rsidR="00FC207D" w:rsidRDefault="00FC207D">
            <w:pPr>
              <w:spacing w:before="20" w:after="20"/>
            </w:pPr>
          </w:p>
        </w:tc>
        <w:tc>
          <w:tcPr>
            <w:tcW w:w="2835" w:type="dxa"/>
            <w:shd w:val="clear" w:color="auto" w:fill="EEF1F5"/>
          </w:tcPr>
          <w:p w14:paraId="13BC1E10" w14:textId="77777777" w:rsidR="00FC207D" w:rsidRDefault="00457720">
            <w:pPr>
              <w:spacing w:before="20" w:after="20"/>
            </w:pPr>
            <w:r>
              <w:rPr>
                <w:sz w:val="16"/>
              </w:rPr>
              <w:t>Price against arrivals</w:t>
            </w:r>
          </w:p>
        </w:tc>
        <w:tc>
          <w:tcPr>
            <w:tcW w:w="4762" w:type="dxa"/>
            <w:shd w:val="clear" w:color="auto" w:fill="EEF1F5"/>
          </w:tcPr>
          <w:p w14:paraId="32DA11B9" w14:textId="77777777" w:rsidR="00FC207D" w:rsidRDefault="00457720">
            <w:pPr>
              <w:spacing w:before="20" w:after="20"/>
            </w:pPr>
            <w:r>
              <w:rPr>
                <w:sz w:val="16"/>
              </w:rPr>
              <w:t>Whether volume is visibly moving price (it is not).</w:t>
            </w:r>
          </w:p>
        </w:tc>
      </w:tr>
      <w:tr w:rsidR="00FC207D" w14:paraId="577E5963" w14:textId="77777777">
        <w:trPr>
          <w:jc w:val="center"/>
        </w:trPr>
        <w:tc>
          <w:tcPr>
            <w:tcW w:w="1814" w:type="dxa"/>
          </w:tcPr>
          <w:p w14:paraId="16576115" w14:textId="77777777" w:rsidR="00FC207D" w:rsidRDefault="00FC207D">
            <w:pPr>
              <w:spacing w:before="20" w:after="20"/>
            </w:pPr>
          </w:p>
        </w:tc>
        <w:tc>
          <w:tcPr>
            <w:tcW w:w="2835" w:type="dxa"/>
          </w:tcPr>
          <w:p w14:paraId="31341A01" w14:textId="77777777" w:rsidR="00FC207D" w:rsidRDefault="00457720">
            <w:pPr>
              <w:spacing w:before="20" w:after="20"/>
            </w:pPr>
            <w:r>
              <w:rPr>
                <w:sz w:val="16"/>
              </w:rPr>
              <w:t>Forecast summary</w:t>
            </w:r>
          </w:p>
        </w:tc>
        <w:tc>
          <w:tcPr>
            <w:tcW w:w="4762" w:type="dxa"/>
          </w:tcPr>
          <w:p w14:paraId="36D654C2" w14:textId="77777777" w:rsidR="00FC207D" w:rsidRDefault="00457720">
            <w:pPr>
              <w:spacing w:before="20" w:after="20"/>
            </w:pPr>
            <w:r>
              <w:rPr>
                <w:sz w:val="16"/>
              </w:rPr>
              <w:t>Six-month projection for both focus varieties, with its range.</w:t>
            </w:r>
          </w:p>
        </w:tc>
      </w:tr>
      <w:tr w:rsidR="00FC207D" w14:paraId="4C1D2910" w14:textId="77777777">
        <w:trPr>
          <w:jc w:val="center"/>
        </w:trPr>
        <w:tc>
          <w:tcPr>
            <w:tcW w:w="1814" w:type="dxa"/>
            <w:shd w:val="clear" w:color="auto" w:fill="EEF1F5"/>
          </w:tcPr>
          <w:p w14:paraId="25380CAC" w14:textId="77777777" w:rsidR="00FC207D" w:rsidRDefault="00457720">
            <w:pPr>
              <w:spacing w:before="20" w:after="20"/>
            </w:pPr>
            <w:r>
              <w:rPr>
                <w:b/>
                <w:sz w:val="16"/>
              </w:rPr>
              <w:t>Market Overview</w:t>
            </w:r>
          </w:p>
        </w:tc>
        <w:tc>
          <w:tcPr>
            <w:tcW w:w="2835" w:type="dxa"/>
            <w:shd w:val="clear" w:color="auto" w:fill="EEF1F5"/>
          </w:tcPr>
          <w:p w14:paraId="724AF6ED" w14:textId="77777777" w:rsidR="00FC207D" w:rsidRDefault="00457720">
            <w:pPr>
              <w:spacing w:before="20" w:after="20"/>
            </w:pPr>
            <w:r>
              <w:rPr>
                <w:sz w:val="16"/>
              </w:rPr>
              <w:t>Teja price by market</w:t>
            </w:r>
          </w:p>
        </w:tc>
        <w:tc>
          <w:tcPr>
            <w:tcW w:w="4762" w:type="dxa"/>
            <w:shd w:val="clear" w:color="auto" w:fill="EEF1F5"/>
          </w:tcPr>
          <w:p w14:paraId="40EFD723" w14:textId="77777777" w:rsidR="00FC207D" w:rsidRDefault="00457720">
            <w:pPr>
              <w:spacing w:before="20" w:after="20"/>
            </w:pPr>
            <w:r>
              <w:rPr>
                <w:sz w:val="16"/>
              </w:rPr>
              <w:t>The normal price pecking order between mandis.</w:t>
            </w:r>
          </w:p>
        </w:tc>
      </w:tr>
      <w:tr w:rsidR="00FC207D" w14:paraId="6CB3BFF7" w14:textId="77777777">
        <w:trPr>
          <w:jc w:val="center"/>
        </w:trPr>
        <w:tc>
          <w:tcPr>
            <w:tcW w:w="1814" w:type="dxa"/>
          </w:tcPr>
          <w:p w14:paraId="15BD325E" w14:textId="77777777" w:rsidR="00FC207D" w:rsidRDefault="00FC207D">
            <w:pPr>
              <w:spacing w:before="20" w:after="20"/>
            </w:pPr>
          </w:p>
        </w:tc>
        <w:tc>
          <w:tcPr>
            <w:tcW w:w="2835" w:type="dxa"/>
          </w:tcPr>
          <w:p w14:paraId="1641F4AD" w14:textId="77777777" w:rsidR="00FC207D" w:rsidRDefault="00457720">
            <w:pPr>
              <w:spacing w:before="20" w:after="20"/>
            </w:pPr>
            <w:r>
              <w:rPr>
                <w:sz w:val="16"/>
              </w:rPr>
              <w:t>Arrivals by market</w:t>
            </w:r>
          </w:p>
        </w:tc>
        <w:tc>
          <w:tcPr>
            <w:tcW w:w="4762" w:type="dxa"/>
          </w:tcPr>
          <w:p w14:paraId="7B5450FC" w14:textId="77777777" w:rsidR="00FC207D" w:rsidRDefault="00457720">
            <w:pPr>
              <w:spacing w:before="20" w:after="20"/>
            </w:pPr>
            <w:r>
              <w:rPr>
                <w:sz w:val="16"/>
              </w:rPr>
              <w:t>Relative volume and shared harvest timing.</w:t>
            </w:r>
          </w:p>
        </w:tc>
      </w:tr>
      <w:tr w:rsidR="00FC207D" w14:paraId="2D0B0F47" w14:textId="77777777">
        <w:trPr>
          <w:jc w:val="center"/>
        </w:trPr>
        <w:tc>
          <w:tcPr>
            <w:tcW w:w="1814" w:type="dxa"/>
            <w:shd w:val="clear" w:color="auto" w:fill="EEF1F5"/>
          </w:tcPr>
          <w:p w14:paraId="46D860A4" w14:textId="77777777" w:rsidR="00FC207D" w:rsidRDefault="00FC207D">
            <w:pPr>
              <w:spacing w:before="20" w:after="20"/>
            </w:pPr>
          </w:p>
        </w:tc>
        <w:tc>
          <w:tcPr>
            <w:tcW w:w="2835" w:type="dxa"/>
            <w:shd w:val="clear" w:color="auto" w:fill="EEF1F5"/>
          </w:tcPr>
          <w:p w14:paraId="76003B6E" w14:textId="77777777" w:rsidR="00FC207D" w:rsidRDefault="00457720">
            <w:pPr>
              <w:spacing w:before="20" w:after="20"/>
            </w:pPr>
            <w:r>
              <w:rPr>
                <w:sz w:val="16"/>
              </w:rPr>
              <w:t>Arrivals in tonnes</w:t>
            </w:r>
          </w:p>
        </w:tc>
        <w:tc>
          <w:tcPr>
            <w:tcW w:w="4762" w:type="dxa"/>
            <w:shd w:val="clear" w:color="auto" w:fill="EEF1F5"/>
          </w:tcPr>
          <w:p w14:paraId="01F4F296" w14:textId="77777777" w:rsidR="00FC207D" w:rsidRDefault="00457720">
            <w:pPr>
              <w:spacing w:before="20" w:after="20"/>
            </w:pPr>
            <w:r>
              <w:rPr>
                <w:sz w:val="16"/>
              </w:rPr>
              <w:t>The only volume figures comparable across markets.</w:t>
            </w:r>
          </w:p>
        </w:tc>
      </w:tr>
      <w:tr w:rsidR="00FC207D" w14:paraId="55970DCC" w14:textId="77777777">
        <w:trPr>
          <w:jc w:val="center"/>
        </w:trPr>
        <w:tc>
          <w:tcPr>
            <w:tcW w:w="1814" w:type="dxa"/>
          </w:tcPr>
          <w:p w14:paraId="1C55E5C6" w14:textId="77777777" w:rsidR="00FC207D" w:rsidRDefault="00FC207D">
            <w:pPr>
              <w:spacing w:before="20" w:after="20"/>
            </w:pPr>
          </w:p>
        </w:tc>
        <w:tc>
          <w:tcPr>
            <w:tcW w:w="2835" w:type="dxa"/>
          </w:tcPr>
          <w:p w14:paraId="265C9248" w14:textId="77777777" w:rsidR="00FC207D" w:rsidRDefault="00457720">
            <w:pPr>
              <w:spacing w:before="20" w:after="20"/>
            </w:pPr>
            <w:r>
              <w:rPr>
                <w:sz w:val="16"/>
              </w:rPr>
              <w:t>Dataset coverage</w:t>
            </w:r>
          </w:p>
        </w:tc>
        <w:tc>
          <w:tcPr>
            <w:tcW w:w="4762" w:type="dxa"/>
          </w:tcPr>
          <w:p w14:paraId="48649438" w14:textId="77777777" w:rsidR="00FC207D" w:rsidRDefault="00457720">
            <w:pPr>
              <w:spacing w:before="20" w:after="20"/>
            </w:pPr>
            <w:r>
              <w:rPr>
                <w:sz w:val="16"/>
              </w:rPr>
              <w:t>How far back each sheet actually reaches.</w:t>
            </w:r>
          </w:p>
        </w:tc>
      </w:tr>
      <w:tr w:rsidR="00FC207D" w14:paraId="0B406644" w14:textId="77777777">
        <w:trPr>
          <w:jc w:val="center"/>
        </w:trPr>
        <w:tc>
          <w:tcPr>
            <w:tcW w:w="1814" w:type="dxa"/>
            <w:shd w:val="clear" w:color="auto" w:fill="EEF1F5"/>
          </w:tcPr>
          <w:p w14:paraId="1EF922B4" w14:textId="77777777" w:rsidR="00FC207D" w:rsidRDefault="00457720">
            <w:pPr>
              <w:spacing w:before="20" w:after="20"/>
            </w:pPr>
            <w:r>
              <w:rPr>
                <w:b/>
                <w:sz w:val="16"/>
              </w:rPr>
              <w:t>Price Analysis</w:t>
            </w:r>
          </w:p>
        </w:tc>
        <w:tc>
          <w:tcPr>
            <w:tcW w:w="2835" w:type="dxa"/>
            <w:shd w:val="clear" w:color="auto" w:fill="EEF1F5"/>
          </w:tcPr>
          <w:p w14:paraId="56B513D4" w14:textId="77777777" w:rsidR="00FC207D" w:rsidRDefault="00457720">
            <w:pPr>
              <w:spacing w:before="20" w:after="20"/>
            </w:pPr>
            <w:r>
              <w:rPr>
                <w:sz w:val="16"/>
              </w:rPr>
              <w:t>Price with moving averages</w:t>
            </w:r>
          </w:p>
        </w:tc>
        <w:tc>
          <w:tcPr>
            <w:tcW w:w="4762" w:type="dxa"/>
            <w:shd w:val="clear" w:color="auto" w:fill="EEF1F5"/>
          </w:tcPr>
          <w:p w14:paraId="7BC68DF2" w14:textId="77777777" w:rsidR="00FC207D" w:rsidRDefault="00457720">
            <w:pPr>
              <w:spacing w:before="20" w:after="20"/>
            </w:pPr>
            <w:r>
              <w:rPr>
                <w:sz w:val="16"/>
              </w:rPr>
              <w:t>Trend direction and whether the move is stretched.</w:t>
            </w:r>
          </w:p>
        </w:tc>
      </w:tr>
      <w:tr w:rsidR="00FC207D" w14:paraId="66098F0D" w14:textId="77777777">
        <w:trPr>
          <w:jc w:val="center"/>
        </w:trPr>
        <w:tc>
          <w:tcPr>
            <w:tcW w:w="1814" w:type="dxa"/>
          </w:tcPr>
          <w:p w14:paraId="40A0012A" w14:textId="77777777" w:rsidR="00FC207D" w:rsidRDefault="00FC207D">
            <w:pPr>
              <w:spacing w:before="20" w:after="20"/>
            </w:pPr>
          </w:p>
        </w:tc>
        <w:tc>
          <w:tcPr>
            <w:tcW w:w="2835" w:type="dxa"/>
          </w:tcPr>
          <w:p w14:paraId="55598684" w14:textId="77777777" w:rsidR="00FC207D" w:rsidRDefault="00457720">
            <w:pPr>
              <w:spacing w:before="20" w:after="20"/>
            </w:pPr>
            <w:r>
              <w:rPr>
                <w:sz w:val="16"/>
              </w:rPr>
              <w:t>Rolling volatility</w:t>
            </w:r>
          </w:p>
        </w:tc>
        <w:tc>
          <w:tcPr>
            <w:tcW w:w="4762" w:type="dxa"/>
          </w:tcPr>
          <w:p w14:paraId="668A631F" w14:textId="77777777" w:rsidR="00FC207D" w:rsidRDefault="00457720">
            <w:pPr>
              <w:spacing w:before="20" w:after="20"/>
            </w:pPr>
            <w:r>
              <w:rPr>
                <w:sz w:val="16"/>
              </w:rPr>
              <w:t>How wild the market is now versus normal.</w:t>
            </w:r>
          </w:p>
        </w:tc>
      </w:tr>
      <w:tr w:rsidR="00FC207D" w14:paraId="1C0A55CE" w14:textId="77777777">
        <w:trPr>
          <w:jc w:val="center"/>
        </w:trPr>
        <w:tc>
          <w:tcPr>
            <w:tcW w:w="1814" w:type="dxa"/>
            <w:shd w:val="clear" w:color="auto" w:fill="EEF1F5"/>
          </w:tcPr>
          <w:p w14:paraId="17C1CA0E" w14:textId="77777777" w:rsidR="00FC207D" w:rsidRDefault="00FC207D">
            <w:pPr>
              <w:spacing w:before="20" w:after="20"/>
            </w:pPr>
          </w:p>
        </w:tc>
        <w:tc>
          <w:tcPr>
            <w:tcW w:w="2835" w:type="dxa"/>
            <w:shd w:val="clear" w:color="auto" w:fill="EEF1F5"/>
          </w:tcPr>
          <w:p w14:paraId="007136E2" w14:textId="77777777" w:rsidR="00FC207D" w:rsidRDefault="00457720">
            <w:pPr>
              <w:spacing w:before="20" w:after="20"/>
            </w:pPr>
            <w:r>
              <w:rPr>
                <w:sz w:val="16"/>
              </w:rPr>
              <w:t>Relative performance</w:t>
            </w:r>
          </w:p>
        </w:tc>
        <w:tc>
          <w:tcPr>
            <w:tcW w:w="4762" w:type="dxa"/>
            <w:shd w:val="clear" w:color="auto" w:fill="EEF1F5"/>
          </w:tcPr>
          <w:p w14:paraId="12532DA2" w14:textId="77777777" w:rsidR="00FC207D" w:rsidRDefault="00457720">
            <w:pPr>
              <w:spacing w:before="20" w:after="20"/>
            </w:pPr>
            <w:r>
              <w:rPr>
                <w:sz w:val="16"/>
              </w:rPr>
              <w:t>Which grade actually made you money.</w:t>
            </w:r>
          </w:p>
        </w:tc>
      </w:tr>
      <w:tr w:rsidR="00FC207D" w14:paraId="35C58CA5" w14:textId="77777777">
        <w:trPr>
          <w:jc w:val="center"/>
        </w:trPr>
        <w:tc>
          <w:tcPr>
            <w:tcW w:w="1814" w:type="dxa"/>
          </w:tcPr>
          <w:p w14:paraId="538A766C" w14:textId="77777777" w:rsidR="00FC207D" w:rsidRDefault="00FC207D">
            <w:pPr>
              <w:spacing w:before="20" w:after="20"/>
            </w:pPr>
          </w:p>
        </w:tc>
        <w:tc>
          <w:tcPr>
            <w:tcW w:w="2835" w:type="dxa"/>
          </w:tcPr>
          <w:p w14:paraId="01EDE05F" w14:textId="77777777" w:rsidR="00FC207D" w:rsidRDefault="00457720">
            <w:pPr>
              <w:spacing w:before="20" w:after="20"/>
            </w:pPr>
            <w:r>
              <w:rPr>
                <w:sz w:val="16"/>
              </w:rPr>
              <w:t>Descriptive statistics</w:t>
            </w:r>
          </w:p>
        </w:tc>
        <w:tc>
          <w:tcPr>
            <w:tcW w:w="4762" w:type="dxa"/>
          </w:tcPr>
          <w:p w14:paraId="1DC5511D" w14:textId="77777777" w:rsidR="00FC207D" w:rsidRDefault="00457720">
            <w:pPr>
              <w:spacing w:before="20" w:after="20"/>
            </w:pPr>
            <w:r>
              <w:rPr>
                <w:sz w:val="16"/>
              </w:rPr>
              <w:t>What a normal price and normal spread look like.</w:t>
            </w:r>
          </w:p>
        </w:tc>
      </w:tr>
      <w:tr w:rsidR="00FC207D" w14:paraId="2142A7D1" w14:textId="77777777">
        <w:trPr>
          <w:jc w:val="center"/>
        </w:trPr>
        <w:tc>
          <w:tcPr>
            <w:tcW w:w="1814" w:type="dxa"/>
            <w:shd w:val="clear" w:color="auto" w:fill="EEF1F5"/>
          </w:tcPr>
          <w:p w14:paraId="76B16EE1" w14:textId="77777777" w:rsidR="00FC207D" w:rsidRDefault="00FC207D">
            <w:pPr>
              <w:spacing w:before="20" w:after="20"/>
            </w:pPr>
          </w:p>
        </w:tc>
        <w:tc>
          <w:tcPr>
            <w:tcW w:w="2835" w:type="dxa"/>
            <w:shd w:val="clear" w:color="auto" w:fill="EEF1F5"/>
          </w:tcPr>
          <w:p w14:paraId="0FF79EE2" w14:textId="77777777" w:rsidR="00FC207D" w:rsidRDefault="00457720">
            <w:pPr>
              <w:spacing w:before="20" w:after="20"/>
            </w:pPr>
            <w:r>
              <w:rPr>
                <w:sz w:val="16"/>
              </w:rPr>
              <w:t>Decomposition</w:t>
            </w:r>
          </w:p>
        </w:tc>
        <w:tc>
          <w:tcPr>
            <w:tcW w:w="4762" w:type="dxa"/>
            <w:shd w:val="clear" w:color="auto" w:fill="EEF1F5"/>
          </w:tcPr>
          <w:p w14:paraId="2997025E" w14:textId="77777777" w:rsidR="00FC207D" w:rsidRDefault="00457720">
            <w:pPr>
              <w:spacing w:before="20" w:after="20"/>
            </w:pPr>
            <w:r>
              <w:rPr>
                <w:sz w:val="16"/>
              </w:rPr>
              <w:t>How much is trend versus season versus noise.</w:t>
            </w:r>
          </w:p>
        </w:tc>
      </w:tr>
      <w:tr w:rsidR="00FC207D" w14:paraId="500D7B9F" w14:textId="77777777">
        <w:trPr>
          <w:jc w:val="center"/>
        </w:trPr>
        <w:tc>
          <w:tcPr>
            <w:tcW w:w="1814" w:type="dxa"/>
          </w:tcPr>
          <w:p w14:paraId="152CC456" w14:textId="77777777" w:rsidR="00FC207D" w:rsidRDefault="00FC207D">
            <w:pPr>
              <w:spacing w:before="20" w:after="20"/>
            </w:pPr>
          </w:p>
        </w:tc>
        <w:tc>
          <w:tcPr>
            <w:tcW w:w="2835" w:type="dxa"/>
          </w:tcPr>
          <w:p w14:paraId="7174CEB0" w14:textId="77777777" w:rsidR="00FC207D" w:rsidRDefault="00457720">
            <w:pPr>
              <w:spacing w:before="20" w:after="20"/>
            </w:pPr>
            <w:r>
              <w:rPr>
                <w:sz w:val="16"/>
              </w:rPr>
              <w:t>Stationarity / ACF / outliers</w:t>
            </w:r>
          </w:p>
        </w:tc>
        <w:tc>
          <w:tcPr>
            <w:tcW w:w="4762" w:type="dxa"/>
          </w:tcPr>
          <w:p w14:paraId="292A1FAA" w14:textId="77777777" w:rsidR="00FC207D" w:rsidRDefault="00457720">
            <w:pPr>
              <w:spacing w:before="20" w:after="20"/>
            </w:pPr>
            <w:r>
              <w:rPr>
                <w:sz w:val="16"/>
              </w:rPr>
              <w:t>Whether the series is fit to model, and any suspect data.</w:t>
            </w:r>
          </w:p>
        </w:tc>
      </w:tr>
      <w:tr w:rsidR="00FC207D" w14:paraId="1874F3C6" w14:textId="77777777">
        <w:trPr>
          <w:jc w:val="center"/>
        </w:trPr>
        <w:tc>
          <w:tcPr>
            <w:tcW w:w="1814" w:type="dxa"/>
            <w:shd w:val="clear" w:color="auto" w:fill="EEF1F5"/>
          </w:tcPr>
          <w:p w14:paraId="304C6BD0" w14:textId="77777777" w:rsidR="00FC207D" w:rsidRDefault="00457720">
            <w:pPr>
              <w:spacing w:before="20" w:after="20"/>
            </w:pPr>
            <w:r>
              <w:rPr>
                <w:b/>
                <w:sz w:val="16"/>
              </w:rPr>
              <w:t>Arrival Analysis</w:t>
            </w:r>
          </w:p>
        </w:tc>
        <w:tc>
          <w:tcPr>
            <w:tcW w:w="2835" w:type="dxa"/>
            <w:shd w:val="clear" w:color="auto" w:fill="EEF1F5"/>
          </w:tcPr>
          <w:p w14:paraId="7ED0D75C" w14:textId="77777777" w:rsidR="00FC207D" w:rsidRDefault="00457720">
            <w:pPr>
              <w:spacing w:before="20" w:after="20"/>
            </w:pPr>
            <w:r>
              <w:rPr>
                <w:sz w:val="16"/>
              </w:rPr>
              <w:t>Price and arrivals</w:t>
            </w:r>
          </w:p>
        </w:tc>
        <w:tc>
          <w:tcPr>
            <w:tcW w:w="4762" w:type="dxa"/>
            <w:shd w:val="clear" w:color="auto" w:fill="EEF1F5"/>
          </w:tcPr>
          <w:p w14:paraId="2CE2EB98" w14:textId="77777777" w:rsidR="00FC207D" w:rsidRDefault="00457720">
            <w:pPr>
              <w:spacing w:before="20" w:after="20"/>
            </w:pPr>
            <w:r>
              <w:rPr>
                <w:sz w:val="16"/>
              </w:rPr>
              <w:t>The visual test of the supply-price link.</w:t>
            </w:r>
          </w:p>
        </w:tc>
      </w:tr>
      <w:tr w:rsidR="00FC207D" w14:paraId="5D356B6D" w14:textId="77777777">
        <w:trPr>
          <w:jc w:val="center"/>
        </w:trPr>
        <w:tc>
          <w:tcPr>
            <w:tcW w:w="1814" w:type="dxa"/>
          </w:tcPr>
          <w:p w14:paraId="59B8A654" w14:textId="77777777" w:rsidR="00FC207D" w:rsidRDefault="00FC207D">
            <w:pPr>
              <w:spacing w:before="20" w:after="20"/>
            </w:pPr>
          </w:p>
        </w:tc>
        <w:tc>
          <w:tcPr>
            <w:tcW w:w="2835" w:type="dxa"/>
          </w:tcPr>
          <w:p w14:paraId="1BD1D596" w14:textId="77777777" w:rsidR="00FC207D" w:rsidRDefault="00457720">
            <w:pPr>
              <w:spacing w:before="20" w:after="20"/>
            </w:pPr>
            <w:r>
              <w:rPr>
                <w:sz w:val="16"/>
              </w:rPr>
              <w:t>Arrivals against offtake</w:t>
            </w:r>
          </w:p>
        </w:tc>
        <w:tc>
          <w:tcPr>
            <w:tcW w:w="4762" w:type="dxa"/>
          </w:tcPr>
          <w:p w14:paraId="5BFB92A3" w14:textId="77777777" w:rsidR="00FC207D" w:rsidRDefault="00457720">
            <w:pPr>
              <w:spacing w:before="20" w:after="20"/>
            </w:pPr>
            <w:r>
              <w:rPr>
                <w:sz w:val="16"/>
              </w:rPr>
              <w:t>Whether material is piling up unsold.</w:t>
            </w:r>
          </w:p>
        </w:tc>
      </w:tr>
      <w:tr w:rsidR="00FC207D" w14:paraId="42603F04" w14:textId="77777777">
        <w:trPr>
          <w:jc w:val="center"/>
        </w:trPr>
        <w:tc>
          <w:tcPr>
            <w:tcW w:w="1814" w:type="dxa"/>
            <w:shd w:val="clear" w:color="auto" w:fill="EEF1F5"/>
          </w:tcPr>
          <w:p w14:paraId="65672A3C" w14:textId="77777777" w:rsidR="00FC207D" w:rsidRDefault="00FC207D">
            <w:pPr>
              <w:spacing w:before="20" w:after="20"/>
            </w:pPr>
          </w:p>
        </w:tc>
        <w:tc>
          <w:tcPr>
            <w:tcW w:w="2835" w:type="dxa"/>
            <w:shd w:val="clear" w:color="auto" w:fill="EEF1F5"/>
          </w:tcPr>
          <w:p w14:paraId="41CC2061" w14:textId="77777777" w:rsidR="00FC207D" w:rsidRDefault="00457720">
            <w:pPr>
              <w:spacing w:before="20" w:after="20"/>
            </w:pPr>
            <w:r>
              <w:rPr>
                <w:sz w:val="16"/>
              </w:rPr>
              <w:t>Scatter with fit</w:t>
            </w:r>
          </w:p>
        </w:tc>
        <w:tc>
          <w:tcPr>
            <w:tcW w:w="4762" w:type="dxa"/>
            <w:shd w:val="clear" w:color="auto" w:fill="EEF1F5"/>
          </w:tcPr>
          <w:p w14:paraId="4F03083F" w14:textId="77777777" w:rsidR="00FC207D" w:rsidRDefault="00457720">
            <w:pPr>
              <w:spacing w:before="20" w:after="20"/>
            </w:pPr>
            <w:r>
              <w:rPr>
                <w:sz w:val="16"/>
              </w:rPr>
              <w:t>The same test as a cloud of points.</w:t>
            </w:r>
          </w:p>
        </w:tc>
      </w:tr>
      <w:tr w:rsidR="00FC207D" w14:paraId="68909290" w14:textId="77777777">
        <w:trPr>
          <w:jc w:val="center"/>
        </w:trPr>
        <w:tc>
          <w:tcPr>
            <w:tcW w:w="1814" w:type="dxa"/>
          </w:tcPr>
          <w:p w14:paraId="015E4609" w14:textId="77777777" w:rsidR="00FC207D" w:rsidRDefault="00FC207D">
            <w:pPr>
              <w:spacing w:before="20" w:after="20"/>
            </w:pPr>
          </w:p>
        </w:tc>
        <w:tc>
          <w:tcPr>
            <w:tcW w:w="2835" w:type="dxa"/>
          </w:tcPr>
          <w:p w14:paraId="18B188FC" w14:textId="77777777" w:rsidR="00FC207D" w:rsidRDefault="00457720">
            <w:pPr>
              <w:spacing w:before="20" w:after="20"/>
            </w:pPr>
            <w:r>
              <w:rPr>
                <w:sz w:val="16"/>
              </w:rPr>
              <w:t>Elasticity by lag</w:t>
            </w:r>
          </w:p>
        </w:tc>
        <w:tc>
          <w:tcPr>
            <w:tcW w:w="4762" w:type="dxa"/>
          </w:tcPr>
          <w:p w14:paraId="6DE0EA7C" w14:textId="77777777" w:rsidR="00FC207D" w:rsidRDefault="00457720">
            <w:pPr>
              <w:spacing w:before="20" w:after="20"/>
            </w:pPr>
            <w:r>
              <w:rPr>
                <w:sz w:val="16"/>
              </w:rPr>
              <w:t>The size of the price response to arrivals (tiny).</w:t>
            </w:r>
          </w:p>
        </w:tc>
      </w:tr>
      <w:tr w:rsidR="00FC207D" w14:paraId="59E86DB0" w14:textId="77777777">
        <w:trPr>
          <w:jc w:val="center"/>
        </w:trPr>
        <w:tc>
          <w:tcPr>
            <w:tcW w:w="1814" w:type="dxa"/>
            <w:shd w:val="clear" w:color="auto" w:fill="EEF1F5"/>
          </w:tcPr>
          <w:p w14:paraId="0D539C1F" w14:textId="77777777" w:rsidR="00FC207D" w:rsidRDefault="00FC207D">
            <w:pPr>
              <w:spacing w:before="20" w:after="20"/>
            </w:pPr>
          </w:p>
        </w:tc>
        <w:tc>
          <w:tcPr>
            <w:tcW w:w="2835" w:type="dxa"/>
            <w:shd w:val="clear" w:color="auto" w:fill="EEF1F5"/>
          </w:tcPr>
          <w:p w14:paraId="5B9903C3" w14:textId="77777777" w:rsidR="00FC207D" w:rsidRDefault="00457720">
            <w:pPr>
              <w:spacing w:before="20" w:after="20"/>
            </w:pPr>
            <w:r>
              <w:rPr>
                <w:sz w:val="16"/>
              </w:rPr>
              <w:t>Threshold quintiles</w:t>
            </w:r>
          </w:p>
        </w:tc>
        <w:tc>
          <w:tcPr>
            <w:tcW w:w="4762" w:type="dxa"/>
            <w:shd w:val="clear" w:color="auto" w:fill="EEF1F5"/>
          </w:tcPr>
          <w:p w14:paraId="18323A04" w14:textId="77777777" w:rsidR="00FC207D" w:rsidRDefault="00457720">
            <w:pPr>
              <w:spacing w:before="20" w:after="20"/>
            </w:pPr>
            <w:r>
              <w:rPr>
                <w:sz w:val="16"/>
              </w:rPr>
              <w:t>The arrival level where prices start to soften (weakly).</w:t>
            </w:r>
          </w:p>
        </w:tc>
      </w:tr>
      <w:tr w:rsidR="00FC207D" w14:paraId="43C14CB2" w14:textId="77777777">
        <w:trPr>
          <w:jc w:val="center"/>
        </w:trPr>
        <w:tc>
          <w:tcPr>
            <w:tcW w:w="1814" w:type="dxa"/>
          </w:tcPr>
          <w:p w14:paraId="44C4E8A8" w14:textId="77777777" w:rsidR="00FC207D" w:rsidRDefault="00FC207D">
            <w:pPr>
              <w:spacing w:before="20" w:after="20"/>
            </w:pPr>
          </w:p>
        </w:tc>
        <w:tc>
          <w:tcPr>
            <w:tcW w:w="2835" w:type="dxa"/>
          </w:tcPr>
          <w:p w14:paraId="511E4833" w14:textId="77777777" w:rsidR="00FC207D" w:rsidRDefault="00457720">
            <w:pPr>
              <w:spacing w:before="20" w:after="20"/>
            </w:pPr>
            <w:r>
              <w:rPr>
                <w:sz w:val="16"/>
              </w:rPr>
              <w:t>Lagged impact</w:t>
            </w:r>
          </w:p>
        </w:tc>
        <w:tc>
          <w:tcPr>
            <w:tcW w:w="4762" w:type="dxa"/>
          </w:tcPr>
          <w:p w14:paraId="11C4BE32" w14:textId="77777777" w:rsidR="00FC207D" w:rsidRDefault="00457720">
            <w:pPr>
              <w:spacing w:before="20" w:after="20"/>
            </w:pPr>
            <w:r>
              <w:rPr>
                <w:sz w:val="16"/>
              </w:rPr>
              <w:t>How long the arrivals effect takes (immediately).</w:t>
            </w:r>
          </w:p>
        </w:tc>
      </w:tr>
      <w:tr w:rsidR="00FC207D" w14:paraId="1B821E5B" w14:textId="77777777">
        <w:trPr>
          <w:jc w:val="center"/>
        </w:trPr>
        <w:tc>
          <w:tcPr>
            <w:tcW w:w="1814" w:type="dxa"/>
            <w:shd w:val="clear" w:color="auto" w:fill="EEF1F5"/>
          </w:tcPr>
          <w:p w14:paraId="69A81BE8" w14:textId="77777777" w:rsidR="00FC207D" w:rsidRDefault="00FC207D">
            <w:pPr>
              <w:spacing w:before="20" w:after="20"/>
            </w:pPr>
          </w:p>
        </w:tc>
        <w:tc>
          <w:tcPr>
            <w:tcW w:w="2835" w:type="dxa"/>
            <w:shd w:val="clear" w:color="auto" w:fill="EEF1F5"/>
          </w:tcPr>
          <w:p w14:paraId="71438BEA" w14:textId="77777777" w:rsidR="00FC207D" w:rsidRDefault="00457720">
            <w:pPr>
              <w:spacing w:before="20" w:after="20"/>
            </w:pPr>
            <w:r>
              <w:rPr>
                <w:sz w:val="16"/>
              </w:rPr>
              <w:t>Monthly arrivals heatmap</w:t>
            </w:r>
          </w:p>
        </w:tc>
        <w:tc>
          <w:tcPr>
            <w:tcW w:w="4762" w:type="dxa"/>
            <w:shd w:val="clear" w:color="auto" w:fill="EEF1F5"/>
          </w:tcPr>
          <w:p w14:paraId="475B7AC8" w14:textId="77777777" w:rsidR="00FC207D" w:rsidRDefault="00457720">
            <w:pPr>
              <w:spacing w:before="20" w:after="20"/>
            </w:pPr>
            <w:r>
              <w:rPr>
                <w:sz w:val="16"/>
              </w:rPr>
              <w:t>The harvest calendar, which is highly predictable.</w:t>
            </w:r>
          </w:p>
        </w:tc>
      </w:tr>
      <w:tr w:rsidR="00FC207D" w14:paraId="0A1E3721" w14:textId="77777777">
        <w:trPr>
          <w:jc w:val="center"/>
        </w:trPr>
        <w:tc>
          <w:tcPr>
            <w:tcW w:w="1814" w:type="dxa"/>
          </w:tcPr>
          <w:p w14:paraId="69D33869" w14:textId="77777777" w:rsidR="00FC207D" w:rsidRDefault="00457720">
            <w:pPr>
              <w:spacing w:before="20" w:after="20"/>
            </w:pPr>
            <w:r>
              <w:rPr>
                <w:b/>
                <w:sz w:val="16"/>
              </w:rPr>
              <w:t>Market Integration</w:t>
            </w:r>
          </w:p>
        </w:tc>
        <w:tc>
          <w:tcPr>
            <w:tcW w:w="2835" w:type="dxa"/>
          </w:tcPr>
          <w:p w14:paraId="67280C8D" w14:textId="77777777" w:rsidR="00FC207D" w:rsidRDefault="00457720">
            <w:pPr>
              <w:spacing w:before="20" w:after="20"/>
            </w:pPr>
            <w:r>
              <w:rPr>
                <w:sz w:val="16"/>
              </w:rPr>
              <w:t>Price by market, daily</w:t>
            </w:r>
          </w:p>
        </w:tc>
        <w:tc>
          <w:tcPr>
            <w:tcW w:w="4762" w:type="dxa"/>
          </w:tcPr>
          <w:p w14:paraId="06767975" w14:textId="77777777" w:rsidR="00FC207D" w:rsidRDefault="00457720">
            <w:pPr>
              <w:spacing w:before="20" w:after="20"/>
            </w:pPr>
            <w:r>
              <w:rPr>
                <w:sz w:val="16"/>
              </w:rPr>
              <w:t>How tightly the mandis track at full resolution.</w:t>
            </w:r>
          </w:p>
        </w:tc>
      </w:tr>
      <w:tr w:rsidR="00FC207D" w14:paraId="4D1444DF" w14:textId="77777777">
        <w:trPr>
          <w:jc w:val="center"/>
        </w:trPr>
        <w:tc>
          <w:tcPr>
            <w:tcW w:w="1814" w:type="dxa"/>
            <w:shd w:val="clear" w:color="auto" w:fill="EEF1F5"/>
          </w:tcPr>
          <w:p w14:paraId="44359440" w14:textId="77777777" w:rsidR="00FC207D" w:rsidRDefault="00FC207D">
            <w:pPr>
              <w:spacing w:before="20" w:after="20"/>
            </w:pPr>
          </w:p>
        </w:tc>
        <w:tc>
          <w:tcPr>
            <w:tcW w:w="2835" w:type="dxa"/>
            <w:shd w:val="clear" w:color="auto" w:fill="EEF1F5"/>
          </w:tcPr>
          <w:p w14:paraId="56853BFB" w14:textId="77777777" w:rsidR="00FC207D" w:rsidRDefault="00457720">
            <w:pPr>
              <w:spacing w:before="20" w:after="20"/>
            </w:pPr>
            <w:r>
              <w:rPr>
                <w:sz w:val="16"/>
              </w:rPr>
              <w:t>Spread to Guntur</w:t>
            </w:r>
          </w:p>
        </w:tc>
        <w:tc>
          <w:tcPr>
            <w:tcW w:w="4762" w:type="dxa"/>
            <w:shd w:val="clear" w:color="auto" w:fill="EEF1F5"/>
          </w:tcPr>
          <w:p w14:paraId="505AF921" w14:textId="77777777" w:rsidR="00FC207D" w:rsidRDefault="00457720">
            <w:pPr>
              <w:spacing w:before="20" w:after="20"/>
            </w:pPr>
            <w:r>
              <w:rPr>
                <w:sz w:val="16"/>
              </w:rPr>
              <w:t>The current premium or discount, and whether it mean-reverts.</w:t>
            </w:r>
          </w:p>
        </w:tc>
      </w:tr>
      <w:tr w:rsidR="00FC207D" w14:paraId="7E5FF5B3" w14:textId="77777777">
        <w:trPr>
          <w:jc w:val="center"/>
        </w:trPr>
        <w:tc>
          <w:tcPr>
            <w:tcW w:w="1814" w:type="dxa"/>
          </w:tcPr>
          <w:p w14:paraId="1DA30FB5" w14:textId="77777777" w:rsidR="00FC207D" w:rsidRDefault="00FC207D">
            <w:pPr>
              <w:spacing w:before="20" w:after="20"/>
            </w:pPr>
          </w:p>
        </w:tc>
        <w:tc>
          <w:tcPr>
            <w:tcW w:w="2835" w:type="dxa"/>
          </w:tcPr>
          <w:p w14:paraId="139E4D6D" w14:textId="77777777" w:rsidR="00FC207D" w:rsidRDefault="00457720">
            <w:pPr>
              <w:spacing w:before="20" w:after="20"/>
            </w:pPr>
            <w:r>
              <w:rPr>
                <w:sz w:val="16"/>
              </w:rPr>
              <w:t>Influence diagram</w:t>
            </w:r>
          </w:p>
        </w:tc>
        <w:tc>
          <w:tcPr>
            <w:tcW w:w="4762" w:type="dxa"/>
          </w:tcPr>
          <w:p w14:paraId="3B0D0AB1" w14:textId="77777777" w:rsidR="00FC207D" w:rsidRDefault="00457720">
            <w:pPr>
              <w:spacing w:before="20" w:after="20"/>
            </w:pPr>
            <w:r>
              <w:rPr>
                <w:sz w:val="16"/>
              </w:rPr>
              <w:t>Who sets the price, on one slide.</w:t>
            </w:r>
          </w:p>
        </w:tc>
      </w:tr>
      <w:tr w:rsidR="00FC207D" w14:paraId="57C6E2D6" w14:textId="77777777">
        <w:trPr>
          <w:jc w:val="center"/>
        </w:trPr>
        <w:tc>
          <w:tcPr>
            <w:tcW w:w="1814" w:type="dxa"/>
            <w:shd w:val="clear" w:color="auto" w:fill="EEF1F5"/>
          </w:tcPr>
          <w:p w14:paraId="4261C638" w14:textId="77777777" w:rsidR="00FC207D" w:rsidRDefault="00FC207D">
            <w:pPr>
              <w:spacing w:before="20" w:after="20"/>
            </w:pPr>
          </w:p>
        </w:tc>
        <w:tc>
          <w:tcPr>
            <w:tcW w:w="2835" w:type="dxa"/>
            <w:shd w:val="clear" w:color="auto" w:fill="EEF1F5"/>
          </w:tcPr>
          <w:p w14:paraId="3BFE254A" w14:textId="77777777" w:rsidR="00FC207D" w:rsidRDefault="00457720">
            <w:pPr>
              <w:spacing w:before="20" w:after="20"/>
            </w:pPr>
            <w:r>
              <w:rPr>
                <w:sz w:val="16"/>
              </w:rPr>
              <w:t>Direction of influence</w:t>
            </w:r>
          </w:p>
        </w:tc>
        <w:tc>
          <w:tcPr>
            <w:tcW w:w="4762" w:type="dxa"/>
            <w:shd w:val="clear" w:color="auto" w:fill="EEF1F5"/>
          </w:tcPr>
          <w:p w14:paraId="1FE964A5" w14:textId="77777777" w:rsidR="00FC207D" w:rsidRDefault="00457720">
            <w:pPr>
              <w:spacing w:before="20" w:after="20"/>
            </w:pPr>
            <w:r>
              <w:rPr>
                <w:sz w:val="16"/>
              </w:rPr>
              <w:t>Which relationships are one-way and which are mutual.</w:t>
            </w:r>
          </w:p>
        </w:tc>
      </w:tr>
      <w:tr w:rsidR="00FC207D" w14:paraId="38817AA1" w14:textId="77777777">
        <w:trPr>
          <w:jc w:val="center"/>
        </w:trPr>
        <w:tc>
          <w:tcPr>
            <w:tcW w:w="1814" w:type="dxa"/>
          </w:tcPr>
          <w:p w14:paraId="03F8FDDE" w14:textId="77777777" w:rsidR="00FC207D" w:rsidRDefault="00FC207D">
            <w:pPr>
              <w:spacing w:before="20" w:after="20"/>
            </w:pPr>
          </w:p>
        </w:tc>
        <w:tc>
          <w:tcPr>
            <w:tcW w:w="2835" w:type="dxa"/>
          </w:tcPr>
          <w:p w14:paraId="022FE420" w14:textId="77777777" w:rsidR="00FC207D" w:rsidRDefault="00457720">
            <w:pPr>
              <w:spacing w:before="20" w:after="20"/>
            </w:pPr>
            <w:r>
              <w:rPr>
                <w:sz w:val="16"/>
              </w:rPr>
              <w:t>Leadership ranking</w:t>
            </w:r>
          </w:p>
        </w:tc>
        <w:tc>
          <w:tcPr>
            <w:tcW w:w="4762" w:type="dxa"/>
          </w:tcPr>
          <w:p w14:paraId="024F5521" w14:textId="77777777" w:rsidR="00FC207D" w:rsidRDefault="00457720">
            <w:pPr>
              <w:spacing w:before="20" w:after="20"/>
            </w:pPr>
            <w:r>
              <w:rPr>
                <w:sz w:val="16"/>
              </w:rPr>
              <w:t>The order in which to watch the mandis.</w:t>
            </w:r>
          </w:p>
        </w:tc>
      </w:tr>
      <w:tr w:rsidR="00FC207D" w14:paraId="71EA4001" w14:textId="77777777">
        <w:trPr>
          <w:jc w:val="center"/>
        </w:trPr>
        <w:tc>
          <w:tcPr>
            <w:tcW w:w="1814" w:type="dxa"/>
            <w:shd w:val="clear" w:color="auto" w:fill="EEF1F5"/>
          </w:tcPr>
          <w:p w14:paraId="5A4A4055" w14:textId="77777777" w:rsidR="00FC207D" w:rsidRDefault="00FC207D">
            <w:pPr>
              <w:spacing w:before="20" w:after="20"/>
            </w:pPr>
          </w:p>
        </w:tc>
        <w:tc>
          <w:tcPr>
            <w:tcW w:w="2835" w:type="dxa"/>
            <w:shd w:val="clear" w:color="auto" w:fill="EEF1F5"/>
          </w:tcPr>
          <w:p w14:paraId="6D92EADF" w14:textId="77777777" w:rsidR="00FC207D" w:rsidRDefault="00457720">
            <w:pPr>
              <w:spacing w:before="20" w:after="20"/>
            </w:pPr>
            <w:r>
              <w:rPr>
                <w:sz w:val="16"/>
              </w:rPr>
              <w:t>Lead-lag timing</w:t>
            </w:r>
          </w:p>
        </w:tc>
        <w:tc>
          <w:tcPr>
            <w:tcW w:w="4762" w:type="dxa"/>
            <w:shd w:val="clear" w:color="auto" w:fill="EEF1F5"/>
          </w:tcPr>
          <w:p w14:paraId="38495FBA" w14:textId="77777777" w:rsidR="00FC207D" w:rsidRDefault="00457720">
            <w:pPr>
              <w:spacing w:before="20" w:after="20"/>
            </w:pPr>
            <w:r>
              <w:rPr>
                <w:sz w:val="16"/>
              </w:rPr>
              <w:t>That there is no timing edge anywhere.</w:t>
            </w:r>
          </w:p>
        </w:tc>
      </w:tr>
      <w:tr w:rsidR="00FC207D" w14:paraId="133314EB" w14:textId="77777777">
        <w:trPr>
          <w:jc w:val="center"/>
        </w:trPr>
        <w:tc>
          <w:tcPr>
            <w:tcW w:w="1814" w:type="dxa"/>
          </w:tcPr>
          <w:p w14:paraId="42A6539C" w14:textId="77777777" w:rsidR="00FC207D" w:rsidRDefault="00FC207D">
            <w:pPr>
              <w:spacing w:before="20" w:after="20"/>
            </w:pPr>
          </w:p>
        </w:tc>
        <w:tc>
          <w:tcPr>
            <w:tcW w:w="2835" w:type="dxa"/>
          </w:tcPr>
          <w:p w14:paraId="01E25B39" w14:textId="77777777" w:rsidR="00FC207D" w:rsidRDefault="00457720">
            <w:pPr>
              <w:spacing w:before="20" w:after="20"/>
            </w:pPr>
            <w:r>
              <w:rPr>
                <w:sz w:val="16"/>
              </w:rPr>
              <w:t>Cointegration tests</w:t>
            </w:r>
          </w:p>
        </w:tc>
        <w:tc>
          <w:tcPr>
            <w:tcW w:w="4762" w:type="dxa"/>
          </w:tcPr>
          <w:p w14:paraId="63D23B20" w14:textId="77777777" w:rsidR="00FC207D" w:rsidRDefault="00457720">
            <w:pPr>
              <w:spacing w:before="20" w:after="20"/>
            </w:pPr>
            <w:r>
              <w:rPr>
                <w:sz w:val="16"/>
              </w:rPr>
              <w:t>That spreads are anchored and will close.</w:t>
            </w:r>
          </w:p>
        </w:tc>
      </w:tr>
      <w:tr w:rsidR="00FC207D" w14:paraId="68ED1F50" w14:textId="77777777">
        <w:trPr>
          <w:jc w:val="center"/>
        </w:trPr>
        <w:tc>
          <w:tcPr>
            <w:tcW w:w="1814" w:type="dxa"/>
            <w:shd w:val="clear" w:color="auto" w:fill="EEF1F5"/>
          </w:tcPr>
          <w:p w14:paraId="29B64122" w14:textId="77777777" w:rsidR="00FC207D" w:rsidRDefault="00457720">
            <w:pPr>
              <w:spacing w:before="20" w:after="20"/>
            </w:pPr>
            <w:r>
              <w:rPr>
                <w:b/>
                <w:sz w:val="16"/>
              </w:rPr>
              <w:t>Correlation Studio</w:t>
            </w:r>
          </w:p>
        </w:tc>
        <w:tc>
          <w:tcPr>
            <w:tcW w:w="2835" w:type="dxa"/>
            <w:shd w:val="clear" w:color="auto" w:fill="EEF1F5"/>
          </w:tcPr>
          <w:p w14:paraId="4FED6CF3" w14:textId="77777777" w:rsidR="00FC207D" w:rsidRDefault="00457720">
            <w:pPr>
              <w:spacing w:before="20" w:after="20"/>
            </w:pPr>
            <w:r>
              <w:rPr>
                <w:sz w:val="16"/>
              </w:rPr>
              <w:t>Pearson / Spearman heatmaps</w:t>
            </w:r>
          </w:p>
        </w:tc>
        <w:tc>
          <w:tcPr>
            <w:tcW w:w="4762" w:type="dxa"/>
            <w:shd w:val="clear" w:color="auto" w:fill="EEF1F5"/>
          </w:tcPr>
          <w:p w14:paraId="62797793" w14:textId="77777777" w:rsidR="00FC207D" w:rsidRDefault="00457720">
            <w:pPr>
              <w:spacing w:before="20" w:after="20"/>
            </w:pPr>
            <w:r>
              <w:rPr>
                <w:sz w:val="16"/>
              </w:rPr>
              <w:t>Which varieties can hedge which.</w:t>
            </w:r>
          </w:p>
        </w:tc>
      </w:tr>
      <w:tr w:rsidR="00FC207D" w14:paraId="36CD8D30" w14:textId="77777777">
        <w:trPr>
          <w:jc w:val="center"/>
        </w:trPr>
        <w:tc>
          <w:tcPr>
            <w:tcW w:w="1814" w:type="dxa"/>
          </w:tcPr>
          <w:p w14:paraId="6BD722E4" w14:textId="77777777" w:rsidR="00FC207D" w:rsidRDefault="00FC207D">
            <w:pPr>
              <w:spacing w:before="20" w:after="20"/>
            </w:pPr>
          </w:p>
        </w:tc>
        <w:tc>
          <w:tcPr>
            <w:tcW w:w="2835" w:type="dxa"/>
          </w:tcPr>
          <w:p w14:paraId="37627512" w14:textId="77777777" w:rsidR="00FC207D" w:rsidRDefault="00457720">
            <w:pPr>
              <w:spacing w:before="20" w:after="20"/>
            </w:pPr>
            <w:r>
              <w:rPr>
                <w:sz w:val="16"/>
              </w:rPr>
              <w:t>Workbook's own matrix</w:t>
            </w:r>
          </w:p>
        </w:tc>
        <w:tc>
          <w:tcPr>
            <w:tcW w:w="4762" w:type="dxa"/>
          </w:tcPr>
          <w:p w14:paraId="57321146" w14:textId="77777777" w:rsidR="00FC207D" w:rsidRDefault="00457720">
            <w:pPr>
              <w:spacing w:before="20" w:after="20"/>
            </w:pPr>
            <w:r>
              <w:rPr>
                <w:sz w:val="16"/>
              </w:rPr>
              <w:t>The figures you already know, unchanged.</w:t>
            </w:r>
          </w:p>
        </w:tc>
      </w:tr>
      <w:tr w:rsidR="00FC207D" w14:paraId="46392AF1" w14:textId="77777777">
        <w:trPr>
          <w:jc w:val="center"/>
        </w:trPr>
        <w:tc>
          <w:tcPr>
            <w:tcW w:w="1814" w:type="dxa"/>
            <w:shd w:val="clear" w:color="auto" w:fill="EEF1F5"/>
          </w:tcPr>
          <w:p w14:paraId="06AE2D5A" w14:textId="77777777" w:rsidR="00FC207D" w:rsidRDefault="00FC207D">
            <w:pPr>
              <w:spacing w:before="20" w:after="20"/>
            </w:pPr>
          </w:p>
        </w:tc>
        <w:tc>
          <w:tcPr>
            <w:tcW w:w="2835" w:type="dxa"/>
            <w:shd w:val="clear" w:color="auto" w:fill="EEF1F5"/>
          </w:tcPr>
          <w:p w14:paraId="630E9109" w14:textId="77777777" w:rsidR="00FC207D" w:rsidRDefault="00457720">
            <w:pPr>
              <w:spacing w:before="20" w:after="20"/>
            </w:pPr>
            <w:r>
              <w:rPr>
                <w:sz w:val="16"/>
              </w:rPr>
              <w:t>Reconciliation table</w:t>
            </w:r>
          </w:p>
        </w:tc>
        <w:tc>
          <w:tcPr>
            <w:tcW w:w="4762" w:type="dxa"/>
            <w:shd w:val="clear" w:color="auto" w:fill="EEF1F5"/>
          </w:tcPr>
          <w:p w14:paraId="40DF0114" w14:textId="77777777" w:rsidR="00FC207D" w:rsidRDefault="00457720">
            <w:pPr>
              <w:spacing w:before="20" w:after="20"/>
            </w:pPr>
            <w:r>
              <w:rPr>
                <w:sz w:val="16"/>
              </w:rPr>
              <w:t>Proof the dashboard reproduces those figures.</w:t>
            </w:r>
          </w:p>
        </w:tc>
      </w:tr>
      <w:tr w:rsidR="00FC207D" w14:paraId="7710FDD5" w14:textId="77777777">
        <w:trPr>
          <w:jc w:val="center"/>
        </w:trPr>
        <w:tc>
          <w:tcPr>
            <w:tcW w:w="1814" w:type="dxa"/>
          </w:tcPr>
          <w:p w14:paraId="1A312EC1" w14:textId="77777777" w:rsidR="00FC207D" w:rsidRDefault="00FC207D">
            <w:pPr>
              <w:spacing w:before="20" w:after="20"/>
            </w:pPr>
          </w:p>
        </w:tc>
        <w:tc>
          <w:tcPr>
            <w:tcW w:w="2835" w:type="dxa"/>
          </w:tcPr>
          <w:p w14:paraId="6BDB555D" w14:textId="77777777" w:rsidR="00FC207D" w:rsidRDefault="00457720">
            <w:pPr>
              <w:spacing w:before="20" w:after="20"/>
            </w:pPr>
            <w:r>
              <w:rPr>
                <w:sz w:val="16"/>
              </w:rPr>
              <w:t>Rolling correlation</w:t>
            </w:r>
          </w:p>
        </w:tc>
        <w:tc>
          <w:tcPr>
            <w:tcW w:w="4762" w:type="dxa"/>
          </w:tcPr>
          <w:p w14:paraId="5866B3EA" w14:textId="77777777" w:rsidR="00FC207D" w:rsidRDefault="00457720">
            <w:pPr>
              <w:spacing w:before="20" w:after="20"/>
            </w:pPr>
            <w:r>
              <w:rPr>
                <w:sz w:val="16"/>
              </w:rPr>
              <w:t>Whether a relationship is stable enough to trust.</w:t>
            </w:r>
          </w:p>
        </w:tc>
      </w:tr>
      <w:tr w:rsidR="00FC207D" w14:paraId="272B7ED5" w14:textId="77777777">
        <w:trPr>
          <w:jc w:val="center"/>
        </w:trPr>
        <w:tc>
          <w:tcPr>
            <w:tcW w:w="1814" w:type="dxa"/>
            <w:shd w:val="clear" w:color="auto" w:fill="EEF1F5"/>
          </w:tcPr>
          <w:p w14:paraId="61E6CECF" w14:textId="77777777" w:rsidR="00FC207D" w:rsidRDefault="00FC207D">
            <w:pPr>
              <w:spacing w:before="20" w:after="20"/>
            </w:pPr>
          </w:p>
        </w:tc>
        <w:tc>
          <w:tcPr>
            <w:tcW w:w="2835" w:type="dxa"/>
            <w:shd w:val="clear" w:color="auto" w:fill="EEF1F5"/>
          </w:tcPr>
          <w:p w14:paraId="6E98D3E8" w14:textId="77777777" w:rsidR="00FC207D" w:rsidRDefault="00457720">
            <w:pPr>
              <w:spacing w:before="20" w:after="20"/>
            </w:pPr>
            <w:r>
              <w:rPr>
                <w:sz w:val="16"/>
              </w:rPr>
              <w:t>Cross-correlation explorer</w:t>
            </w:r>
          </w:p>
        </w:tc>
        <w:tc>
          <w:tcPr>
            <w:tcW w:w="4762" w:type="dxa"/>
            <w:shd w:val="clear" w:color="auto" w:fill="EEF1F5"/>
          </w:tcPr>
          <w:p w14:paraId="78065D05" w14:textId="77777777" w:rsidR="00FC207D" w:rsidRDefault="00457720">
            <w:pPr>
              <w:spacing w:before="20" w:after="20"/>
            </w:pPr>
            <w:r>
              <w:rPr>
                <w:sz w:val="16"/>
              </w:rPr>
              <w:t>Who moves first (nobody).</w:t>
            </w:r>
          </w:p>
        </w:tc>
      </w:tr>
      <w:tr w:rsidR="00FC207D" w14:paraId="37FA14E0" w14:textId="77777777">
        <w:trPr>
          <w:jc w:val="center"/>
        </w:trPr>
        <w:tc>
          <w:tcPr>
            <w:tcW w:w="1814" w:type="dxa"/>
          </w:tcPr>
          <w:p w14:paraId="4AAD6827" w14:textId="77777777" w:rsidR="00FC207D" w:rsidRDefault="00FC207D">
            <w:pPr>
              <w:spacing w:before="20" w:after="20"/>
            </w:pPr>
          </w:p>
        </w:tc>
        <w:tc>
          <w:tcPr>
            <w:tcW w:w="2835" w:type="dxa"/>
          </w:tcPr>
          <w:p w14:paraId="79817189" w14:textId="77777777" w:rsidR="00FC207D" w:rsidRDefault="00457720">
            <w:pPr>
              <w:spacing w:before="20" w:after="20"/>
            </w:pPr>
            <w:r>
              <w:rPr>
                <w:sz w:val="16"/>
              </w:rPr>
              <w:t>VIF table</w:t>
            </w:r>
          </w:p>
        </w:tc>
        <w:tc>
          <w:tcPr>
            <w:tcW w:w="4762" w:type="dxa"/>
          </w:tcPr>
          <w:p w14:paraId="75ED9F02" w14:textId="77777777" w:rsidR="00FC207D" w:rsidRDefault="00457720">
            <w:pPr>
              <w:spacing w:before="20" w:after="20"/>
            </w:pPr>
            <w:r>
              <w:rPr>
                <w:sz w:val="16"/>
              </w:rPr>
              <w:t>Which drivers are secretly duplicating each other.</w:t>
            </w:r>
          </w:p>
        </w:tc>
      </w:tr>
      <w:tr w:rsidR="00FC207D" w14:paraId="6D67E88E" w14:textId="77777777">
        <w:trPr>
          <w:jc w:val="center"/>
        </w:trPr>
        <w:tc>
          <w:tcPr>
            <w:tcW w:w="1814" w:type="dxa"/>
            <w:shd w:val="clear" w:color="auto" w:fill="EEF1F5"/>
          </w:tcPr>
          <w:p w14:paraId="0FFFA6AD" w14:textId="77777777" w:rsidR="00FC207D" w:rsidRDefault="00457720">
            <w:pPr>
              <w:spacing w:before="20" w:after="20"/>
            </w:pPr>
            <w:r>
              <w:rPr>
                <w:b/>
                <w:sz w:val="16"/>
              </w:rPr>
              <w:t>Seasonality</w:t>
            </w:r>
          </w:p>
        </w:tc>
        <w:tc>
          <w:tcPr>
            <w:tcW w:w="2835" w:type="dxa"/>
            <w:shd w:val="clear" w:color="auto" w:fill="EEF1F5"/>
          </w:tcPr>
          <w:p w14:paraId="5DA9F165" w14:textId="77777777" w:rsidR="00FC207D" w:rsidRDefault="00457720">
            <w:pPr>
              <w:spacing w:before="20" w:after="20"/>
            </w:pPr>
            <w:r>
              <w:rPr>
                <w:sz w:val="16"/>
              </w:rPr>
              <w:t>Seasonal index</w:t>
            </w:r>
          </w:p>
        </w:tc>
        <w:tc>
          <w:tcPr>
            <w:tcW w:w="4762" w:type="dxa"/>
            <w:shd w:val="clear" w:color="auto" w:fill="EEF1F5"/>
          </w:tcPr>
          <w:p w14:paraId="5B9E9285" w14:textId="77777777" w:rsidR="00FC207D" w:rsidRDefault="00457720">
            <w:pPr>
              <w:spacing w:before="20" w:after="20"/>
            </w:pPr>
            <w:r>
              <w:rPr>
                <w:sz w:val="16"/>
              </w:rPr>
              <w:t>Which months habitually run firm or soft.</w:t>
            </w:r>
          </w:p>
        </w:tc>
      </w:tr>
      <w:tr w:rsidR="00FC207D" w14:paraId="7CC6EE92" w14:textId="77777777">
        <w:trPr>
          <w:jc w:val="center"/>
        </w:trPr>
        <w:tc>
          <w:tcPr>
            <w:tcW w:w="1814" w:type="dxa"/>
          </w:tcPr>
          <w:p w14:paraId="46519389" w14:textId="77777777" w:rsidR="00FC207D" w:rsidRDefault="00FC207D">
            <w:pPr>
              <w:spacing w:before="20" w:after="20"/>
            </w:pPr>
          </w:p>
        </w:tc>
        <w:tc>
          <w:tcPr>
            <w:tcW w:w="2835" w:type="dxa"/>
          </w:tcPr>
          <w:p w14:paraId="4295C3AA" w14:textId="77777777" w:rsidR="00FC207D" w:rsidRDefault="00457720">
            <w:pPr>
              <w:spacing w:before="20" w:after="20"/>
            </w:pPr>
            <w:r>
              <w:rPr>
                <w:sz w:val="16"/>
              </w:rPr>
              <w:t>Monthly boxplots</w:t>
            </w:r>
          </w:p>
        </w:tc>
        <w:tc>
          <w:tcPr>
            <w:tcW w:w="4762" w:type="dxa"/>
          </w:tcPr>
          <w:p w14:paraId="068022E2" w14:textId="77777777" w:rsidR="00FC207D" w:rsidRDefault="00457720">
            <w:pPr>
              <w:spacing w:before="20" w:after="20"/>
            </w:pPr>
            <w:r>
              <w:rPr>
                <w:sz w:val="16"/>
              </w:rPr>
              <w:t>How dependable each month's pattern is.</w:t>
            </w:r>
          </w:p>
        </w:tc>
      </w:tr>
      <w:tr w:rsidR="00FC207D" w14:paraId="09B488F1" w14:textId="77777777">
        <w:trPr>
          <w:jc w:val="center"/>
        </w:trPr>
        <w:tc>
          <w:tcPr>
            <w:tcW w:w="1814" w:type="dxa"/>
            <w:shd w:val="clear" w:color="auto" w:fill="EEF1F5"/>
          </w:tcPr>
          <w:p w14:paraId="76BB5943" w14:textId="77777777" w:rsidR="00FC207D" w:rsidRDefault="00FC207D">
            <w:pPr>
              <w:spacing w:before="20" w:after="20"/>
            </w:pPr>
          </w:p>
        </w:tc>
        <w:tc>
          <w:tcPr>
            <w:tcW w:w="2835" w:type="dxa"/>
            <w:shd w:val="clear" w:color="auto" w:fill="EEF1F5"/>
          </w:tcPr>
          <w:p w14:paraId="0C5C53DB" w14:textId="77777777" w:rsidR="00FC207D" w:rsidRDefault="00457720">
            <w:pPr>
              <w:spacing w:before="20" w:after="20"/>
            </w:pPr>
            <w:r>
              <w:rPr>
                <w:sz w:val="16"/>
              </w:rPr>
              <w:t>Calendar heatmap</w:t>
            </w:r>
          </w:p>
        </w:tc>
        <w:tc>
          <w:tcPr>
            <w:tcW w:w="4762" w:type="dxa"/>
            <w:shd w:val="clear" w:color="auto" w:fill="EEF1F5"/>
          </w:tcPr>
          <w:p w14:paraId="4D09BD6B" w14:textId="77777777" w:rsidR="00FC207D" w:rsidRDefault="00457720">
            <w:pPr>
              <w:spacing w:before="20" w:after="20"/>
            </w:pPr>
            <w:r>
              <w:rPr>
                <w:sz w:val="16"/>
              </w:rPr>
              <w:t>That the year matters more than the month.</w:t>
            </w:r>
          </w:p>
        </w:tc>
      </w:tr>
      <w:tr w:rsidR="00FC207D" w14:paraId="1D7177A2" w14:textId="77777777">
        <w:trPr>
          <w:jc w:val="center"/>
        </w:trPr>
        <w:tc>
          <w:tcPr>
            <w:tcW w:w="1814" w:type="dxa"/>
          </w:tcPr>
          <w:p w14:paraId="6DF63B92" w14:textId="77777777" w:rsidR="00FC207D" w:rsidRDefault="00FC207D">
            <w:pPr>
              <w:spacing w:before="20" w:after="20"/>
            </w:pPr>
          </w:p>
        </w:tc>
        <w:tc>
          <w:tcPr>
            <w:tcW w:w="2835" w:type="dxa"/>
          </w:tcPr>
          <w:p w14:paraId="1A584ED2" w14:textId="77777777" w:rsidR="00FC207D" w:rsidRDefault="00457720">
            <w:pPr>
              <w:spacing w:before="20" w:after="20"/>
            </w:pPr>
            <w:r>
              <w:rPr>
                <w:sz w:val="16"/>
              </w:rPr>
              <w:t>Workbook comparison</w:t>
            </w:r>
          </w:p>
        </w:tc>
        <w:tc>
          <w:tcPr>
            <w:tcW w:w="4762" w:type="dxa"/>
          </w:tcPr>
          <w:p w14:paraId="48D48EA7" w14:textId="77777777" w:rsidR="00FC207D" w:rsidRDefault="00457720">
            <w:pPr>
              <w:spacing w:before="20" w:after="20"/>
            </w:pPr>
            <w:r>
              <w:rPr>
                <w:sz w:val="16"/>
              </w:rPr>
              <w:t>Two independent calculations agreeing.</w:t>
            </w:r>
          </w:p>
        </w:tc>
      </w:tr>
      <w:tr w:rsidR="00FC207D" w14:paraId="7550FB5D" w14:textId="77777777">
        <w:trPr>
          <w:jc w:val="center"/>
        </w:trPr>
        <w:tc>
          <w:tcPr>
            <w:tcW w:w="1814" w:type="dxa"/>
            <w:shd w:val="clear" w:color="auto" w:fill="EEF1F5"/>
          </w:tcPr>
          <w:p w14:paraId="250748F6" w14:textId="77777777" w:rsidR="00FC207D" w:rsidRDefault="00FC207D">
            <w:pPr>
              <w:spacing w:before="20" w:after="20"/>
            </w:pPr>
          </w:p>
        </w:tc>
        <w:tc>
          <w:tcPr>
            <w:tcW w:w="2835" w:type="dxa"/>
            <w:shd w:val="clear" w:color="auto" w:fill="EEF1F5"/>
          </w:tcPr>
          <w:p w14:paraId="2386C74E" w14:textId="77777777" w:rsidR="00FC207D" w:rsidRDefault="00457720">
            <w:pPr>
              <w:spacing w:before="20" w:after="20"/>
            </w:pPr>
            <w:r>
              <w:rPr>
                <w:sz w:val="16"/>
              </w:rPr>
              <w:t>Harvest and lean seasons</w:t>
            </w:r>
          </w:p>
        </w:tc>
        <w:tc>
          <w:tcPr>
            <w:tcW w:w="4762" w:type="dxa"/>
            <w:shd w:val="clear" w:color="auto" w:fill="EEF1F5"/>
          </w:tcPr>
          <w:p w14:paraId="0498CF2F" w14:textId="77777777" w:rsidR="00FC207D" w:rsidRDefault="00457720">
            <w:pPr>
              <w:spacing w:before="20" w:after="20"/>
            </w:pPr>
            <w:r>
              <w:rPr>
                <w:sz w:val="16"/>
              </w:rPr>
              <w:t>The arrival calendar, derived from the data.</w:t>
            </w:r>
          </w:p>
        </w:tc>
      </w:tr>
      <w:tr w:rsidR="00FC207D" w14:paraId="7B4DDD09" w14:textId="77777777">
        <w:trPr>
          <w:jc w:val="center"/>
        </w:trPr>
        <w:tc>
          <w:tcPr>
            <w:tcW w:w="1814" w:type="dxa"/>
          </w:tcPr>
          <w:p w14:paraId="3EC80EF4" w14:textId="77777777" w:rsidR="00FC207D" w:rsidRDefault="00457720">
            <w:pPr>
              <w:spacing w:before="20" w:after="20"/>
            </w:pPr>
            <w:r>
              <w:rPr>
                <w:b/>
                <w:sz w:val="16"/>
              </w:rPr>
              <w:t>Export Analysis</w:t>
            </w:r>
          </w:p>
        </w:tc>
        <w:tc>
          <w:tcPr>
            <w:tcW w:w="2835" w:type="dxa"/>
          </w:tcPr>
          <w:p w14:paraId="1BF27D56" w14:textId="77777777" w:rsidR="00FC207D" w:rsidRDefault="00457720">
            <w:pPr>
              <w:spacing w:before="20" w:after="20"/>
            </w:pPr>
            <w:r>
              <w:rPr>
                <w:sz w:val="16"/>
              </w:rPr>
              <w:t>Monthly exports and annual totals</w:t>
            </w:r>
          </w:p>
        </w:tc>
        <w:tc>
          <w:tcPr>
            <w:tcW w:w="4762" w:type="dxa"/>
          </w:tcPr>
          <w:p w14:paraId="40BF05CA" w14:textId="77777777" w:rsidR="00FC207D" w:rsidRDefault="00457720">
            <w:pPr>
              <w:spacing w:before="20" w:after="20"/>
            </w:pPr>
            <w:r>
              <w:rPr>
                <w:sz w:val="16"/>
              </w:rPr>
              <w:t>The multi-year export uptrend and the 2025 record.</w:t>
            </w:r>
          </w:p>
        </w:tc>
      </w:tr>
      <w:tr w:rsidR="00FC207D" w14:paraId="5DF4B16C" w14:textId="77777777">
        <w:trPr>
          <w:jc w:val="center"/>
        </w:trPr>
        <w:tc>
          <w:tcPr>
            <w:tcW w:w="1814" w:type="dxa"/>
            <w:shd w:val="clear" w:color="auto" w:fill="EEF1F5"/>
          </w:tcPr>
          <w:p w14:paraId="7525AD7C" w14:textId="77777777" w:rsidR="00FC207D" w:rsidRDefault="00FC207D">
            <w:pPr>
              <w:spacing w:before="20" w:after="20"/>
            </w:pPr>
          </w:p>
        </w:tc>
        <w:tc>
          <w:tcPr>
            <w:tcW w:w="2835" w:type="dxa"/>
            <w:shd w:val="clear" w:color="auto" w:fill="EEF1F5"/>
          </w:tcPr>
          <w:p w14:paraId="417D5AC5" w14:textId="77777777" w:rsidR="00FC207D" w:rsidRDefault="00457720">
            <w:pPr>
              <w:spacing w:before="20" w:after="20"/>
            </w:pPr>
            <w:r>
              <w:rPr>
                <w:sz w:val="16"/>
              </w:rPr>
              <w:t>Correlation with price</w:t>
            </w:r>
          </w:p>
        </w:tc>
        <w:tc>
          <w:tcPr>
            <w:tcW w:w="4762" w:type="dxa"/>
            <w:shd w:val="clear" w:color="auto" w:fill="EEF1F5"/>
          </w:tcPr>
          <w:p w14:paraId="011000A0" w14:textId="77777777" w:rsidR="00FC207D" w:rsidRDefault="00457720">
            <w:pPr>
              <w:spacing w:before="20" w:after="20"/>
            </w:pPr>
            <w:r>
              <w:rPr>
                <w:sz w:val="16"/>
              </w:rPr>
              <w:t>No same-month relationship at all.</w:t>
            </w:r>
          </w:p>
        </w:tc>
      </w:tr>
      <w:tr w:rsidR="00FC207D" w14:paraId="714F3083" w14:textId="77777777">
        <w:trPr>
          <w:jc w:val="center"/>
        </w:trPr>
        <w:tc>
          <w:tcPr>
            <w:tcW w:w="1814" w:type="dxa"/>
          </w:tcPr>
          <w:p w14:paraId="0F475807" w14:textId="77777777" w:rsidR="00FC207D" w:rsidRDefault="00FC207D">
            <w:pPr>
              <w:spacing w:before="20" w:after="20"/>
            </w:pPr>
          </w:p>
        </w:tc>
        <w:tc>
          <w:tcPr>
            <w:tcW w:w="2835" w:type="dxa"/>
          </w:tcPr>
          <w:p w14:paraId="3F08B0AD" w14:textId="77777777" w:rsidR="00FC207D" w:rsidRDefault="00457720">
            <w:pPr>
              <w:spacing w:before="20" w:after="20"/>
            </w:pPr>
            <w:r>
              <w:rPr>
                <w:sz w:val="16"/>
              </w:rPr>
              <w:t>Cross-correlation</w:t>
            </w:r>
          </w:p>
        </w:tc>
        <w:tc>
          <w:tcPr>
            <w:tcW w:w="4762" w:type="dxa"/>
          </w:tcPr>
          <w:p w14:paraId="4B6EB629" w14:textId="77777777" w:rsidR="00FC207D" w:rsidRDefault="00457720">
            <w:pPr>
              <w:spacing w:before="20" w:after="20"/>
            </w:pPr>
            <w:r>
              <w:rPr>
                <w:sz w:val="16"/>
              </w:rPr>
              <w:t>Exports lead price by about four months.</w:t>
            </w:r>
          </w:p>
        </w:tc>
      </w:tr>
      <w:tr w:rsidR="00FC207D" w14:paraId="3E655561" w14:textId="77777777">
        <w:trPr>
          <w:jc w:val="center"/>
        </w:trPr>
        <w:tc>
          <w:tcPr>
            <w:tcW w:w="1814" w:type="dxa"/>
            <w:shd w:val="clear" w:color="auto" w:fill="EEF1F5"/>
          </w:tcPr>
          <w:p w14:paraId="060507D5" w14:textId="77777777" w:rsidR="00FC207D" w:rsidRDefault="00FC207D">
            <w:pPr>
              <w:spacing w:before="20" w:after="20"/>
            </w:pPr>
          </w:p>
        </w:tc>
        <w:tc>
          <w:tcPr>
            <w:tcW w:w="2835" w:type="dxa"/>
            <w:shd w:val="clear" w:color="auto" w:fill="EEF1F5"/>
          </w:tcPr>
          <w:p w14:paraId="0A0A1BC6" w14:textId="77777777" w:rsidR="00FC207D" w:rsidRDefault="00457720">
            <w:pPr>
              <w:spacing w:before="20" w:after="20"/>
            </w:pPr>
            <w:r>
              <w:rPr>
                <w:sz w:val="16"/>
              </w:rPr>
              <w:t>Rolling correlation</w:t>
            </w:r>
          </w:p>
        </w:tc>
        <w:tc>
          <w:tcPr>
            <w:tcW w:w="4762" w:type="dxa"/>
            <w:shd w:val="clear" w:color="auto" w:fill="EEF1F5"/>
          </w:tcPr>
          <w:p w14:paraId="40D8208B" w14:textId="77777777" w:rsidR="00FC207D" w:rsidRDefault="00457720">
            <w:pPr>
              <w:spacing w:before="20" w:after="20"/>
            </w:pPr>
            <w:r>
              <w:rPr>
                <w:sz w:val="16"/>
              </w:rPr>
              <w:t>That the export link is unstable and flips sign.</w:t>
            </w:r>
          </w:p>
        </w:tc>
      </w:tr>
      <w:tr w:rsidR="00FC207D" w14:paraId="485CF198" w14:textId="77777777">
        <w:trPr>
          <w:jc w:val="center"/>
        </w:trPr>
        <w:tc>
          <w:tcPr>
            <w:tcW w:w="1814" w:type="dxa"/>
          </w:tcPr>
          <w:p w14:paraId="50893EC2" w14:textId="77777777" w:rsidR="00FC207D" w:rsidRDefault="00FC207D">
            <w:pPr>
              <w:spacing w:before="20" w:after="20"/>
            </w:pPr>
          </w:p>
        </w:tc>
        <w:tc>
          <w:tcPr>
            <w:tcW w:w="2835" w:type="dxa"/>
          </w:tcPr>
          <w:p w14:paraId="3C396E1F" w14:textId="77777777" w:rsidR="00FC207D" w:rsidRDefault="00457720">
            <w:pPr>
              <w:spacing w:before="20" w:after="20"/>
            </w:pPr>
            <w:r>
              <w:rPr>
                <w:sz w:val="16"/>
              </w:rPr>
              <w:t>Currency channel</w:t>
            </w:r>
          </w:p>
        </w:tc>
        <w:tc>
          <w:tcPr>
            <w:tcW w:w="4762" w:type="dxa"/>
          </w:tcPr>
          <w:p w14:paraId="02426658" w14:textId="77777777" w:rsidR="00FC207D" w:rsidRDefault="00457720">
            <w:pPr>
              <w:spacing w:before="20" w:after="20"/>
            </w:pPr>
            <w:r>
              <w:rPr>
                <w:sz w:val="16"/>
              </w:rPr>
              <w:t>The strongest correlate in the workbook, on flawed data.</w:t>
            </w:r>
          </w:p>
        </w:tc>
      </w:tr>
      <w:tr w:rsidR="00FC207D" w14:paraId="7C4CF603" w14:textId="77777777">
        <w:trPr>
          <w:jc w:val="center"/>
        </w:trPr>
        <w:tc>
          <w:tcPr>
            <w:tcW w:w="1814" w:type="dxa"/>
            <w:shd w:val="clear" w:color="auto" w:fill="EEF1F5"/>
          </w:tcPr>
          <w:p w14:paraId="30AD33D5" w14:textId="77777777" w:rsidR="00FC207D" w:rsidRDefault="00457720">
            <w:pPr>
              <w:spacing w:before="20" w:after="20"/>
            </w:pPr>
            <w:r>
              <w:rPr>
                <w:b/>
                <w:sz w:val="16"/>
              </w:rPr>
              <w:t>Balance Sheet</w:t>
            </w:r>
          </w:p>
        </w:tc>
        <w:tc>
          <w:tcPr>
            <w:tcW w:w="2835" w:type="dxa"/>
            <w:shd w:val="clear" w:color="auto" w:fill="EEF1F5"/>
          </w:tcPr>
          <w:p w14:paraId="7FAA342A" w14:textId="77777777" w:rsidR="00FC207D" w:rsidRDefault="00457720">
            <w:pPr>
              <w:spacing w:before="20" w:after="20"/>
            </w:pPr>
            <w:r>
              <w:rPr>
                <w:sz w:val="16"/>
              </w:rPr>
              <w:t>Balance sheet table</w:t>
            </w:r>
          </w:p>
        </w:tc>
        <w:tc>
          <w:tcPr>
            <w:tcW w:w="4762" w:type="dxa"/>
            <w:shd w:val="clear" w:color="auto" w:fill="EEF1F5"/>
          </w:tcPr>
          <w:p w14:paraId="3FA01B88" w14:textId="77777777" w:rsidR="00FC207D" w:rsidRDefault="00457720">
            <w:pPr>
              <w:spacing w:before="20" w:after="20"/>
            </w:pPr>
            <w:r>
              <w:rPr>
                <w:sz w:val="16"/>
              </w:rPr>
              <w:t>The supply and demand arithmetic.</w:t>
            </w:r>
          </w:p>
        </w:tc>
      </w:tr>
      <w:tr w:rsidR="00FC207D" w14:paraId="6C15DF80" w14:textId="77777777">
        <w:trPr>
          <w:jc w:val="center"/>
        </w:trPr>
        <w:tc>
          <w:tcPr>
            <w:tcW w:w="1814" w:type="dxa"/>
          </w:tcPr>
          <w:p w14:paraId="2F86C77A" w14:textId="77777777" w:rsidR="00FC207D" w:rsidRDefault="00FC207D">
            <w:pPr>
              <w:spacing w:before="20" w:after="20"/>
            </w:pPr>
          </w:p>
        </w:tc>
        <w:tc>
          <w:tcPr>
            <w:tcW w:w="2835" w:type="dxa"/>
          </w:tcPr>
          <w:p w14:paraId="609F6CDC" w14:textId="77777777" w:rsidR="00FC207D" w:rsidRDefault="00457720">
            <w:pPr>
              <w:spacing w:before="20" w:after="20"/>
            </w:pPr>
            <w:r>
              <w:rPr>
                <w:sz w:val="16"/>
              </w:rPr>
              <w:t>Supply and demand build-up</w:t>
            </w:r>
          </w:p>
        </w:tc>
        <w:tc>
          <w:tcPr>
            <w:tcW w:w="4762" w:type="dxa"/>
          </w:tcPr>
          <w:p w14:paraId="5F201015" w14:textId="77777777" w:rsidR="00FC207D" w:rsidRDefault="00457720">
            <w:pPr>
              <w:spacing w:before="20" w:after="20"/>
            </w:pPr>
            <w:r>
              <w:rPr>
                <w:sz w:val="16"/>
              </w:rPr>
              <w:t>That 2026 production has collapsed.</w:t>
            </w:r>
          </w:p>
        </w:tc>
      </w:tr>
      <w:tr w:rsidR="00FC207D" w14:paraId="1A1000A2" w14:textId="77777777">
        <w:trPr>
          <w:jc w:val="center"/>
        </w:trPr>
        <w:tc>
          <w:tcPr>
            <w:tcW w:w="1814" w:type="dxa"/>
            <w:shd w:val="clear" w:color="auto" w:fill="EEF1F5"/>
          </w:tcPr>
          <w:p w14:paraId="1E2C2498" w14:textId="77777777" w:rsidR="00FC207D" w:rsidRDefault="00FC207D">
            <w:pPr>
              <w:spacing w:before="20" w:after="20"/>
            </w:pPr>
          </w:p>
        </w:tc>
        <w:tc>
          <w:tcPr>
            <w:tcW w:w="2835" w:type="dxa"/>
            <w:shd w:val="clear" w:color="auto" w:fill="EEF1F5"/>
          </w:tcPr>
          <w:p w14:paraId="1E848EB2" w14:textId="77777777" w:rsidR="00FC207D" w:rsidRDefault="00457720">
            <w:pPr>
              <w:spacing w:before="20" w:after="20"/>
            </w:pPr>
            <w:r>
              <w:rPr>
                <w:sz w:val="16"/>
              </w:rPr>
              <w:t>Stock-to-use</w:t>
            </w:r>
          </w:p>
        </w:tc>
        <w:tc>
          <w:tcPr>
            <w:tcW w:w="4762" w:type="dxa"/>
            <w:shd w:val="clear" w:color="auto" w:fill="EEF1F5"/>
          </w:tcPr>
          <w:p w14:paraId="5E631456" w14:textId="77777777" w:rsidR="00FC207D" w:rsidRDefault="00457720">
            <w:pPr>
              <w:spacing w:before="20" w:after="20"/>
            </w:pPr>
            <w:r>
              <w:rPr>
                <w:sz w:val="16"/>
              </w:rPr>
              <w:t>The tightest buffer in five years.</w:t>
            </w:r>
          </w:p>
        </w:tc>
      </w:tr>
      <w:tr w:rsidR="00FC207D" w14:paraId="55327780" w14:textId="77777777">
        <w:trPr>
          <w:jc w:val="center"/>
        </w:trPr>
        <w:tc>
          <w:tcPr>
            <w:tcW w:w="1814" w:type="dxa"/>
          </w:tcPr>
          <w:p w14:paraId="72F51513" w14:textId="77777777" w:rsidR="00FC207D" w:rsidRDefault="00FC207D">
            <w:pPr>
              <w:spacing w:before="20" w:after="20"/>
            </w:pPr>
          </w:p>
        </w:tc>
        <w:tc>
          <w:tcPr>
            <w:tcW w:w="2835" w:type="dxa"/>
          </w:tcPr>
          <w:p w14:paraId="3F366C05" w14:textId="77777777" w:rsidR="00FC207D" w:rsidRDefault="00457720">
            <w:pPr>
              <w:spacing w:before="20" w:after="20"/>
            </w:pPr>
            <w:r>
              <w:rPr>
                <w:sz w:val="16"/>
              </w:rPr>
              <w:t>Stock-to-use against price</w:t>
            </w:r>
          </w:p>
        </w:tc>
        <w:tc>
          <w:tcPr>
            <w:tcW w:w="4762" w:type="dxa"/>
          </w:tcPr>
          <w:p w14:paraId="25DAC7DF" w14:textId="77777777" w:rsidR="00FC207D" w:rsidRDefault="00457720">
            <w:pPr>
              <w:spacing w:before="20" w:after="20"/>
            </w:pPr>
            <w:r>
              <w:rPr>
                <w:sz w:val="16"/>
              </w:rPr>
              <w:t>That ten years is too short to prove the link.</w:t>
            </w:r>
          </w:p>
        </w:tc>
      </w:tr>
      <w:tr w:rsidR="00FC207D" w14:paraId="748B0ABF" w14:textId="77777777">
        <w:trPr>
          <w:jc w:val="center"/>
        </w:trPr>
        <w:tc>
          <w:tcPr>
            <w:tcW w:w="1814" w:type="dxa"/>
            <w:shd w:val="clear" w:color="auto" w:fill="EEF1F5"/>
          </w:tcPr>
          <w:p w14:paraId="0C1F39E7" w14:textId="77777777" w:rsidR="00FC207D" w:rsidRDefault="00FC207D">
            <w:pPr>
              <w:spacing w:before="20" w:after="20"/>
            </w:pPr>
          </w:p>
        </w:tc>
        <w:tc>
          <w:tcPr>
            <w:tcW w:w="2835" w:type="dxa"/>
            <w:shd w:val="clear" w:color="auto" w:fill="EEF1F5"/>
          </w:tcPr>
          <w:p w14:paraId="24FD0293" w14:textId="77777777" w:rsidR="00FC207D" w:rsidRDefault="00457720">
            <w:pPr>
              <w:spacing w:before="20" w:after="20"/>
            </w:pPr>
            <w:r>
              <w:rPr>
                <w:sz w:val="16"/>
              </w:rPr>
              <w:t>APY by state</w:t>
            </w:r>
          </w:p>
        </w:tc>
        <w:tc>
          <w:tcPr>
            <w:tcW w:w="4762" w:type="dxa"/>
            <w:shd w:val="clear" w:color="auto" w:fill="EEF1F5"/>
          </w:tcPr>
          <w:p w14:paraId="195888F6" w14:textId="77777777" w:rsidR="00FC207D" w:rsidRDefault="00457720">
            <w:pPr>
              <w:spacing w:before="20" w:after="20"/>
            </w:pPr>
            <w:r>
              <w:rPr>
                <w:sz w:val="16"/>
              </w:rPr>
              <w:t>Planted area recovering, 2026 production unknown.</w:t>
            </w:r>
          </w:p>
        </w:tc>
      </w:tr>
      <w:tr w:rsidR="00FC207D" w14:paraId="1557DA20" w14:textId="77777777">
        <w:trPr>
          <w:jc w:val="center"/>
        </w:trPr>
        <w:tc>
          <w:tcPr>
            <w:tcW w:w="1814" w:type="dxa"/>
          </w:tcPr>
          <w:p w14:paraId="1528493C" w14:textId="77777777" w:rsidR="00FC207D" w:rsidRDefault="00FC207D">
            <w:pPr>
              <w:spacing w:before="20" w:after="20"/>
            </w:pPr>
          </w:p>
        </w:tc>
        <w:tc>
          <w:tcPr>
            <w:tcW w:w="2835" w:type="dxa"/>
          </w:tcPr>
          <w:p w14:paraId="458E4269" w14:textId="77777777" w:rsidR="00FC207D" w:rsidRDefault="00457720">
            <w:pPr>
              <w:spacing w:before="20" w:after="20"/>
            </w:pPr>
            <w:r>
              <w:rPr>
                <w:sz w:val="16"/>
              </w:rPr>
              <w:t>Cold storage stock</w:t>
            </w:r>
          </w:p>
        </w:tc>
        <w:tc>
          <w:tcPr>
            <w:tcW w:w="4762" w:type="dxa"/>
          </w:tcPr>
          <w:p w14:paraId="7D969826" w14:textId="77777777" w:rsidR="00FC207D" w:rsidRDefault="00457720">
            <w:pPr>
              <w:spacing w:before="20" w:after="20"/>
            </w:pPr>
            <w:r>
              <w:rPr>
                <w:sz w:val="16"/>
              </w:rPr>
              <w:t>Too sparse to analyse; Guntur apparently halved.</w:t>
            </w:r>
          </w:p>
        </w:tc>
      </w:tr>
      <w:tr w:rsidR="00FC207D" w14:paraId="639B1E4E" w14:textId="77777777">
        <w:trPr>
          <w:jc w:val="center"/>
        </w:trPr>
        <w:tc>
          <w:tcPr>
            <w:tcW w:w="1814" w:type="dxa"/>
            <w:shd w:val="clear" w:color="auto" w:fill="EEF1F5"/>
          </w:tcPr>
          <w:p w14:paraId="6657BBE3" w14:textId="77777777" w:rsidR="00FC207D" w:rsidRDefault="00457720">
            <w:pPr>
              <w:spacing w:before="20" w:after="20"/>
            </w:pPr>
            <w:r>
              <w:rPr>
                <w:b/>
                <w:sz w:val="16"/>
              </w:rPr>
              <w:t>Forecast Center</w:t>
            </w:r>
          </w:p>
        </w:tc>
        <w:tc>
          <w:tcPr>
            <w:tcW w:w="2835" w:type="dxa"/>
            <w:shd w:val="clear" w:color="auto" w:fill="EEF1F5"/>
          </w:tcPr>
          <w:p w14:paraId="4ECFF17E" w14:textId="77777777" w:rsidR="00FC207D" w:rsidRDefault="00457720">
            <w:pPr>
              <w:spacing w:before="20" w:after="20"/>
            </w:pPr>
            <w:r>
              <w:rPr>
                <w:sz w:val="16"/>
              </w:rPr>
              <w:t>Model comparison</w:t>
            </w:r>
          </w:p>
        </w:tc>
        <w:tc>
          <w:tcPr>
            <w:tcW w:w="4762" w:type="dxa"/>
            <w:shd w:val="clear" w:color="auto" w:fill="EEF1F5"/>
          </w:tcPr>
          <w:p w14:paraId="1A705C8C" w14:textId="77777777" w:rsidR="00FC207D" w:rsidRDefault="00457720">
            <w:pPr>
              <w:spacing w:before="20" w:after="20"/>
            </w:pPr>
            <w:r>
              <w:rPr>
                <w:sz w:val="16"/>
              </w:rPr>
              <w:t>Which model earned the right to forecast.</w:t>
            </w:r>
          </w:p>
        </w:tc>
      </w:tr>
      <w:tr w:rsidR="00FC207D" w14:paraId="3E99FF77" w14:textId="77777777">
        <w:trPr>
          <w:jc w:val="center"/>
        </w:trPr>
        <w:tc>
          <w:tcPr>
            <w:tcW w:w="1814" w:type="dxa"/>
          </w:tcPr>
          <w:p w14:paraId="50E6800F" w14:textId="77777777" w:rsidR="00FC207D" w:rsidRDefault="00FC207D">
            <w:pPr>
              <w:spacing w:before="20" w:after="20"/>
            </w:pPr>
          </w:p>
        </w:tc>
        <w:tc>
          <w:tcPr>
            <w:tcW w:w="2835" w:type="dxa"/>
          </w:tcPr>
          <w:p w14:paraId="35CBA49A" w14:textId="77777777" w:rsidR="00FC207D" w:rsidRDefault="00457720">
            <w:pPr>
              <w:spacing w:before="20" w:after="20"/>
            </w:pPr>
            <w:r>
              <w:rPr>
                <w:sz w:val="16"/>
              </w:rPr>
              <w:t>Fan chart</w:t>
            </w:r>
          </w:p>
        </w:tc>
        <w:tc>
          <w:tcPr>
            <w:tcW w:w="4762" w:type="dxa"/>
          </w:tcPr>
          <w:p w14:paraId="60768A06" w14:textId="77777777" w:rsidR="00FC207D" w:rsidRDefault="00457720">
            <w:pPr>
              <w:spacing w:before="20" w:after="20"/>
            </w:pPr>
            <w:r>
              <w:rPr>
                <w:sz w:val="16"/>
              </w:rPr>
              <w:t>The projection and how fast uncertainty grows.</w:t>
            </w:r>
          </w:p>
        </w:tc>
      </w:tr>
      <w:tr w:rsidR="00FC207D" w14:paraId="0DF077CC" w14:textId="77777777">
        <w:trPr>
          <w:jc w:val="center"/>
        </w:trPr>
        <w:tc>
          <w:tcPr>
            <w:tcW w:w="1814" w:type="dxa"/>
            <w:shd w:val="clear" w:color="auto" w:fill="EEF1F5"/>
          </w:tcPr>
          <w:p w14:paraId="34EA58AA" w14:textId="77777777" w:rsidR="00FC207D" w:rsidRDefault="00FC207D">
            <w:pPr>
              <w:spacing w:before="20" w:after="20"/>
            </w:pPr>
          </w:p>
        </w:tc>
        <w:tc>
          <w:tcPr>
            <w:tcW w:w="2835" w:type="dxa"/>
            <w:shd w:val="clear" w:color="auto" w:fill="EEF1F5"/>
          </w:tcPr>
          <w:p w14:paraId="1D5842D5" w14:textId="77777777" w:rsidR="00FC207D" w:rsidRDefault="00457720">
            <w:pPr>
              <w:spacing w:before="20" w:after="20"/>
            </w:pPr>
            <w:r>
              <w:rPr>
                <w:sz w:val="16"/>
              </w:rPr>
              <w:t>Forecast table</w:t>
            </w:r>
          </w:p>
        </w:tc>
        <w:tc>
          <w:tcPr>
            <w:tcW w:w="4762" w:type="dxa"/>
            <w:shd w:val="clear" w:color="auto" w:fill="EEF1F5"/>
          </w:tcPr>
          <w:p w14:paraId="5E08AD62" w14:textId="77777777" w:rsidR="00FC207D" w:rsidRDefault="00457720">
            <w:pPr>
              <w:spacing w:before="20" w:after="20"/>
            </w:pPr>
            <w:r>
              <w:rPr>
                <w:sz w:val="16"/>
              </w:rPr>
              <w:t>The numbers, period by period, with ranges.</w:t>
            </w:r>
          </w:p>
        </w:tc>
      </w:tr>
      <w:tr w:rsidR="00FC207D" w14:paraId="38DFE81E" w14:textId="77777777">
        <w:trPr>
          <w:jc w:val="center"/>
        </w:trPr>
        <w:tc>
          <w:tcPr>
            <w:tcW w:w="1814" w:type="dxa"/>
          </w:tcPr>
          <w:p w14:paraId="5D3095DD" w14:textId="77777777" w:rsidR="00FC207D" w:rsidRDefault="00FC207D">
            <w:pPr>
              <w:spacing w:before="20" w:after="20"/>
            </w:pPr>
          </w:p>
        </w:tc>
        <w:tc>
          <w:tcPr>
            <w:tcW w:w="2835" w:type="dxa"/>
          </w:tcPr>
          <w:p w14:paraId="2BF22770" w14:textId="77777777" w:rsidR="00FC207D" w:rsidRDefault="00457720">
            <w:pPr>
              <w:spacing w:before="20" w:after="20"/>
            </w:pPr>
            <w:r>
              <w:rPr>
                <w:sz w:val="16"/>
              </w:rPr>
              <w:t>Selection rationale</w:t>
            </w:r>
          </w:p>
        </w:tc>
        <w:tc>
          <w:tcPr>
            <w:tcW w:w="4762" w:type="dxa"/>
          </w:tcPr>
          <w:p w14:paraId="03DFB999" w14:textId="77777777" w:rsidR="00FC207D" w:rsidRDefault="00457720">
            <w:pPr>
              <w:spacing w:before="20" w:after="20"/>
            </w:pPr>
            <w:r>
              <w:rPr>
                <w:sz w:val="16"/>
              </w:rPr>
              <w:t>How much to trust the forecast.</w:t>
            </w:r>
          </w:p>
        </w:tc>
      </w:tr>
      <w:tr w:rsidR="00FC207D" w14:paraId="0CFCE560" w14:textId="77777777">
        <w:trPr>
          <w:jc w:val="center"/>
        </w:trPr>
        <w:tc>
          <w:tcPr>
            <w:tcW w:w="1814" w:type="dxa"/>
            <w:shd w:val="clear" w:color="auto" w:fill="EEF1F5"/>
          </w:tcPr>
          <w:p w14:paraId="00D88FF5" w14:textId="77777777" w:rsidR="00FC207D" w:rsidRDefault="00FC207D">
            <w:pPr>
              <w:spacing w:before="20" w:after="20"/>
            </w:pPr>
          </w:p>
        </w:tc>
        <w:tc>
          <w:tcPr>
            <w:tcW w:w="2835" w:type="dxa"/>
            <w:shd w:val="clear" w:color="auto" w:fill="EEF1F5"/>
          </w:tcPr>
          <w:p w14:paraId="0F17614E" w14:textId="77777777" w:rsidR="00FC207D" w:rsidRDefault="00457720">
            <w:pPr>
              <w:spacing w:before="20" w:after="20"/>
            </w:pPr>
            <w:r>
              <w:rPr>
                <w:sz w:val="16"/>
              </w:rPr>
              <w:t>Decomposition and drivers</w:t>
            </w:r>
          </w:p>
        </w:tc>
        <w:tc>
          <w:tcPr>
            <w:tcW w:w="4762" w:type="dxa"/>
            <w:shd w:val="clear" w:color="auto" w:fill="EEF1F5"/>
          </w:tcPr>
          <w:p w14:paraId="0EFCA2C4" w14:textId="77777777" w:rsidR="00FC207D" w:rsidRDefault="00457720">
            <w:pPr>
              <w:spacing w:before="20" w:after="20"/>
            </w:pPr>
            <w:r>
              <w:rPr>
                <w:sz w:val="16"/>
              </w:rPr>
              <w:t>What the model is leaning on.</w:t>
            </w:r>
          </w:p>
        </w:tc>
      </w:tr>
      <w:tr w:rsidR="00FC207D" w14:paraId="34881457" w14:textId="77777777">
        <w:trPr>
          <w:jc w:val="center"/>
        </w:trPr>
        <w:tc>
          <w:tcPr>
            <w:tcW w:w="1814" w:type="dxa"/>
          </w:tcPr>
          <w:p w14:paraId="5CF85D7E" w14:textId="77777777" w:rsidR="00FC207D" w:rsidRDefault="00FC207D">
            <w:pPr>
              <w:spacing w:before="20" w:after="20"/>
            </w:pPr>
          </w:p>
        </w:tc>
        <w:tc>
          <w:tcPr>
            <w:tcW w:w="2835" w:type="dxa"/>
          </w:tcPr>
          <w:p w14:paraId="3F278327" w14:textId="77777777" w:rsidR="00FC207D" w:rsidRDefault="00457720">
            <w:pPr>
              <w:spacing w:before="20" w:after="20"/>
            </w:pPr>
            <w:r>
              <w:rPr>
                <w:sz w:val="16"/>
              </w:rPr>
              <w:t>Weekly run</w:t>
            </w:r>
          </w:p>
        </w:tc>
        <w:tc>
          <w:tcPr>
            <w:tcW w:w="4762" w:type="dxa"/>
          </w:tcPr>
          <w:p w14:paraId="69DF3F30" w14:textId="77777777" w:rsidR="00FC207D" w:rsidRDefault="00457720">
            <w:pPr>
              <w:spacing w:before="20" w:after="20"/>
            </w:pPr>
            <w:r>
              <w:rPr>
                <w:sz w:val="16"/>
              </w:rPr>
              <w:t>A useful disagreement about the near term.</w:t>
            </w:r>
          </w:p>
        </w:tc>
      </w:tr>
      <w:tr w:rsidR="00FC207D" w14:paraId="6FB7C71C" w14:textId="77777777">
        <w:trPr>
          <w:jc w:val="center"/>
        </w:trPr>
        <w:tc>
          <w:tcPr>
            <w:tcW w:w="1814" w:type="dxa"/>
            <w:shd w:val="clear" w:color="auto" w:fill="EEF1F5"/>
          </w:tcPr>
          <w:p w14:paraId="638129C4" w14:textId="77777777" w:rsidR="00FC207D" w:rsidRDefault="00457720">
            <w:pPr>
              <w:spacing w:before="20" w:after="20"/>
            </w:pPr>
            <w:r>
              <w:rPr>
                <w:b/>
                <w:sz w:val="16"/>
              </w:rPr>
              <w:t>Automated Insights</w:t>
            </w:r>
          </w:p>
        </w:tc>
        <w:tc>
          <w:tcPr>
            <w:tcW w:w="2835" w:type="dxa"/>
            <w:shd w:val="clear" w:color="auto" w:fill="EEF1F5"/>
          </w:tcPr>
          <w:p w14:paraId="6D2C2E13" w14:textId="77777777" w:rsidR="00FC207D" w:rsidRDefault="00457720">
            <w:pPr>
              <w:spacing w:before="20" w:after="20"/>
            </w:pPr>
            <w:r>
              <w:rPr>
                <w:sz w:val="16"/>
              </w:rPr>
              <w:t>Insight cards</w:t>
            </w:r>
          </w:p>
        </w:tc>
        <w:tc>
          <w:tcPr>
            <w:tcW w:w="4762" w:type="dxa"/>
            <w:shd w:val="clear" w:color="auto" w:fill="EEF1F5"/>
          </w:tcPr>
          <w:p w14:paraId="52F081FE" w14:textId="77777777" w:rsidR="00FC207D" w:rsidRDefault="00457720">
            <w:pPr>
              <w:spacing w:before="20" w:after="20"/>
            </w:pPr>
            <w:r>
              <w:rPr>
                <w:sz w:val="16"/>
              </w:rPr>
              <w:t>Every finding in sentences, ranked by evidence.</w:t>
            </w:r>
          </w:p>
        </w:tc>
      </w:tr>
      <w:tr w:rsidR="00FC207D" w14:paraId="4D2A3C06" w14:textId="77777777">
        <w:trPr>
          <w:jc w:val="center"/>
        </w:trPr>
        <w:tc>
          <w:tcPr>
            <w:tcW w:w="1814" w:type="dxa"/>
          </w:tcPr>
          <w:p w14:paraId="785E7534" w14:textId="77777777" w:rsidR="00FC207D" w:rsidRDefault="00457720">
            <w:pPr>
              <w:spacing w:before="20" w:after="20"/>
            </w:pPr>
            <w:r>
              <w:rPr>
                <w:b/>
                <w:sz w:val="16"/>
              </w:rPr>
              <w:t>Data Dictionary</w:t>
            </w:r>
          </w:p>
        </w:tc>
        <w:tc>
          <w:tcPr>
            <w:tcW w:w="2835" w:type="dxa"/>
          </w:tcPr>
          <w:p w14:paraId="5AC34BCB" w14:textId="77777777" w:rsidR="00FC207D" w:rsidRDefault="00457720">
            <w:pPr>
              <w:spacing w:before="20" w:after="20"/>
            </w:pPr>
            <w:r>
              <w:rPr>
                <w:sz w:val="16"/>
              </w:rPr>
              <w:t>Field dictionary and units</w:t>
            </w:r>
          </w:p>
        </w:tc>
        <w:tc>
          <w:tcPr>
            <w:tcW w:w="4762" w:type="dxa"/>
          </w:tcPr>
          <w:p w14:paraId="113F86FC" w14:textId="77777777" w:rsidR="00FC207D" w:rsidRDefault="00457720">
            <w:pPr>
              <w:spacing w:before="20" w:after="20"/>
            </w:pPr>
            <w:r>
              <w:rPr>
                <w:sz w:val="16"/>
              </w:rPr>
              <w:t>What exists, how complete it is, and in what unit.</w:t>
            </w:r>
          </w:p>
        </w:tc>
      </w:tr>
    </w:tbl>
    <w:p w14:paraId="684DA125" w14:textId="77777777" w:rsidR="00FC207D" w:rsidRDefault="00FC207D">
      <w:pPr>
        <w:spacing w:after="80"/>
      </w:pPr>
    </w:p>
    <w:p w14:paraId="052C0906" w14:textId="77777777" w:rsidR="00FC207D" w:rsidRDefault="00457720">
      <w:r>
        <w:br w:type="page"/>
      </w:r>
    </w:p>
    <w:p w14:paraId="0562D2F8" w14:textId="77777777" w:rsidR="00FC207D" w:rsidRDefault="00457720">
      <w:pPr>
        <w:pStyle w:val="Heading1"/>
        <w:pBdr>
          <w:bottom w:val="single" w:sz="12" w:space="4" w:color="C2410C"/>
        </w:pBdr>
      </w:pPr>
      <w:bookmarkStart w:id="25" w:name="_Toc236139957"/>
      <w:r>
        <w:lastRenderedPageBreak/>
        <w:t>A closing note on using this responsibly</w:t>
      </w:r>
      <w:bookmarkEnd w:id="25"/>
    </w:p>
    <w:p w14:paraId="3B4438E1" w14:textId="77777777" w:rsidR="00FC207D" w:rsidRDefault="00457720">
      <w:r>
        <w:t>The dashboard is unusually careful about what it claims, and this guide has tried to be equally careful. Three habits will keep you on the right side of the evidence.</w:t>
      </w:r>
    </w:p>
    <w:p w14:paraId="4346DFD6" w14:textId="77777777" w:rsidR="00FC207D" w:rsidRDefault="00457720">
      <w:pPr>
        <w:pStyle w:val="ListBullet"/>
        <w:spacing w:after="60"/>
        <w:ind w:left="340"/>
      </w:pPr>
      <w:r>
        <w:rPr>
          <w:b/>
        </w:rPr>
        <w:t xml:space="preserve">Respect the strength labels. </w:t>
      </w:r>
      <w:r>
        <w:t>A finding marked WEAK or with a p-value above 0.05 is not a small finding — it is an unproven one. The arrivals threshold is the clearest example: the pattern looks right in the chart and fails the test.</w:t>
      </w:r>
    </w:p>
    <w:p w14:paraId="1105F541" w14:textId="77777777" w:rsidR="00FC207D" w:rsidRDefault="00457720">
      <w:pPr>
        <w:pStyle w:val="ListBullet"/>
        <w:spacing w:after="60"/>
        <w:ind w:left="340"/>
      </w:pPr>
      <w:r>
        <w:rPr>
          <w:b/>
        </w:rPr>
        <w:t xml:space="preserve">Quote the range, not the line. </w:t>
      </w:r>
      <w:r>
        <w:t>The six-month forecast is the most quoted number in the application and the one most likely to be wrong in magnitude. Its direction rests on a model with a good record; its size rests on extrapolating an exceptional year. Quote the range.</w:t>
      </w:r>
    </w:p>
    <w:p w14:paraId="2C9E704B" w14:textId="77777777" w:rsidR="00FC207D" w:rsidRDefault="00457720">
      <w:pPr>
        <w:pStyle w:val="ListBullet"/>
        <w:spacing w:after="60"/>
        <w:ind w:left="340"/>
      </w:pPr>
      <w:r>
        <w:rPr>
          <w:b/>
        </w:rPr>
        <w:t xml:space="preserve">Re-check after every data update. </w:t>
      </w:r>
      <w:r>
        <w:t>When the workbook is updated, the conclusions in this guide may move — particularly the forecast, the sentiment reading and anything dependent on the part-month at the end of the data. Press Reload workbook in the dashboard and re-read Parts 2 and 5.</w:t>
      </w:r>
    </w:p>
    <w:p w14:paraId="5546B121" w14:textId="77777777" w:rsidR="00FC207D" w:rsidRDefault="00FC207D"/>
    <w:tbl>
      <w:tblPr>
        <w:tblW w:w="0" w:type="auto"/>
        <w:jc w:val="center"/>
        <w:tblLayout w:type="fixed"/>
        <w:tblLook w:val="04A0" w:firstRow="1" w:lastRow="0" w:firstColumn="1" w:lastColumn="0" w:noHBand="0" w:noVBand="1"/>
      </w:tblPr>
      <w:tblGrid>
        <w:gridCol w:w="9411"/>
      </w:tblGrid>
      <w:tr w:rsidR="00FC207D" w14:paraId="24E2839F" w14:textId="77777777">
        <w:trPr>
          <w:jc w:val="center"/>
        </w:trPr>
        <w:tc>
          <w:tcPr>
            <w:tcW w:w="9411" w:type="dxa"/>
            <w:tcBorders>
              <w:left w:val="single" w:sz="18" w:space="0" w:color="C2410C"/>
            </w:tcBorders>
            <w:shd w:val="clear" w:color="auto" w:fill="FDF1E7"/>
          </w:tcPr>
          <w:p w14:paraId="14062E8F" w14:textId="77777777" w:rsidR="00FC207D" w:rsidRDefault="00457720">
            <w:pPr>
              <w:spacing w:after="40"/>
            </w:pPr>
            <w:r>
              <w:rPr>
                <w:b/>
                <w:color w:val="C2410C"/>
                <w:sz w:val="20"/>
              </w:rPr>
              <w:t>Provenance</w:t>
            </w:r>
          </w:p>
          <w:p w14:paraId="4C34E92F" w14:textId="77777777" w:rsidR="00FC207D" w:rsidRDefault="00457720">
            <w:pPr>
              <w:spacing w:after="0"/>
            </w:pPr>
            <w:r>
              <w:rPr>
                <w:sz w:val="20"/>
              </w:rPr>
              <w:t>Everything in this guide is derived from Chilli mastersheet for dashboard.xlsx, with data through 20 July 2026. No external data, forecast or opinion has been introduced. Where the workbook was silent, this guide says so.</w:t>
            </w:r>
          </w:p>
        </w:tc>
      </w:tr>
    </w:tbl>
    <w:p w14:paraId="20E0328C" w14:textId="77777777" w:rsidR="00FC207D" w:rsidRDefault="00FC207D">
      <w:pPr>
        <w:spacing w:after="80"/>
      </w:pPr>
    </w:p>
    <w:sectPr w:rsidR="00FC207D"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71985" w14:textId="77777777" w:rsidR="00457720" w:rsidRDefault="00457720">
      <w:pPr>
        <w:spacing w:after="0" w:line="240" w:lineRule="auto"/>
      </w:pPr>
      <w:r>
        <w:separator/>
      </w:r>
    </w:p>
  </w:endnote>
  <w:endnote w:type="continuationSeparator" w:id="0">
    <w:p w14:paraId="110E9D04" w14:textId="77777777" w:rsidR="00457720" w:rsidRDefault="00457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D186" w14:textId="77777777" w:rsidR="00FC207D" w:rsidRDefault="00457720">
    <w:pPr>
      <w:pStyle w:val="Footer"/>
      <w:jc w:val="center"/>
    </w:pPr>
    <w:r>
      <w:rPr>
        <w:color w:val="5C6B7A"/>
        <w:sz w:val="16"/>
      </w:rPr>
      <w:t>Chilli Intelligence Desktop — Dashboard Interpretation Guide  ·  Source: Chilli mastersheet for dashboard.xlsx, data through 20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DE101" w14:textId="77777777" w:rsidR="00457720" w:rsidRDefault="00457720">
      <w:pPr>
        <w:spacing w:after="0" w:line="240" w:lineRule="auto"/>
      </w:pPr>
      <w:r>
        <w:separator/>
      </w:r>
    </w:p>
  </w:footnote>
  <w:footnote w:type="continuationSeparator" w:id="0">
    <w:p w14:paraId="54ECBDCD" w14:textId="77777777" w:rsidR="00457720" w:rsidRDefault="00457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206664">
    <w:abstractNumId w:val="8"/>
  </w:num>
  <w:num w:numId="2" w16cid:durableId="388189297">
    <w:abstractNumId w:val="6"/>
  </w:num>
  <w:num w:numId="3" w16cid:durableId="1916160693">
    <w:abstractNumId w:val="5"/>
  </w:num>
  <w:num w:numId="4" w16cid:durableId="1592280361">
    <w:abstractNumId w:val="4"/>
  </w:num>
  <w:num w:numId="5" w16cid:durableId="1419445859">
    <w:abstractNumId w:val="7"/>
  </w:num>
  <w:num w:numId="6" w16cid:durableId="750590876">
    <w:abstractNumId w:val="3"/>
  </w:num>
  <w:num w:numId="7" w16cid:durableId="441151595">
    <w:abstractNumId w:val="2"/>
  </w:num>
  <w:num w:numId="8" w16cid:durableId="145708565">
    <w:abstractNumId w:val="1"/>
  </w:num>
  <w:num w:numId="9" w16cid:durableId="144769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457"/>
    <w:rsid w:val="00457720"/>
    <w:rsid w:val="00953DC5"/>
    <w:rsid w:val="00AA1D8D"/>
    <w:rsid w:val="00B47730"/>
    <w:rsid w:val="00CB0664"/>
    <w:rsid w:val="00FC2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65B4B8"/>
  <w14:defaultImageDpi w14:val="300"/>
  <w15:docId w15:val="{A8D1EE2C-3C9F-46E4-9639-4AA890D1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A2027"/>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C2410C"/>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color w:val="C2410C"/>
      <w:sz w:val="29"/>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5C6B7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4457"/>
    <w:pPr>
      <w:spacing w:after="100"/>
    </w:pPr>
  </w:style>
  <w:style w:type="paragraph" w:styleId="TOC2">
    <w:name w:val="toc 2"/>
    <w:basedOn w:val="Normal"/>
    <w:next w:val="Normal"/>
    <w:autoRedefine/>
    <w:uiPriority w:val="39"/>
    <w:unhideWhenUsed/>
    <w:rsid w:val="00364457"/>
    <w:pPr>
      <w:spacing w:after="100"/>
      <w:ind w:left="210"/>
    </w:pPr>
  </w:style>
  <w:style w:type="character" w:styleId="Hyperlink">
    <w:name w:val="Hyperlink"/>
    <w:basedOn w:val="DefaultParagraphFont"/>
    <w:uiPriority w:val="99"/>
    <w:unhideWhenUsed/>
    <w:rsid w:val="003644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11991</Words>
  <Characters>59551</Characters>
  <Application>Microsoft Office Word</Application>
  <DocSecurity>0</DocSecurity>
  <Lines>1555</Lines>
  <Paragraphs>989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Agriwatch Admin</cp:lastModifiedBy>
  <cp:revision>2</cp:revision>
  <dcterms:created xsi:type="dcterms:W3CDTF">2013-12-23T23:15:00Z</dcterms:created>
  <dcterms:modified xsi:type="dcterms:W3CDTF">2026-07-28T08:35:00Z</dcterms:modified>
  <cp:category/>
</cp:coreProperties>
</file>