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3FB9A" w14:textId="77777777" w:rsidR="00C37E99" w:rsidRDefault="00C37E99" w:rsidP="00C37E99">
      <w:pPr>
        <w:pStyle w:val="Heading2"/>
      </w:pPr>
      <w:bookmarkStart w:id="0" w:name="_GoBack"/>
      <w:bookmarkEnd w:id="0"/>
      <w:r>
        <w:rPr>
          <w:shd w:val="clear" w:color="auto" w:fill="FFFFFF"/>
        </w:rPr>
        <w:t xml:space="preserve"> Electrostatic Fields in Small Thiocyanate Molecules with Ensembles Generated using the AMOEBA Force Field  </w:t>
      </w:r>
    </w:p>
    <w:p w14:paraId="12C7FE5E" w14:textId="77777777" w:rsidR="00C37E99" w:rsidRDefault="00C37E99" w:rsidP="00C37E99">
      <w:pPr>
        <w:pStyle w:val="Heading3"/>
      </w:pPr>
      <w:r>
        <w:t xml:space="preserve"> </w:t>
      </w:r>
      <w:bookmarkStart w:id="1" w:name="_Toc297815435"/>
      <w:bookmarkStart w:id="2" w:name="_Toc298602255"/>
      <w:r>
        <w:t>Introduction</w:t>
      </w:r>
      <w:bookmarkEnd w:id="1"/>
      <w:bookmarkEnd w:id="2"/>
    </w:p>
    <w:p w14:paraId="2A8BF10C" w14:textId="77777777" w:rsidR="00E2544F" w:rsidRDefault="003609F4" w:rsidP="000D7C97">
      <w:pPr>
        <w:pStyle w:val="text"/>
      </w:pPr>
      <w:r>
        <w:t>One of the chief difficulties</w:t>
      </w:r>
      <w:r w:rsidR="0003783A">
        <w:t xml:space="preserve"> in protein electrostatics</w:t>
      </w:r>
      <w:r>
        <w:t xml:space="preserve"> is obtaining adequate sampling.  Throughout my research, I have operated under the assumption that the most important degree of freedom is the nitrile dipole orientation.  Expanding from one-dimensional umbrella sampling to two-dimensional umbrella sampling did, in fact, yield improved correlation between calculated PB fields and experimentally measured vibrational absorption energies.  However, increasing the umbrella window time from 400 ps to 2000 ps did not yield the same degree of improvement.  Looking strictly at the RFM, instances of improved (Rap E30D/K31E), unchanged (Rap E30D/K31, Rap E30/K31E), and decreased (Ral monomer, Rap E30/K31) correlation were all observed. </w:t>
      </w:r>
      <w:r w:rsidR="005055E9">
        <w:t xml:space="preserve"> The first two cases are not unexpected—either sampling was inadequate and improved sampling improved the simulations physical veracity or the sampling was adequate enough and improved sampling does not have a significant effect.  </w:t>
      </w:r>
    </w:p>
    <w:p w14:paraId="18BAA326" w14:textId="77777777" w:rsidR="00B17800" w:rsidRDefault="005055E9" w:rsidP="000D7C97">
      <w:pPr>
        <w:pStyle w:val="text"/>
      </w:pPr>
      <w:r>
        <w:t xml:space="preserve">The case where increasing the sampling actually decreases the correlation to experiment is perplexing though—what about increasing the simulation duration would actual decrease how well the </w:t>
      </w:r>
      <w:r>
        <w:rPr>
          <w:i/>
        </w:rPr>
        <w:t>in vitro</w:t>
      </w:r>
      <w:r>
        <w:t xml:space="preserve"> system is represented?  The answer is proteins are very complex.</w:t>
      </w:r>
      <w:r w:rsidR="00E84902">
        <w:t xml:space="preserve">  </w:t>
      </w:r>
      <w:r w:rsidR="00A714EB">
        <w:t>It’s possible that</w:t>
      </w:r>
      <w:r w:rsidR="00E84902">
        <w:t xml:space="preserve"> increasing simulation time could allow a rare local minimum to be visited but not escaped, resulting in an over-representation of that structure.</w:t>
      </w:r>
      <w:r w:rsidR="00A714EB">
        <w:t xml:space="preserve">  Likewise, it’s also possible that it’s purely coincidence that the local structure sampled happens to also well-correlate to the experimental measurement.  </w:t>
      </w:r>
      <w:r w:rsidR="004D78D9">
        <w:t>Using napkin math, t</w:t>
      </w:r>
      <w:r w:rsidR="006A004E">
        <w:t xml:space="preserve">he Ral monomer </w:t>
      </w:r>
      <w:r w:rsidR="00B60E47">
        <w:t>has approximately 170</w:t>
      </w:r>
      <w:r w:rsidR="006A004E">
        <w:t xml:space="preserve"> alkane-like sidechain dihedrals and Ral docked to Rap E30/K31 has approximately 460 sidechain dihedrals.  Assuming all of them have a non-zero probability of being at approximately 60˚, 180˚, and -60˚ and counting each of those states as </w:t>
      </w:r>
      <w:r w:rsidR="00196D22">
        <w:t xml:space="preserve">a single state (for three total probable states), then there </w:t>
      </w:r>
      <w:r w:rsidR="00196D22">
        <w:lastRenderedPageBreak/>
        <w:t>are 10</w:t>
      </w:r>
      <w:r w:rsidR="00196D22">
        <w:rPr>
          <w:vertAlign w:val="superscript"/>
        </w:rPr>
        <w:t>80</w:t>
      </w:r>
      <w:r w:rsidR="00196D22">
        <w:t xml:space="preserve"> possible combinations of sidechain dihedrals for Ral and 10</w:t>
      </w:r>
      <w:r w:rsidR="00196D22">
        <w:rPr>
          <w:vertAlign w:val="superscript"/>
        </w:rPr>
        <w:t>220</w:t>
      </w:r>
      <w:r w:rsidR="00196D22">
        <w:t xml:space="preserve"> combinations for Ral docked to Rap E30/K31.  Obviously, a large number of these are so energetically unflavored </w:t>
      </w:r>
      <w:r w:rsidR="001834E6">
        <w:t xml:space="preserve">that they can be neglected—there are certain combinations that are physically impossible due to steric overlap. </w:t>
      </w:r>
      <w:r w:rsidR="00820E58">
        <w:t xml:space="preserve"> Assuming that only residues with sidechains within 10 Å of </w:t>
      </w:r>
      <w:r w:rsidR="00044988">
        <w:t>the probe are relevant</w:t>
      </w:r>
      <w:r w:rsidR="00B60E47">
        <w:t xml:space="preserve"> for electrostatic field calculations (1/r</w:t>
      </w:r>
      <w:r w:rsidR="00B60E47">
        <w:rPr>
          <w:vertAlign w:val="superscript"/>
        </w:rPr>
        <w:t>2</w:t>
      </w:r>
      <w:r w:rsidR="00B60E47">
        <w:t>)</w:t>
      </w:r>
      <w:r w:rsidR="00044988">
        <w:t>, which for</w:t>
      </w:r>
      <w:r w:rsidR="00820E58">
        <w:t xml:space="preserve"> Y31C</w:t>
      </w:r>
      <w:r w:rsidR="00820E58">
        <w:rPr>
          <w:vertAlign w:val="subscript"/>
        </w:rPr>
        <w:t>SCN</w:t>
      </w:r>
      <w:r w:rsidR="00820E58">
        <w:t xml:space="preserve"> </w:t>
      </w:r>
      <w:r w:rsidR="00044988">
        <w:t xml:space="preserve">docked to Rap E30/K31 is 13, </w:t>
      </w:r>
      <w:r w:rsidR="00820E58">
        <w:t>and</w:t>
      </w:r>
      <w:r w:rsidR="007B5396">
        <w:t xml:space="preserve"> using an</w:t>
      </w:r>
      <w:r w:rsidR="00820E58">
        <w:t xml:space="preserve"> </w:t>
      </w:r>
      <w:r w:rsidR="00044988">
        <w:t>averaging number</w:t>
      </w:r>
      <w:r w:rsidR="00602BB5">
        <w:t xml:space="preserve"> of dihedrals per residue as 1.7</w:t>
      </w:r>
      <w:r w:rsidR="007232BC">
        <w:t xml:space="preserve">, </w:t>
      </w:r>
      <w:r w:rsidR="00044988">
        <w:t>there are still 10</w:t>
      </w:r>
      <w:r w:rsidR="00044988">
        <w:rPr>
          <w:vertAlign w:val="superscript"/>
        </w:rPr>
        <w:t>3</w:t>
      </w:r>
      <w:r w:rsidR="00044988">
        <w:t xml:space="preserve"> possible dihedral combinations—significantly more tractable.  Yet because of energy barriers, more than 10</w:t>
      </w:r>
      <w:r w:rsidR="00044988">
        <w:rPr>
          <w:vertAlign w:val="superscript"/>
        </w:rPr>
        <w:t>3</w:t>
      </w:r>
      <w:r w:rsidR="00044988">
        <w:t xml:space="preserve"> frames are needed to see all possible states; the scope of how many more frames is dependent on the size of the barriers.  </w:t>
      </w:r>
      <w:r w:rsidR="00596090">
        <w:t xml:space="preserve">But again, there are orientations of these 13 residues which may only be energetically favorable given specific orientation of residues further than 10 Å from the probe.  It’s very easy to fall go down the rabbit hole and get lost in a sea of dihedral permutations.  </w:t>
      </w:r>
    </w:p>
    <w:p w14:paraId="445054C4" w14:textId="20F5C162" w:rsidR="008E05D7" w:rsidRDefault="00B17800" w:rsidP="000D7C97">
      <w:pPr>
        <w:pStyle w:val="text"/>
      </w:pPr>
      <w:r>
        <w:t>The number of sidechain degrees of freedom in a protein is massive and it’s impossible to be 100% certain that the entire ensemble is represented in the appropriate proportions at this stage in computational efficiency.  In this regard, I have stepped back to a smaller subset of systems: methylthiocyanate, ethylthiocyanate, hexylthiocyanate, and acetyl-cyanocystein</w:t>
      </w:r>
      <w:r w:rsidR="003649EB">
        <w:t>e</w:t>
      </w:r>
      <w:r>
        <w:t>-N-methylamine peptide-like small molecule.</w:t>
      </w:r>
      <w:r w:rsidR="002853B5">
        <w:t xml:space="preserve">  Furthermore, since the principles behind using the AMOEBA force field are still a concern (solute dielectric) and it was clear that sampling in Amber03 and performing field calculations in AMOEBA was unsuccessful, these molecules have also been simulated in the AMOEBA force field.  </w:t>
      </w:r>
      <w:r w:rsidR="008E05D7">
        <w:t>The solvated protein system is currently too large for AMOEBA, but these smaller systems can easily be simulated in a reasonable amount of time (</w:t>
      </w:r>
      <w:r w:rsidR="004E724E">
        <w:t>approximately 0.8-1.0 ns/day).</w:t>
      </w:r>
    </w:p>
    <w:p w14:paraId="7016C599" w14:textId="4AB33C3D" w:rsidR="00411F43" w:rsidRDefault="00F31B80" w:rsidP="000D7C97">
      <w:pPr>
        <w:pStyle w:val="text"/>
      </w:pPr>
      <w:r>
        <w:t>It has been shown that bother AMOEBA as well as GAFF can reproduce experimental Stark shifts for a given probe in a variety of solvent environments.</w:t>
      </w:r>
      <w:hyperlink w:anchor="_ENREF_1" w:tooltip="Fried, 2013 #1883" w:history="1">
        <w:r w:rsidR="00411F43">
          <w:fldChar w:fldCharType="begin"/>
        </w:r>
        <w:r w:rsidR="00411F43">
          <w:instrText xml:space="preserve"> ADDIN EN.CITE &lt;EndNote&gt;&lt;Cite&gt;&lt;Author&gt;Fried&lt;/Author&gt;&lt;Year&gt;2013&lt;/Year&gt;&lt;RecNum&gt;1883&lt;/RecNum&gt;&lt;DisplayText&gt;&lt;style face="superscript"&gt;1&lt;/style&gt;&lt;/DisplayText&gt;&lt;record&gt;&lt;rec-number&gt;1883&lt;/rec-number&gt;&lt;foreign-keys&gt;&lt;key app="EN" db-id="xwezxz9p75pf9ge2xwovs0v0wsx2x2wfevsp"&gt;1883&lt;/key&gt;&lt;/foreign-keys&gt;&lt;ref-type name="Journal Article"&gt;17&lt;/ref-type&gt;&lt;contributors&gt;&lt;authors&gt;&lt;author&gt;Fried, S. D.&lt;/author&gt;&lt;author&gt;Wang, L. P.&lt;/author&gt;&lt;author&gt;Boxer, S. G.&lt;/author&gt;&lt;author&gt;Ren, P. Y.&lt;/author&gt;&lt;author&gt;Pande, V. S.&lt;/author&gt;&lt;/authors&gt;&lt;/contributors&gt;&lt;auth-address&gt;Pande, VS&amp;#xD;Stanford Univ, Dept Chem, Stanford, CA 94305 USA&amp;#xD;Stanford Univ, Dept Chem, Stanford, CA 94305 USA&amp;#xD;Stanford Univ, Dept Chem, Stanford, CA 94305 USA&amp;#xD;Univ Texas Austin, Dept Biomed Engn, Austin, TX 78712 USA&lt;/auth-address&gt;&lt;titles&gt;&lt;title&gt;Calculations of the Electric Fields in Liquid Solutions&lt;/title&gt;&lt;secondary-title&gt;Journal of Physical Chemistry B&lt;/secondary-title&gt;&lt;alt-title&gt;J Phys Chem B&lt;/alt-title&gt;&lt;/titles&gt;&lt;periodical&gt;&lt;full-title&gt;Journal of Physical Chemistry B&lt;/full-title&gt;&lt;abbr-1&gt;J Phys Chem B&lt;/abbr-1&gt;&lt;/periodical&gt;&lt;alt-periodical&gt;&lt;full-title&gt;Journal of Physical Chemistry B&lt;/full-title&gt;&lt;abbr-1&gt;J Phys Chem B&lt;/abbr-1&gt;&lt;/alt-periodical&gt;&lt;pages&gt;16236-16248&lt;/pages&gt;&lt;volume&gt;117&lt;/volume&gt;&lt;number&gt;50&lt;/number&gt;&lt;keywords&gt;&lt;keyword&gt;poisson-boltzmann calculations&lt;/keyword&gt;&lt;keyword&gt;oxidation-reduction reactions&lt;/keyword&gt;&lt;keyword&gt;stark-effect spectroscopy&lt;/keyword&gt;&lt;keyword&gt;2d ir spectroscopy&lt;/keyword&gt;&lt;keyword&gt;electrostatic fields&lt;/keyword&gt;&lt;keyword&gt;molecular-dynamics&lt;/keyword&gt;&lt;keyword&gt;active-site&lt;/keyword&gt;&lt;keyword&gt;force-field&lt;/keyword&gt;&lt;keyword&gt;vibrational solvatochromism&lt;/keyword&gt;&lt;keyword&gt;biomolecular electrostatics&lt;/keyword&gt;&lt;/keywords&gt;&lt;dates&gt;&lt;year&gt;2013&lt;/year&gt;&lt;pub-dates&gt;&lt;date&gt;Dec 19&lt;/date&gt;&lt;/pub-dates&gt;&lt;/dates&gt;&lt;isbn&gt;1520-6106&lt;/isbn&gt;&lt;accession-num&gt;WOS:000328920600034&lt;/accession-num&gt;&lt;urls&gt;&lt;related-urls&gt;&lt;url&gt;&amp;lt;Go to ISI&amp;gt;://WOS:000328920600034&lt;/url&gt;&lt;/related-urls&gt;&lt;/urls&gt;&lt;electronic-resource-num&gt;Doi 10.1021/Jp410720y&lt;/electronic-resource-num&gt;&lt;language&gt;English&lt;/language&gt;&lt;/record&gt;&lt;/Cite&gt;&lt;/EndNote&gt;</w:instrText>
        </w:r>
        <w:r w:rsidR="00411F43">
          <w:fldChar w:fldCharType="separate"/>
        </w:r>
        <w:r w:rsidR="00411F43" w:rsidRPr="00411F43">
          <w:rPr>
            <w:noProof/>
            <w:vertAlign w:val="superscript"/>
          </w:rPr>
          <w:t>1</w:t>
        </w:r>
        <w:r w:rsidR="00411F43">
          <w:fldChar w:fldCharType="end"/>
        </w:r>
      </w:hyperlink>
      <w:r w:rsidR="00411F43">
        <w:t xml:space="preserve">  However, interesting biology involves water interacting with many different solutes.  The central focus of my work has been understanding how to quantify electrostatic fields in biologically-relevant systems.  In that regard, a good reproduction of Stark shifts of different </w:t>
      </w:r>
      <w:r w:rsidR="00BD2AA9">
        <w:t xml:space="preserve">protein </w:t>
      </w:r>
      <w:r w:rsidR="00411F43">
        <w:t xml:space="preserve">systems in water </w:t>
      </w:r>
      <w:r w:rsidR="00BD2AA9">
        <w:t xml:space="preserve">strictly </w:t>
      </w:r>
      <w:r w:rsidR="00411F43">
        <w:t xml:space="preserve">using MD has not been reported.  </w:t>
      </w:r>
      <w:r w:rsidR="00164463">
        <w:t>Here we investigate how well Stark shifts can be reproduced for various thiocyanate-containing solutes which will be easier to obtain complete ensembles.  The goal here is a proof-of-concept</w:t>
      </w:r>
      <w:r w:rsidR="00EE50FC" w:rsidRPr="00EE50FC">
        <w:t xml:space="preserve"> </w:t>
      </w:r>
      <w:r w:rsidR="00EE50FC">
        <w:t>and may be used as a springboard for future works on increasingly larger probe-containing systems</w:t>
      </w:r>
      <w:r w:rsidR="00EE50FC">
        <w:t>.</w:t>
      </w:r>
      <w:r w:rsidR="004C0DFD">
        <w:t xml:space="preserve"> </w:t>
      </w:r>
    </w:p>
    <w:p w14:paraId="1D761133" w14:textId="16F18B34" w:rsidR="00C37E99" w:rsidRPr="00044988" w:rsidRDefault="008E05D7" w:rsidP="00411F43">
      <w:pPr>
        <w:pStyle w:val="text"/>
      </w:pPr>
      <w:r>
        <w:t>Simulations on these same small molecules</w:t>
      </w:r>
      <w:r w:rsidR="0099146E">
        <w:t xml:space="preserve"> in Amber03 has also been started by an undergraduate in the lab for future comparison.</w:t>
      </w:r>
      <w:r w:rsidR="00B17800">
        <w:t xml:space="preserve">  </w:t>
      </w:r>
    </w:p>
    <w:p w14:paraId="557E9C14" w14:textId="789D36FC" w:rsidR="00C37E99" w:rsidRDefault="00C37E99" w:rsidP="00C37E99">
      <w:pPr>
        <w:pStyle w:val="Heading3"/>
      </w:pPr>
      <w:r>
        <w:t xml:space="preserve"> </w:t>
      </w:r>
      <w:bookmarkStart w:id="3" w:name="_Toc297815436"/>
      <w:bookmarkStart w:id="4" w:name="_Toc298602256"/>
      <w:r>
        <w:t>Results</w:t>
      </w:r>
      <w:bookmarkEnd w:id="3"/>
      <w:bookmarkEnd w:id="4"/>
      <w:r w:rsidR="00A01393">
        <w:t xml:space="preserve"> and Discussion</w:t>
      </w:r>
    </w:p>
    <w:p w14:paraId="7536A133" w14:textId="468065E4" w:rsidR="00C37E99" w:rsidRDefault="00B145F9" w:rsidP="00B145F9">
      <w:pPr>
        <w:pStyle w:val="Heading4"/>
      </w:pPr>
      <w:r>
        <w:t xml:space="preserve"> Sampling </w:t>
      </w:r>
      <w:r w:rsidR="00A01393">
        <w:t>CN Orientations</w:t>
      </w:r>
    </w:p>
    <w:p w14:paraId="39D0E605" w14:textId="30BB8D7D" w:rsidR="0062645B" w:rsidRDefault="0062645B" w:rsidP="00324F52">
      <w:pPr>
        <w:pStyle w:val="text"/>
      </w:pPr>
      <w:r>
        <w:fldChar w:fldCharType="begin"/>
      </w:r>
      <w:r>
        <w:instrText xml:space="preserve"> REF _Ref299271835 \h </w:instrText>
      </w:r>
      <w:r>
        <w:fldChar w:fldCharType="separate"/>
      </w:r>
      <w:r w:rsidR="000923D6">
        <w:t xml:space="preserve">Figure </w:t>
      </w:r>
      <w:r w:rsidR="000923D6">
        <w:rPr>
          <w:noProof/>
        </w:rPr>
        <w:t>1</w:t>
      </w:r>
      <w:r w:rsidR="000923D6">
        <w:noBreakHyphen/>
      </w:r>
      <w:r w:rsidR="000923D6">
        <w:rPr>
          <w:noProof/>
        </w:rPr>
        <w:t>1</w:t>
      </w:r>
      <w:r>
        <w:fldChar w:fldCharType="end"/>
      </w:r>
      <w:r>
        <w:t xml:space="preserve"> shows the one-dimensional dihedral distributions for all non-hydrogen dihedral angles.  From this it’s clear that ethylthiocyanate is well-able to sample all of the expected alkane-like dihedral space in 4 ns.  Hexylthiocyanate and the capped cyanocysteine are more difficult to assess from </w:t>
      </w:r>
      <w:r>
        <w:fldChar w:fldCharType="begin"/>
      </w:r>
      <w:r>
        <w:instrText xml:space="preserve"> REF _Ref299271835 \h </w:instrText>
      </w:r>
      <w:r>
        <w:fldChar w:fldCharType="separate"/>
      </w:r>
      <w:r w:rsidR="000923D6">
        <w:t xml:space="preserve">Figure </w:t>
      </w:r>
      <w:r w:rsidR="000923D6">
        <w:rPr>
          <w:noProof/>
        </w:rPr>
        <w:t>1</w:t>
      </w:r>
      <w:r w:rsidR="000923D6">
        <w:noBreakHyphen/>
      </w:r>
      <w:r w:rsidR="000923D6">
        <w:rPr>
          <w:noProof/>
        </w:rPr>
        <w:t>1</w:t>
      </w:r>
      <w:r>
        <w:fldChar w:fldCharType="end"/>
      </w:r>
      <w:r>
        <w:t xml:space="preserve"> due to being unable to distinguish between dihedral permutations.  </w:t>
      </w:r>
      <w:r>
        <w:fldChar w:fldCharType="begin"/>
      </w:r>
      <w:r>
        <w:instrText xml:space="preserve"> REF _Ref299271970 \h </w:instrText>
      </w:r>
      <w:r>
        <w:fldChar w:fldCharType="separate"/>
      </w:r>
      <w:r w:rsidR="000923D6">
        <w:t xml:space="preserve">Figure </w:t>
      </w:r>
      <w:r w:rsidR="000923D6">
        <w:rPr>
          <w:noProof/>
        </w:rPr>
        <w:t>1</w:t>
      </w:r>
      <w:r w:rsidR="000923D6">
        <w:noBreakHyphen/>
      </w:r>
      <w:r w:rsidR="000923D6">
        <w:rPr>
          <w:noProof/>
        </w:rPr>
        <w:t>2</w:t>
      </w:r>
      <w:r>
        <w:fldChar w:fldCharType="end"/>
      </w:r>
      <w:r>
        <w:t xml:space="preserve"> therefore shows the two-dimensional dihedral distribution for these two molecules for the dihedrals involving SCN.  Looking at </w:t>
      </w:r>
      <w:r>
        <w:fldChar w:fldCharType="begin"/>
      </w:r>
      <w:r>
        <w:instrText xml:space="preserve"> REF _Ref299271970 \h </w:instrText>
      </w:r>
      <w:r>
        <w:fldChar w:fldCharType="separate"/>
      </w:r>
      <w:r w:rsidR="000923D6">
        <w:t xml:space="preserve">Figure </w:t>
      </w:r>
      <w:r w:rsidR="000923D6">
        <w:rPr>
          <w:noProof/>
        </w:rPr>
        <w:t>1</w:t>
      </w:r>
      <w:r w:rsidR="000923D6">
        <w:noBreakHyphen/>
      </w:r>
      <w:r w:rsidR="000923D6">
        <w:rPr>
          <w:noProof/>
        </w:rPr>
        <w:t>2</w:t>
      </w:r>
      <w:r>
        <w:fldChar w:fldCharType="end"/>
      </w:r>
      <w:r>
        <w:t>, hexylthiocyanate appears to behave alkane-like, with all alkane-like windows visited at least briefly.  However, either (180˚, 60˚), (180˚, -60˚), (-60˚, -60˚), and (60˚, 60˚) are particularly favorable or the system has not yet had enough time to fully sample the other alkane-like regions.  Likewise, the capped cyanocysteine appears to very much favor the (180˚, -60˚) alkane region, with a small-but-significant probability at (60˚, 60˚).  Because of it is capped and therefore few possible solute-thiocyanate interactions should be present, it is hypothesized that the peptide simply has not yet had adequate time to sample all states and an enhanced method, such as umbrella sampling, should be used to generate a more-complete ensemble.  The same may be said for hexylthiocyanate also, although to a lesser degree.</w:t>
      </w:r>
    </w:p>
    <w:p w14:paraId="6A92FF51" w14:textId="33A72FD3" w:rsidR="00C47DAB" w:rsidRDefault="00A01393" w:rsidP="00C47DAB">
      <w:pPr>
        <w:pStyle w:val="Heading4"/>
      </w:pPr>
      <w:r>
        <w:t xml:space="preserve"> Electrostatic Fields</w:t>
      </w:r>
    </w:p>
    <w:p w14:paraId="595AA310" w14:textId="77777777" w:rsidR="00C47DAB" w:rsidRDefault="00014C5F" w:rsidP="00C47DAB">
      <w:pPr>
        <w:pStyle w:val="text"/>
      </w:pPr>
      <w:r>
        <w:fldChar w:fldCharType="begin"/>
      </w:r>
      <w:r>
        <w:instrText xml:space="preserve"> REF _Ref299272427 \h </w:instrText>
      </w:r>
      <w:r>
        <w:fldChar w:fldCharType="separate"/>
      </w:r>
      <w:r w:rsidR="000923D6">
        <w:t xml:space="preserve">Figure </w:t>
      </w:r>
      <w:r w:rsidR="000923D6">
        <w:rPr>
          <w:noProof/>
        </w:rPr>
        <w:t>1</w:t>
      </w:r>
      <w:r w:rsidR="000923D6">
        <w:noBreakHyphen/>
      </w:r>
      <w:r w:rsidR="000923D6">
        <w:rPr>
          <w:noProof/>
        </w:rPr>
        <w:t>3</w:t>
      </w:r>
      <w:r>
        <w:fldChar w:fldCharType="end"/>
      </w:r>
      <w:r w:rsidR="00C47DAB">
        <w:t xml:space="preserve"> shows the average calculated field as a function of time for fields calculated using A) the induced method (IM), B) the midpoint method (MPM), C) MPM where the monopole, permanent dipole, induced dipole, and quadrupole contributions of the SCN atoms have been removed, and D) MPM where the monopole, permanent dipole, and quadrupole contributions of the SCN atoms have been removed.  The IM is trivial to calculate using built-in output from Tinker during the simulation run.  The MPM method required additional work-up after the simulation was completed; both method have previously been described.</w:t>
      </w:r>
    </w:p>
    <w:p w14:paraId="262FBDEB" w14:textId="6E91CA73" w:rsidR="00324F52" w:rsidRDefault="00C47DAB" w:rsidP="00C47DAB">
      <w:pPr>
        <w:pStyle w:val="text"/>
      </w:pPr>
      <w:r>
        <w:t>The average levels off relatively quickly</w:t>
      </w:r>
      <w:r w:rsidR="00D607A6">
        <w:t xml:space="preserve"> for all small molecules, indicating either convergence with respect to electrostatic field or oversampling within some number of local minima and inadequate sampling within other structures.  It’s likely the former for methyl- and ethylthiocyanate and the latter for hexylthiocyanate and the capped cyanocysteine, based on methylthiocyanate having very few structure degrees of freedom, </w:t>
      </w:r>
      <w:r w:rsidR="00D607A6">
        <w:fldChar w:fldCharType="begin"/>
      </w:r>
      <w:r w:rsidR="00D607A6">
        <w:instrText xml:space="preserve"> REF _Ref299271835 \h </w:instrText>
      </w:r>
      <w:r w:rsidR="00D607A6">
        <w:fldChar w:fldCharType="separate"/>
      </w:r>
      <w:r w:rsidR="000923D6">
        <w:t xml:space="preserve">Figure </w:t>
      </w:r>
      <w:r w:rsidR="000923D6">
        <w:rPr>
          <w:noProof/>
        </w:rPr>
        <w:t>1</w:t>
      </w:r>
      <w:r w:rsidR="000923D6">
        <w:noBreakHyphen/>
      </w:r>
      <w:r w:rsidR="000923D6">
        <w:rPr>
          <w:noProof/>
        </w:rPr>
        <w:t>1</w:t>
      </w:r>
      <w:r w:rsidR="00D607A6">
        <w:fldChar w:fldCharType="end"/>
      </w:r>
      <w:r w:rsidR="00D607A6">
        <w:t xml:space="preserve">, and </w:t>
      </w:r>
      <w:r w:rsidR="00D607A6">
        <w:fldChar w:fldCharType="begin"/>
      </w:r>
      <w:r w:rsidR="00D607A6">
        <w:instrText xml:space="preserve"> REF _Ref299271970 \h </w:instrText>
      </w:r>
      <w:r w:rsidR="00D607A6">
        <w:fldChar w:fldCharType="separate"/>
      </w:r>
      <w:r w:rsidR="000923D6">
        <w:t xml:space="preserve">Figure </w:t>
      </w:r>
      <w:r w:rsidR="000923D6">
        <w:rPr>
          <w:noProof/>
        </w:rPr>
        <w:t>1</w:t>
      </w:r>
      <w:r w:rsidR="000923D6">
        <w:noBreakHyphen/>
      </w:r>
      <w:r w:rsidR="000923D6">
        <w:rPr>
          <w:noProof/>
        </w:rPr>
        <w:t>2</w:t>
      </w:r>
      <w:r w:rsidR="00D607A6">
        <w:fldChar w:fldCharType="end"/>
      </w:r>
      <w:r w:rsidR="00D607A6">
        <w:t xml:space="preserve">.  </w:t>
      </w:r>
      <w:r w:rsidR="00F31B80">
        <w:t>Once again, it’s likely a method of enhanced MD (or simply more simulation time) are necessary for the larger two molecules.</w:t>
      </w:r>
    </w:p>
    <w:p w14:paraId="37B9D0F3" w14:textId="4B8B2222" w:rsidR="00F31B80" w:rsidRDefault="00A82AD7" w:rsidP="00C47DAB">
      <w:pPr>
        <w:pStyle w:val="text"/>
      </w:pPr>
      <w:r>
        <w:t xml:space="preserve">Due to the close proximity between the SCN atoms and the nitrile midpoint, SCN will be the dominate contributor to the electrostatic field.  In the IM, this is significantly reduced by the damping factors in the SCF subroutines.  The MPM does not use such damping terms, however.  Since we are not interested in the self-field of the probe, but rather the external field felt by the probe, we have looked at removing the field contributions of the SCN atoms, which is identical to what was done in the previous chapter.  The SCN field is due to the charges on SCN, which should, on average, be the approximately constant for any given system—the force field parameters defining bond lengths and angles should ensure that.  Because AMOEBA also has an induced dipole term, however, part of the SCN field is not constant—the field due to the induced dipoles on the S, C, and N atoms.  Therefore, we have looked at both removing and keeping that term.  </w:t>
      </w:r>
      <w:r w:rsidR="00061832">
        <w:fldChar w:fldCharType="begin"/>
      </w:r>
      <w:r w:rsidR="00061832">
        <w:instrText xml:space="preserve"> REF _Ref299273889 \h </w:instrText>
      </w:r>
      <w:r w:rsidR="00061832">
        <w:fldChar w:fldCharType="separate"/>
      </w:r>
      <w:r w:rsidR="000923D6">
        <w:t xml:space="preserve">Figure </w:t>
      </w:r>
      <w:r w:rsidR="000923D6">
        <w:rPr>
          <w:noProof/>
        </w:rPr>
        <w:t>1</w:t>
      </w:r>
      <w:r w:rsidR="000923D6">
        <w:noBreakHyphen/>
      </w:r>
      <w:r w:rsidR="000923D6">
        <w:rPr>
          <w:noProof/>
        </w:rPr>
        <w:t>4</w:t>
      </w:r>
      <w:r w:rsidR="00061832">
        <w:fldChar w:fldCharType="end"/>
      </w:r>
      <w:r w:rsidR="00061832">
        <w:t xml:space="preserve"> shows the </w:t>
      </w:r>
      <w:r w:rsidR="005053B9">
        <w:t xml:space="preserve">contribution of each multipole part on SCN to the electrostatic field at the bond midpoint.  As expected, all of the permanent terms (monopole, permanent dipole, quadrupole, permanent total) are approximately constant for all probes.  Again, this is unsurprising given all the SCN share multipole parameters.  The induce dipole field contribution (and total including induced dipole contributions) vary because it is a response to the local field experienced by the probe—the exact value we are trying to vary by modulating the atoms SCN is attached to.  </w:t>
      </w:r>
    </w:p>
    <w:p w14:paraId="00622E7B" w14:textId="77777777" w:rsidR="00395FB9" w:rsidRPr="00324F52" w:rsidRDefault="00395FB9" w:rsidP="00C47DAB">
      <w:pPr>
        <w:pStyle w:val="text"/>
      </w:pPr>
    </w:p>
    <w:p w14:paraId="6856DB85" w14:textId="77777777" w:rsidR="003609F4" w:rsidRDefault="003609F4">
      <w:r>
        <w:br w:type="page"/>
      </w:r>
    </w:p>
    <w:p w14:paraId="7ACDCCB8" w14:textId="77777777" w:rsidR="00952206" w:rsidRDefault="00952206">
      <w:r>
        <w:rPr>
          <w:noProof/>
        </w:rPr>
        <w:drawing>
          <wp:inline distT="0" distB="0" distL="0" distR="0" wp14:anchorId="2AF4B565" wp14:editId="0A91148B">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62171620" w14:textId="6CACD438" w:rsidR="00D52926" w:rsidRDefault="00D52926" w:rsidP="00D52926">
      <w:pPr>
        <w:pStyle w:val="Heading8"/>
        <w:jc w:val="center"/>
      </w:pPr>
      <w:bookmarkStart w:id="5" w:name="_Ref299271835"/>
      <w:r>
        <w:t xml:space="preserve">Figure </w:t>
      </w:r>
      <w:fldSimple w:instr=" STYLEREF 2 \s ">
        <w:r w:rsidR="000923D6">
          <w:rPr>
            <w:noProof/>
          </w:rPr>
          <w:t>1</w:t>
        </w:r>
      </w:fldSimple>
      <w:r w:rsidR="00014C5F">
        <w:noBreakHyphen/>
      </w:r>
      <w:fldSimple w:instr=" SEQ Figure \* ARABIC \s 2 ">
        <w:r w:rsidR="000923D6">
          <w:rPr>
            <w:noProof/>
          </w:rPr>
          <w:t>1</w:t>
        </w:r>
      </w:fldSimple>
      <w:bookmarkEnd w:id="5"/>
      <w:r>
        <w:t>: One-Dimensional Dihedral Pro</w:t>
      </w:r>
      <w:r w:rsidR="00FB1807">
        <w:t>ba</w:t>
      </w:r>
      <w:r>
        <w:t>bility Distributions</w:t>
      </w:r>
    </w:p>
    <w:p w14:paraId="0C721B51" w14:textId="77777777" w:rsidR="00FB1807" w:rsidRDefault="00BF0E08" w:rsidP="00D52926">
      <w:r>
        <w:t xml:space="preserve">Non-Hydrogen dihedral probability distributions for ethylthiocyanate (top), hexylthiocyanate (middle), and capped cyanocysteine (bottom).  Ethylthiocyanate (top): (blue) C1-C2-S-C dihedral.  Hexylthiocyanate (middle): (blue) C1-C2-C3-C4 dihedral; (green) C2-C3-C4-C5 dihedral; (black) C3-C4-C5-C6 dihedral; (magenta) </w:t>
      </w:r>
      <w:r>
        <w:sym w:font="Symbol" w:char="F063"/>
      </w:r>
      <w:r>
        <w:rPr>
          <w:vertAlign w:val="subscript"/>
        </w:rPr>
        <w:t>1</w:t>
      </w:r>
      <w:r>
        <w:t xml:space="preserve"> analogue C4-C5-C6-S dihedral; (cyan) </w:t>
      </w:r>
      <w:r>
        <w:sym w:font="Symbol" w:char="F063"/>
      </w:r>
      <w:r>
        <w:rPr>
          <w:vertAlign w:val="subscript"/>
        </w:rPr>
        <w:t>2</w:t>
      </w:r>
      <w:r>
        <w:t xml:space="preserve"> analogue C5-C6-S-C dihedral. Capped cyanocysteine (bottom): (blue) </w:t>
      </w:r>
      <w:r>
        <w:sym w:font="Symbol" w:char="F063"/>
      </w:r>
      <w:r>
        <w:rPr>
          <w:vertAlign w:val="subscript"/>
        </w:rPr>
        <w:t>1</w:t>
      </w:r>
      <w:r>
        <w:t xml:space="preserve"> N-C</w:t>
      </w:r>
      <w:r>
        <w:sym w:font="Symbol" w:char="F061"/>
      </w:r>
      <w:r>
        <w:t>-C</w:t>
      </w:r>
      <w:r>
        <w:sym w:font="Symbol" w:char="F062"/>
      </w:r>
      <w:r>
        <w:t xml:space="preserve">-S dihedral; (green) </w:t>
      </w:r>
      <w:r>
        <w:sym w:font="Symbol" w:char="F063"/>
      </w:r>
      <w:r>
        <w:rPr>
          <w:vertAlign w:val="subscript"/>
        </w:rPr>
        <w:t>2</w:t>
      </w:r>
      <w:r>
        <w:t xml:space="preserve"> C</w:t>
      </w:r>
      <w:r>
        <w:sym w:font="Symbol" w:char="F061"/>
      </w:r>
      <w:r>
        <w:t>-C</w:t>
      </w:r>
      <w:r>
        <w:sym w:font="Symbol" w:char="F062"/>
      </w:r>
      <w:r>
        <w:t>-S-C dihedral.</w:t>
      </w:r>
    </w:p>
    <w:p w14:paraId="6E843BF7" w14:textId="77777777" w:rsidR="00FB1807" w:rsidRDefault="00FB1807">
      <w:r>
        <w:br w:type="page"/>
      </w:r>
    </w:p>
    <w:p w14:paraId="61FD642C" w14:textId="1F5D1548" w:rsidR="00FB1807" w:rsidRDefault="00FB1807" w:rsidP="00D52926">
      <w:r>
        <w:rPr>
          <w:noProof/>
        </w:rPr>
        <w:drawing>
          <wp:inline distT="0" distB="0" distL="0" distR="0" wp14:anchorId="76CC8153" wp14:editId="74BF6AA5">
            <wp:extent cx="5486400" cy="30021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02192"/>
                    </a:xfrm>
                    <a:prstGeom prst="rect">
                      <a:avLst/>
                    </a:prstGeom>
                    <a:noFill/>
                    <a:ln>
                      <a:noFill/>
                    </a:ln>
                  </pic:spPr>
                </pic:pic>
              </a:graphicData>
            </a:graphic>
          </wp:inline>
        </w:drawing>
      </w:r>
    </w:p>
    <w:p w14:paraId="50F8C61F" w14:textId="0A5B9763" w:rsidR="00FB1807" w:rsidRDefault="00FB1807" w:rsidP="002817B9">
      <w:pPr>
        <w:pStyle w:val="Heading8"/>
        <w:jc w:val="center"/>
      </w:pPr>
      <w:bookmarkStart w:id="6" w:name="_Ref299271970"/>
      <w:r>
        <w:t xml:space="preserve">Figure </w:t>
      </w:r>
      <w:fldSimple w:instr=" STYLEREF 2 \s ">
        <w:r w:rsidR="000923D6">
          <w:rPr>
            <w:noProof/>
          </w:rPr>
          <w:t>1</w:t>
        </w:r>
      </w:fldSimple>
      <w:r w:rsidR="00014C5F">
        <w:noBreakHyphen/>
      </w:r>
      <w:fldSimple w:instr=" SEQ Figure \* ARABIC \s 2 ">
        <w:r w:rsidR="000923D6">
          <w:rPr>
            <w:noProof/>
          </w:rPr>
          <w:t>2</w:t>
        </w:r>
      </w:fldSimple>
      <w:bookmarkEnd w:id="6"/>
      <w:r>
        <w:t>: Two-Dimensional Dihedral Probability Distributions for Hexylthiocyanate and Capped Cyanocysteine</w:t>
      </w:r>
    </w:p>
    <w:p w14:paraId="7E5DF70D" w14:textId="4E965E91" w:rsidR="002B4D69" w:rsidRDefault="00F20BC0" w:rsidP="00D52926">
      <w:r>
        <w:t xml:space="preserve">Hexylthiocyanate (left) </w:t>
      </w:r>
      <w:r>
        <w:sym w:font="Symbol" w:char="F063"/>
      </w:r>
      <w:r>
        <w:rPr>
          <w:vertAlign w:val="subscript"/>
        </w:rPr>
        <w:t>1</w:t>
      </w:r>
      <w:r>
        <w:t xml:space="preserve"> </w:t>
      </w:r>
      <w:r w:rsidR="008939A6">
        <w:t>(</w:t>
      </w:r>
      <w:r w:rsidR="00A375A1">
        <w:t>C4-C5-C6-S)</w:t>
      </w:r>
      <w:r w:rsidR="008939A6">
        <w:t xml:space="preserve"> </w:t>
      </w:r>
      <w:r>
        <w:t xml:space="preserve">and </w:t>
      </w:r>
      <w:r>
        <w:sym w:font="Symbol" w:char="F063"/>
      </w:r>
      <w:r>
        <w:rPr>
          <w:vertAlign w:val="subscript"/>
        </w:rPr>
        <w:t>2</w:t>
      </w:r>
      <w:r>
        <w:t xml:space="preserve"> </w:t>
      </w:r>
      <w:r w:rsidR="008939A6">
        <w:t>(</w:t>
      </w:r>
      <w:r w:rsidR="00A375A1">
        <w:t>C5-C6-S-C</w:t>
      </w:r>
      <w:r w:rsidR="008939A6">
        <w:t xml:space="preserve">) </w:t>
      </w:r>
      <w:r>
        <w:t>analogous two-dimensional dihedral distribution</w:t>
      </w:r>
      <w:r w:rsidR="002C5BED">
        <w:t xml:space="preserve"> after 5 ns of simulation</w:t>
      </w:r>
      <w:r>
        <w:t xml:space="preserve">.  Capped cyanocysteine (right) </w:t>
      </w:r>
      <w:r>
        <w:sym w:font="Symbol" w:char="F063"/>
      </w:r>
      <w:r>
        <w:rPr>
          <w:vertAlign w:val="subscript"/>
        </w:rPr>
        <w:t>1</w:t>
      </w:r>
      <w:r>
        <w:t xml:space="preserve"> </w:t>
      </w:r>
      <w:r w:rsidR="008939A6">
        <w:t>(N-C</w:t>
      </w:r>
      <w:r w:rsidR="008939A6">
        <w:sym w:font="Symbol" w:char="F061"/>
      </w:r>
      <w:r w:rsidR="008939A6">
        <w:t>-C</w:t>
      </w:r>
      <w:r w:rsidR="008939A6">
        <w:sym w:font="Symbol" w:char="F062"/>
      </w:r>
      <w:r w:rsidR="008939A6">
        <w:t xml:space="preserve">-S) </w:t>
      </w:r>
      <w:r>
        <w:t xml:space="preserve">and </w:t>
      </w:r>
      <w:r>
        <w:sym w:font="Symbol" w:char="F063"/>
      </w:r>
      <w:r>
        <w:rPr>
          <w:vertAlign w:val="subscript"/>
        </w:rPr>
        <w:t>2</w:t>
      </w:r>
      <w:r>
        <w:t xml:space="preserve"> </w:t>
      </w:r>
      <w:r w:rsidR="008939A6">
        <w:t>(C</w:t>
      </w:r>
      <w:r w:rsidR="008939A6">
        <w:sym w:font="Symbol" w:char="F061"/>
      </w:r>
      <w:r w:rsidR="008939A6">
        <w:t>-C</w:t>
      </w:r>
      <w:r w:rsidR="008939A6">
        <w:sym w:font="Symbol" w:char="F062"/>
      </w:r>
      <w:r w:rsidR="008939A6">
        <w:t>-S</w:t>
      </w:r>
      <w:r w:rsidR="00FE014F">
        <w:t>-C</w:t>
      </w:r>
      <w:r w:rsidR="008939A6">
        <w:t xml:space="preserve">) </w:t>
      </w:r>
      <w:r>
        <w:t>two-di</w:t>
      </w:r>
      <w:r w:rsidR="002C5BED">
        <w:t>mensional dihedral distribution after 7 ns of simulation.</w:t>
      </w:r>
    </w:p>
    <w:p w14:paraId="6757AFE6" w14:textId="77777777" w:rsidR="00E51B42" w:rsidRDefault="002B4D69" w:rsidP="00E51B42">
      <w:r>
        <w:br w:type="page"/>
      </w:r>
      <w:r w:rsidR="00E51B42">
        <w:rPr>
          <w:noProof/>
        </w:rPr>
        <w:drawing>
          <wp:inline distT="0" distB="0" distL="0" distR="0" wp14:anchorId="28E02F91" wp14:editId="3B8D92C3">
            <wp:extent cx="5486400" cy="41148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2A040A16" w14:textId="77777777" w:rsidR="00E51B42" w:rsidRDefault="00E51B42" w:rsidP="00E51B42">
      <w:pPr>
        <w:pStyle w:val="Heading8"/>
        <w:jc w:val="center"/>
      </w:pPr>
      <w:bookmarkStart w:id="7" w:name="_Ref299272427"/>
      <w:r>
        <w:t xml:space="preserve">Figure </w:t>
      </w:r>
      <w:r>
        <w:fldChar w:fldCharType="begin"/>
      </w:r>
      <w:r>
        <w:instrText xml:space="preserve"> STYLEREF 2 \s </w:instrText>
      </w:r>
      <w:r>
        <w:fldChar w:fldCharType="separate"/>
      </w:r>
      <w:r w:rsidR="000923D6">
        <w:rPr>
          <w:noProof/>
        </w:rPr>
        <w:t>1</w:t>
      </w:r>
      <w:r>
        <w:fldChar w:fldCharType="end"/>
      </w:r>
      <w:r>
        <w:noBreakHyphen/>
      </w:r>
      <w:r>
        <w:fldChar w:fldCharType="begin"/>
      </w:r>
      <w:r>
        <w:instrText xml:space="preserve"> SEQ Figure \* ARABIC \s 2 </w:instrText>
      </w:r>
      <w:r>
        <w:fldChar w:fldCharType="separate"/>
      </w:r>
      <w:r w:rsidR="000923D6">
        <w:rPr>
          <w:noProof/>
        </w:rPr>
        <w:t>3</w:t>
      </w:r>
      <w:r>
        <w:fldChar w:fldCharType="end"/>
      </w:r>
      <w:bookmarkEnd w:id="7"/>
      <w:r>
        <w:t>: Average Electrostatic Field as a Function of Simulation Time</w:t>
      </w:r>
    </w:p>
    <w:p w14:paraId="7803A74F" w14:textId="77777777" w:rsidR="00E51B42" w:rsidRDefault="00E51B42" w:rsidP="00E51B42">
      <w:r>
        <w:t xml:space="preserve">Average electrostatic field for methylthiocyanate (red), ethylthiocyanate (blue), hexylthiocyanate (green), and capped cyanocysteine (black) after some amount of frames, indicated on the x-axis.  Diamonds are the average for the previous 1000 frames (100 ps).  </w:t>
      </w:r>
    </w:p>
    <w:p w14:paraId="3F36802E" w14:textId="77777777" w:rsidR="00E51B42" w:rsidRDefault="00E51B42" w:rsidP="00E51B42">
      <w:r>
        <w:br w:type="page"/>
      </w:r>
    </w:p>
    <w:p w14:paraId="5E03B6CB" w14:textId="77777777" w:rsidR="002B4D69" w:rsidRDefault="002B4D69"/>
    <w:p w14:paraId="26C7B44F" w14:textId="6EA8286D" w:rsidR="002B4D69" w:rsidRDefault="00D50B96" w:rsidP="00D52926">
      <w:r>
        <w:rPr>
          <w:noProof/>
        </w:rPr>
        <w:drawing>
          <wp:inline distT="0" distB="0" distL="0" distR="0" wp14:anchorId="5505A975" wp14:editId="16DB9FA8">
            <wp:extent cx="5486400" cy="411480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4B5FCA03" w14:textId="41CBAD30" w:rsidR="002B4D69" w:rsidRDefault="002B4D69" w:rsidP="002817B9">
      <w:pPr>
        <w:pStyle w:val="Heading8"/>
        <w:jc w:val="center"/>
      </w:pPr>
      <w:bookmarkStart w:id="8" w:name="_Ref299273889"/>
      <w:r>
        <w:t xml:space="preserve">Figure </w:t>
      </w:r>
      <w:fldSimple w:instr=" STYLEREF 2 \s ">
        <w:r w:rsidR="000923D6">
          <w:rPr>
            <w:noProof/>
          </w:rPr>
          <w:t>1</w:t>
        </w:r>
      </w:fldSimple>
      <w:r w:rsidR="00014C5F">
        <w:noBreakHyphen/>
      </w:r>
      <w:fldSimple w:instr=" SEQ Figure \* ARABIC \s 2 ">
        <w:r w:rsidR="000923D6">
          <w:rPr>
            <w:noProof/>
          </w:rPr>
          <w:t>4</w:t>
        </w:r>
      </w:fldSimple>
      <w:bookmarkEnd w:id="8"/>
      <w:r>
        <w:t>: SCN Field Contributions are Constant</w:t>
      </w:r>
    </w:p>
    <w:p w14:paraId="5DE0A3E2" w14:textId="0DFBFADC" w:rsidR="002B4D69" w:rsidRDefault="002B4D69" w:rsidP="00D52926">
      <w:r>
        <w:t>Contributions to the electrostatic field at the nitrile bond midpoint due to different multipole contributions from the SCN atoms.  SCN is the dominating contributor to the electrostatic field due to the close proximity between the location of interest (field midpoint) and the SCN atoms.</w:t>
      </w:r>
    </w:p>
    <w:p w14:paraId="0D4E7951" w14:textId="77777777" w:rsidR="009A78A5" w:rsidRDefault="009A78A5">
      <w:r>
        <w:br w:type="page"/>
      </w:r>
    </w:p>
    <w:p w14:paraId="4A521CB4" w14:textId="66D913FB" w:rsidR="0010676C" w:rsidRDefault="00B928EC" w:rsidP="0010676C">
      <w:r>
        <w:rPr>
          <w:noProof/>
        </w:rPr>
        <w:drawing>
          <wp:inline distT="0" distB="0" distL="0" distR="0" wp14:anchorId="10580A02" wp14:editId="0981A39A">
            <wp:extent cx="5486400" cy="41148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3E8D7169" w14:textId="378CFDF4" w:rsidR="0010676C" w:rsidRDefault="004A533A" w:rsidP="002817B9">
      <w:pPr>
        <w:pStyle w:val="Heading8"/>
        <w:jc w:val="center"/>
      </w:pPr>
      <w:r>
        <w:t xml:space="preserve">Figure </w:t>
      </w:r>
      <w:fldSimple w:instr=" STYLEREF 2 \s ">
        <w:r w:rsidR="000923D6">
          <w:rPr>
            <w:noProof/>
          </w:rPr>
          <w:t>1</w:t>
        </w:r>
      </w:fldSimple>
      <w:r w:rsidR="00014C5F">
        <w:noBreakHyphen/>
      </w:r>
      <w:fldSimple w:instr=" SEQ Figure \* ARABIC \s 2 ">
        <w:r w:rsidR="000923D6">
          <w:rPr>
            <w:noProof/>
          </w:rPr>
          <w:t>5</w:t>
        </w:r>
      </w:fldSimple>
      <w:r>
        <w:t>: Small Molecule AMOEBA Fields Plotted Against Experimental Vibrational Absorption Energies</w:t>
      </w:r>
    </w:p>
    <w:p w14:paraId="4D6E0F94" w14:textId="3CADFE86" w:rsidR="00B928EC" w:rsidRDefault="00075264" w:rsidP="0010676C">
      <w:r>
        <w:t xml:space="preserve">Calculated fields plotted against experimentally measured vibrational absorption energies.  Squared correlation coefficients and VSTR are indicated in the bottom right corner of each plot.  A) Fields calculated with the IM.  B) Total fields calculated using MPM. C) Fields calculated using MPM where the monopole, </w:t>
      </w:r>
      <w:r w:rsidR="00265D52">
        <w:t xml:space="preserve">permanent dipole, </w:t>
      </w:r>
      <w:r w:rsidR="00265D52" w:rsidRPr="00265D52">
        <w:rPr>
          <w:i/>
        </w:rPr>
        <w:t>induced</w:t>
      </w:r>
      <w:r w:rsidR="00265D52">
        <w:t xml:space="preserve"> dipole</w:t>
      </w:r>
      <w:r>
        <w:t xml:space="preserve">, and quadrupole fields due to SCN atoms have been removed.   D) Fields calculated using MPM where the monopole, </w:t>
      </w:r>
      <w:r w:rsidRPr="00265D52">
        <w:rPr>
          <w:i/>
        </w:rPr>
        <w:t>permanent</w:t>
      </w:r>
      <w:r>
        <w:t xml:space="preserve"> dipole, and quadrupole fields due to SCN atoms have been removed.   </w:t>
      </w:r>
    </w:p>
    <w:p w14:paraId="7E5F5224" w14:textId="77777777" w:rsidR="00B928EC" w:rsidRDefault="00B928EC">
      <w:r>
        <w:br w:type="page"/>
      </w:r>
    </w:p>
    <w:p w14:paraId="0E824104" w14:textId="77777777" w:rsidR="00B5512E" w:rsidRDefault="00B5512E" w:rsidP="0010676C">
      <w:r>
        <w:rPr>
          <w:noProof/>
        </w:rPr>
        <w:drawing>
          <wp:inline distT="0" distB="0" distL="0" distR="0" wp14:anchorId="0C34D98F" wp14:editId="20F91408">
            <wp:extent cx="5486400" cy="4081220"/>
            <wp:effectExtent l="0" t="0" r="0" b="825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081220"/>
                    </a:xfrm>
                    <a:prstGeom prst="rect">
                      <a:avLst/>
                    </a:prstGeom>
                    <a:noFill/>
                    <a:ln>
                      <a:noFill/>
                    </a:ln>
                  </pic:spPr>
                </pic:pic>
              </a:graphicData>
            </a:graphic>
          </wp:inline>
        </w:drawing>
      </w:r>
    </w:p>
    <w:p w14:paraId="738118CC" w14:textId="0A7B7881" w:rsidR="00B5512E" w:rsidRDefault="00014C5F" w:rsidP="002817B9">
      <w:pPr>
        <w:pStyle w:val="Heading8"/>
        <w:jc w:val="center"/>
      </w:pPr>
      <w:r>
        <w:t xml:space="preserve">Figure </w:t>
      </w:r>
      <w:fldSimple w:instr=" STYLEREF 2 \s ">
        <w:r w:rsidR="000923D6">
          <w:rPr>
            <w:noProof/>
          </w:rPr>
          <w:t>1</w:t>
        </w:r>
      </w:fldSimple>
      <w:r>
        <w:noBreakHyphen/>
      </w:r>
      <w:fldSimple w:instr=" SEQ Figure \* ARABIC \s 2 ">
        <w:r w:rsidR="000923D6">
          <w:rPr>
            <w:noProof/>
          </w:rPr>
          <w:t>6</w:t>
        </w:r>
      </w:fldSimple>
      <w:r>
        <w:t>: Small Molecule AMOEBA Field Standard Deviations Plotted Against Experimental FWHM</w:t>
      </w:r>
    </w:p>
    <w:p w14:paraId="7C41D737" w14:textId="1742FFFE" w:rsidR="00B5512E" w:rsidRDefault="00B5512E" w:rsidP="00B5512E">
      <w:r>
        <w:t>Calculated field standard deviations plotted against experimentally measured full width at half peak maximum.  Squared correlation coefficients are indicated in the bottom right corner of each plot.  A) Fields calculated with the IM.  B) Total fields calculated using MPM. C) Fields calculated usi</w:t>
      </w:r>
      <w:r w:rsidR="00265D52">
        <w:t>ng MPM where the monopole, permanent</w:t>
      </w:r>
      <w:r>
        <w:t xml:space="preserve"> dipole, </w:t>
      </w:r>
      <w:r w:rsidR="00265D52" w:rsidRPr="000974FF">
        <w:rPr>
          <w:i/>
        </w:rPr>
        <w:t>induced</w:t>
      </w:r>
      <w:r w:rsidR="00265D52">
        <w:t xml:space="preserve"> dipole, </w:t>
      </w:r>
      <w:r>
        <w:t xml:space="preserve">and quadrupole fields due to SCN atoms have been removed.   D) Fields calculated using MPM where the monopole, </w:t>
      </w:r>
      <w:r w:rsidRPr="00265D52">
        <w:rPr>
          <w:i/>
        </w:rPr>
        <w:t>permanent</w:t>
      </w:r>
      <w:r>
        <w:t xml:space="preserve"> dipole, and quadrupole fields due to SCN atoms have been removed.   </w:t>
      </w:r>
    </w:p>
    <w:p w14:paraId="0648490A" w14:textId="3604DC38" w:rsidR="000B77EB" w:rsidRDefault="000B77EB" w:rsidP="0010676C">
      <w:r>
        <w:br w:type="page"/>
      </w:r>
    </w:p>
    <w:p w14:paraId="0CC7224B" w14:textId="77777777" w:rsidR="00411F43" w:rsidRDefault="003609F4">
      <w:r>
        <w:t>References</w:t>
      </w:r>
    </w:p>
    <w:p w14:paraId="6B44A8FF" w14:textId="77777777" w:rsidR="00411F43" w:rsidRDefault="00411F43"/>
    <w:p w14:paraId="0DF9A883" w14:textId="77777777" w:rsidR="00411F43" w:rsidRPr="00411F43" w:rsidRDefault="00411F43" w:rsidP="00411F43">
      <w:pPr>
        <w:rPr>
          <w:rFonts w:ascii="Cambria" w:hAnsi="Cambria"/>
          <w:noProof/>
        </w:rPr>
      </w:pPr>
      <w:r>
        <w:fldChar w:fldCharType="begin"/>
      </w:r>
      <w:r>
        <w:instrText xml:space="preserve"> ADDIN EN.REFLIST </w:instrText>
      </w:r>
      <w:r>
        <w:fldChar w:fldCharType="separate"/>
      </w:r>
      <w:bookmarkStart w:id="9" w:name="_ENREF_1"/>
      <w:r w:rsidRPr="00411F43">
        <w:rPr>
          <w:rFonts w:ascii="Cambria" w:hAnsi="Cambria"/>
          <w:noProof/>
        </w:rPr>
        <w:t>1.</w:t>
      </w:r>
      <w:r w:rsidRPr="00411F43">
        <w:rPr>
          <w:rFonts w:ascii="Cambria" w:hAnsi="Cambria"/>
          <w:noProof/>
        </w:rPr>
        <w:tab/>
        <w:t xml:space="preserve">Fried, S. D.; Wang, L. P.; Boxer, S. G.; Ren, P. Y.; Pande, V. S., Calculations of the Electric Fields in Liquid Solutions. </w:t>
      </w:r>
      <w:r w:rsidRPr="00411F43">
        <w:rPr>
          <w:rFonts w:ascii="Cambria" w:hAnsi="Cambria"/>
          <w:i/>
          <w:noProof/>
        </w:rPr>
        <w:t xml:space="preserve">J Phys Chem B </w:t>
      </w:r>
      <w:r w:rsidRPr="00411F43">
        <w:rPr>
          <w:rFonts w:ascii="Cambria" w:hAnsi="Cambria"/>
          <w:b/>
          <w:noProof/>
        </w:rPr>
        <w:t>2013,</w:t>
      </w:r>
      <w:r w:rsidRPr="00411F43">
        <w:rPr>
          <w:rFonts w:ascii="Cambria" w:hAnsi="Cambria"/>
          <w:noProof/>
        </w:rPr>
        <w:t xml:space="preserve"> </w:t>
      </w:r>
      <w:r w:rsidRPr="00411F43">
        <w:rPr>
          <w:rFonts w:ascii="Cambria" w:hAnsi="Cambria"/>
          <w:i/>
          <w:noProof/>
        </w:rPr>
        <w:t>117</w:t>
      </w:r>
      <w:r w:rsidRPr="00411F43">
        <w:rPr>
          <w:rFonts w:ascii="Cambria" w:hAnsi="Cambria"/>
          <w:noProof/>
        </w:rPr>
        <w:t xml:space="preserve"> (50), 16236-16248.</w:t>
      </w:r>
      <w:bookmarkEnd w:id="9"/>
    </w:p>
    <w:p w14:paraId="6E22B867" w14:textId="450939C2" w:rsidR="00411F43" w:rsidRDefault="00411F43" w:rsidP="00411F43">
      <w:pPr>
        <w:rPr>
          <w:noProof/>
        </w:rPr>
      </w:pPr>
    </w:p>
    <w:p w14:paraId="1E26BC02" w14:textId="150EA6D3" w:rsidR="003E7250" w:rsidRDefault="00411F43">
      <w:r>
        <w:fldChar w:fldCharType="end"/>
      </w:r>
    </w:p>
    <w:p w14:paraId="0F969521" w14:textId="77777777" w:rsidR="000923D6" w:rsidRDefault="000923D6"/>
    <w:sectPr w:rsidR="000923D6" w:rsidSect="003E725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C1A26"/>
    <w:multiLevelType w:val="multilevel"/>
    <w:tmpl w:val="6390F056"/>
    <w:lvl w:ilvl="0">
      <w:start w:val="1"/>
      <w:numFmt w:val="none"/>
      <w:pStyle w:val="Heading1"/>
      <w:suff w:val="space"/>
      <w:lvlText w:val=""/>
      <w:lvlJc w:val="left"/>
      <w:pPr>
        <w:ind w:left="0" w:firstLine="0"/>
      </w:pPr>
      <w:rPr>
        <w:rFonts w:hint="default"/>
      </w:rPr>
    </w:lvl>
    <w:lvl w:ilvl="1">
      <w:start w:val="1"/>
      <w:numFmt w:val="decimal"/>
      <w:pStyle w:val="Heading2"/>
      <w:suff w:val="nothing"/>
      <w:lvlText w:val="Chapter %2"/>
      <w:lvlJc w:val="left"/>
      <w:pPr>
        <w:ind w:left="0" w:firstLine="0"/>
      </w:pPr>
      <w:rPr>
        <w:rFonts w:hint="default"/>
      </w:rPr>
    </w:lvl>
    <w:lvl w:ilvl="2">
      <w:start w:val="1"/>
      <w:numFmt w:val="decimal"/>
      <w:pStyle w:val="Heading3"/>
      <w:suff w:val="nothing"/>
      <w:lvlText w:val="%2.%3"/>
      <w:lvlJc w:val="left"/>
      <w:pPr>
        <w:ind w:left="0" w:firstLine="0"/>
      </w:pPr>
      <w:rPr>
        <w:rFonts w:hint="default"/>
      </w:rPr>
    </w:lvl>
    <w:lvl w:ilvl="3">
      <w:start w:val="1"/>
      <w:numFmt w:val="decimal"/>
      <w:pStyle w:val="Heading4"/>
      <w:suff w:val="nothing"/>
      <w:lvlText w:val="%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Physical Chem&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wezxz9p75pf9ge2xwovs0v0wsx2x2wfevsp&quot;&gt;cmr ut webb lab&lt;record-ids&gt;&lt;item&gt;1883&lt;/item&gt;&lt;/record-ids&gt;&lt;/item&gt;&lt;/Libraries&gt;"/>
  </w:docVars>
  <w:rsids>
    <w:rsidRoot w:val="00C37E99"/>
    <w:rsid w:val="00014C5F"/>
    <w:rsid w:val="0003783A"/>
    <w:rsid w:val="00044988"/>
    <w:rsid w:val="000505A2"/>
    <w:rsid w:val="00061832"/>
    <w:rsid w:val="00075264"/>
    <w:rsid w:val="000923D6"/>
    <w:rsid w:val="000974FF"/>
    <w:rsid w:val="000B77EB"/>
    <w:rsid w:val="000D7C97"/>
    <w:rsid w:val="0010676C"/>
    <w:rsid w:val="00137F86"/>
    <w:rsid w:val="00164463"/>
    <w:rsid w:val="001834E6"/>
    <w:rsid w:val="00196D22"/>
    <w:rsid w:val="00213DFD"/>
    <w:rsid w:val="0022018D"/>
    <w:rsid w:val="00265D52"/>
    <w:rsid w:val="002817B9"/>
    <w:rsid w:val="002853B5"/>
    <w:rsid w:val="002B261D"/>
    <w:rsid w:val="002B4D69"/>
    <w:rsid w:val="002C5BED"/>
    <w:rsid w:val="00324F52"/>
    <w:rsid w:val="003609F4"/>
    <w:rsid w:val="003649EB"/>
    <w:rsid w:val="00376BB1"/>
    <w:rsid w:val="00395FB9"/>
    <w:rsid w:val="003D587F"/>
    <w:rsid w:val="003E7250"/>
    <w:rsid w:val="00411F43"/>
    <w:rsid w:val="004A533A"/>
    <w:rsid w:val="004B4E3A"/>
    <w:rsid w:val="004C0DFD"/>
    <w:rsid w:val="004C31F8"/>
    <w:rsid w:val="004D78D9"/>
    <w:rsid w:val="004E724E"/>
    <w:rsid w:val="005053B9"/>
    <w:rsid w:val="005055E9"/>
    <w:rsid w:val="0052310C"/>
    <w:rsid w:val="005268E0"/>
    <w:rsid w:val="00570E25"/>
    <w:rsid w:val="00596090"/>
    <w:rsid w:val="00602BB5"/>
    <w:rsid w:val="0062220F"/>
    <w:rsid w:val="006256DD"/>
    <w:rsid w:val="0062645B"/>
    <w:rsid w:val="00631002"/>
    <w:rsid w:val="00694CB7"/>
    <w:rsid w:val="006A004E"/>
    <w:rsid w:val="007232BC"/>
    <w:rsid w:val="00790925"/>
    <w:rsid w:val="007B5396"/>
    <w:rsid w:val="00820E58"/>
    <w:rsid w:val="008939A6"/>
    <w:rsid w:val="008D431A"/>
    <w:rsid w:val="008E05D7"/>
    <w:rsid w:val="00952206"/>
    <w:rsid w:val="0095410E"/>
    <w:rsid w:val="0099146E"/>
    <w:rsid w:val="009A78A5"/>
    <w:rsid w:val="009B139F"/>
    <w:rsid w:val="00A01393"/>
    <w:rsid w:val="00A375A1"/>
    <w:rsid w:val="00A714EB"/>
    <w:rsid w:val="00A82AD7"/>
    <w:rsid w:val="00AB30D4"/>
    <w:rsid w:val="00B142B1"/>
    <w:rsid w:val="00B145F9"/>
    <w:rsid w:val="00B17800"/>
    <w:rsid w:val="00B25692"/>
    <w:rsid w:val="00B5512E"/>
    <w:rsid w:val="00B60E47"/>
    <w:rsid w:val="00B928EC"/>
    <w:rsid w:val="00BD2AA9"/>
    <w:rsid w:val="00BD54AC"/>
    <w:rsid w:val="00BF0E08"/>
    <w:rsid w:val="00C367CB"/>
    <w:rsid w:val="00C37E99"/>
    <w:rsid w:val="00C47DAB"/>
    <w:rsid w:val="00D50B96"/>
    <w:rsid w:val="00D52926"/>
    <w:rsid w:val="00D607A6"/>
    <w:rsid w:val="00D83747"/>
    <w:rsid w:val="00E2544F"/>
    <w:rsid w:val="00E51B42"/>
    <w:rsid w:val="00E7190D"/>
    <w:rsid w:val="00E84902"/>
    <w:rsid w:val="00EE50FC"/>
    <w:rsid w:val="00F20BC0"/>
    <w:rsid w:val="00F31B80"/>
    <w:rsid w:val="00FB1807"/>
    <w:rsid w:val="00FE014F"/>
    <w:rsid w:val="00FF3BF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59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Heading3"/>
    <w:next w:val="text"/>
    <w:link w:val="Heading1Char"/>
    <w:qFormat/>
    <w:rsid w:val="00C37E99"/>
    <w:pPr>
      <w:numPr>
        <w:ilvl w:val="0"/>
      </w:numPr>
      <w:spacing w:before="240" w:after="240"/>
      <w:jc w:val="center"/>
      <w:outlineLvl w:val="0"/>
    </w:pPr>
    <w:rPr>
      <w:caps/>
      <w:smallCaps w:val="0"/>
      <w:sz w:val="28"/>
    </w:rPr>
  </w:style>
  <w:style w:type="paragraph" w:styleId="Heading2">
    <w:name w:val="heading 2"/>
    <w:aliases w:val="h2"/>
    <w:basedOn w:val="Heading3"/>
    <w:next w:val="text"/>
    <w:link w:val="Heading2Char"/>
    <w:qFormat/>
    <w:rsid w:val="00C37E99"/>
    <w:pPr>
      <w:numPr>
        <w:ilvl w:val="1"/>
      </w:numPr>
      <w:spacing w:before="240" w:after="240"/>
      <w:jc w:val="center"/>
      <w:outlineLvl w:val="1"/>
    </w:pPr>
    <w:rPr>
      <w:smallCaps w:val="0"/>
      <w:sz w:val="28"/>
    </w:rPr>
  </w:style>
  <w:style w:type="paragraph" w:styleId="Heading3">
    <w:name w:val="heading 3"/>
    <w:aliases w:val="h3"/>
    <w:basedOn w:val="Normal"/>
    <w:next w:val="text"/>
    <w:link w:val="Heading3Char"/>
    <w:qFormat/>
    <w:rsid w:val="00C37E99"/>
    <w:pPr>
      <w:keepNext/>
      <w:keepLines/>
      <w:numPr>
        <w:ilvl w:val="2"/>
        <w:numId w:val="1"/>
      </w:numPr>
      <w:overflowPunct w:val="0"/>
      <w:autoSpaceDE w:val="0"/>
      <w:autoSpaceDN w:val="0"/>
      <w:adjustRightInd w:val="0"/>
      <w:spacing w:before="300" w:after="60"/>
      <w:textAlignment w:val="baseline"/>
      <w:outlineLvl w:val="2"/>
    </w:pPr>
    <w:rPr>
      <w:rFonts w:ascii="Times" w:eastAsia="Times New Roman" w:hAnsi="Times" w:cs="Times New Roman"/>
      <w:b/>
      <w:smallCaps/>
      <w:szCs w:val="20"/>
    </w:rPr>
  </w:style>
  <w:style w:type="paragraph" w:styleId="Heading4">
    <w:name w:val="heading 4"/>
    <w:aliases w:val="h4"/>
    <w:basedOn w:val="Heading3"/>
    <w:next w:val="text"/>
    <w:link w:val="Heading4Char"/>
    <w:qFormat/>
    <w:rsid w:val="00C37E99"/>
    <w:pPr>
      <w:numPr>
        <w:ilvl w:val="3"/>
      </w:numPr>
      <w:outlineLvl w:val="3"/>
    </w:pPr>
    <w:rPr>
      <w:smallCaps w:val="0"/>
    </w:rPr>
  </w:style>
  <w:style w:type="paragraph" w:styleId="Heading5">
    <w:name w:val="heading 5"/>
    <w:aliases w:val="h5"/>
    <w:basedOn w:val="Heading3"/>
    <w:next w:val="text"/>
    <w:link w:val="Heading5Char"/>
    <w:qFormat/>
    <w:rsid w:val="00C37E99"/>
    <w:pPr>
      <w:numPr>
        <w:ilvl w:val="4"/>
      </w:numPr>
      <w:outlineLvl w:val="4"/>
    </w:pPr>
    <w:rPr>
      <w:i/>
      <w:smallCaps w:val="0"/>
    </w:rPr>
  </w:style>
  <w:style w:type="paragraph" w:styleId="Heading6">
    <w:name w:val="heading 6"/>
    <w:basedOn w:val="Normal"/>
    <w:next w:val="Normal"/>
    <w:link w:val="Heading6Char"/>
    <w:semiHidden/>
    <w:unhideWhenUsed/>
    <w:qFormat/>
    <w:rsid w:val="00C37E99"/>
    <w:pPr>
      <w:keepNext/>
      <w:keepLines/>
      <w:numPr>
        <w:ilvl w:val="5"/>
        <w:numId w:val="1"/>
      </w:numPr>
      <w:overflowPunct w:val="0"/>
      <w:autoSpaceDE w:val="0"/>
      <w:autoSpaceDN w:val="0"/>
      <w:adjustRightInd w:val="0"/>
      <w:spacing w:before="200"/>
      <w:textAlignment w:val="baseline"/>
      <w:outlineLvl w:val="5"/>
    </w:pPr>
    <w:rPr>
      <w:rFonts w:ascii="Calibri" w:eastAsia="ＭＳ ゴシック" w:hAnsi="Calibri" w:cs="Times New Roman"/>
      <w:i/>
      <w:iCs/>
      <w:color w:val="243F60"/>
      <w:szCs w:val="20"/>
    </w:rPr>
  </w:style>
  <w:style w:type="paragraph" w:styleId="Heading7">
    <w:name w:val="heading 7"/>
    <w:aliases w:val="h7"/>
    <w:basedOn w:val="Heading3"/>
    <w:next w:val="text"/>
    <w:link w:val="Heading7Char"/>
    <w:qFormat/>
    <w:rsid w:val="00C37E99"/>
    <w:pPr>
      <w:keepNext w:val="0"/>
      <w:numPr>
        <w:ilvl w:val="6"/>
      </w:numPr>
      <w:tabs>
        <w:tab w:val="left" w:pos="1260"/>
      </w:tabs>
      <w:spacing w:after="240"/>
      <w:outlineLvl w:val="6"/>
    </w:pPr>
    <w:rPr>
      <w:b w:val="0"/>
      <w:smallCaps w:val="0"/>
    </w:rPr>
  </w:style>
  <w:style w:type="paragraph" w:styleId="Heading8">
    <w:name w:val="heading 8"/>
    <w:aliases w:val="h8"/>
    <w:basedOn w:val="Heading7"/>
    <w:next w:val="text"/>
    <w:link w:val="Heading8Char"/>
    <w:qFormat/>
    <w:rsid w:val="00C37E99"/>
    <w:pPr>
      <w:numPr>
        <w:ilvl w:val="7"/>
      </w:numPr>
      <w:outlineLvl w:val="7"/>
    </w:pPr>
  </w:style>
  <w:style w:type="paragraph" w:styleId="Heading9">
    <w:name w:val="heading 9"/>
    <w:aliases w:val="h9"/>
    <w:basedOn w:val="Heading7"/>
    <w:next w:val="text"/>
    <w:link w:val="Heading9Char"/>
    <w:qFormat/>
    <w:rsid w:val="00C37E99"/>
    <w:pPr>
      <w:numPr>
        <w:ilvl w:val="8"/>
      </w:numPr>
      <w:tabs>
        <w:tab w:val="clear" w:pos="1260"/>
        <w:tab w:val="left" w:pos="162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rsid w:val="00B25692"/>
    <w:pPr>
      <w:overflowPunct w:val="0"/>
      <w:autoSpaceDE w:val="0"/>
      <w:autoSpaceDN w:val="0"/>
      <w:adjustRightInd w:val="0"/>
      <w:spacing w:line="480" w:lineRule="atLeast"/>
      <w:ind w:firstLine="720"/>
      <w:jc w:val="both"/>
      <w:textAlignment w:val="baseline"/>
    </w:pPr>
    <w:rPr>
      <w:rFonts w:ascii="Times" w:eastAsia="Times New Roman" w:hAnsi="Times" w:cs="Times New Roman"/>
      <w:szCs w:val="20"/>
    </w:rPr>
  </w:style>
  <w:style w:type="character" w:customStyle="1" w:styleId="Heading1Char">
    <w:name w:val="Heading 1 Char"/>
    <w:aliases w:val="h1 Char"/>
    <w:basedOn w:val="DefaultParagraphFont"/>
    <w:link w:val="Heading1"/>
    <w:rsid w:val="00C37E99"/>
    <w:rPr>
      <w:rFonts w:ascii="Times" w:eastAsia="Times New Roman" w:hAnsi="Times" w:cs="Times New Roman"/>
      <w:b/>
      <w:caps/>
      <w:sz w:val="28"/>
      <w:szCs w:val="20"/>
    </w:rPr>
  </w:style>
  <w:style w:type="character" w:customStyle="1" w:styleId="Heading2Char">
    <w:name w:val="Heading 2 Char"/>
    <w:aliases w:val="h2 Char"/>
    <w:basedOn w:val="DefaultParagraphFont"/>
    <w:link w:val="Heading2"/>
    <w:rsid w:val="00C37E99"/>
    <w:rPr>
      <w:rFonts w:ascii="Times" w:eastAsia="Times New Roman" w:hAnsi="Times" w:cs="Times New Roman"/>
      <w:b/>
      <w:sz w:val="28"/>
      <w:szCs w:val="20"/>
    </w:rPr>
  </w:style>
  <w:style w:type="character" w:customStyle="1" w:styleId="Heading3Char">
    <w:name w:val="Heading 3 Char"/>
    <w:aliases w:val="h3 Char"/>
    <w:basedOn w:val="DefaultParagraphFont"/>
    <w:link w:val="Heading3"/>
    <w:rsid w:val="00C37E99"/>
    <w:rPr>
      <w:rFonts w:ascii="Times" w:eastAsia="Times New Roman" w:hAnsi="Times" w:cs="Times New Roman"/>
      <w:b/>
      <w:smallCaps/>
      <w:szCs w:val="20"/>
    </w:rPr>
  </w:style>
  <w:style w:type="character" w:customStyle="1" w:styleId="Heading4Char">
    <w:name w:val="Heading 4 Char"/>
    <w:aliases w:val="h4 Char"/>
    <w:basedOn w:val="DefaultParagraphFont"/>
    <w:link w:val="Heading4"/>
    <w:rsid w:val="00C37E99"/>
    <w:rPr>
      <w:rFonts w:ascii="Times" w:eastAsia="Times New Roman" w:hAnsi="Times" w:cs="Times New Roman"/>
      <w:b/>
      <w:szCs w:val="20"/>
    </w:rPr>
  </w:style>
  <w:style w:type="character" w:customStyle="1" w:styleId="Heading5Char">
    <w:name w:val="Heading 5 Char"/>
    <w:aliases w:val="h5 Char"/>
    <w:basedOn w:val="DefaultParagraphFont"/>
    <w:link w:val="Heading5"/>
    <w:rsid w:val="00C37E99"/>
    <w:rPr>
      <w:rFonts w:ascii="Times" w:eastAsia="Times New Roman" w:hAnsi="Times" w:cs="Times New Roman"/>
      <w:b/>
      <w:i/>
      <w:szCs w:val="20"/>
    </w:rPr>
  </w:style>
  <w:style w:type="character" w:customStyle="1" w:styleId="Heading6Char">
    <w:name w:val="Heading 6 Char"/>
    <w:basedOn w:val="DefaultParagraphFont"/>
    <w:link w:val="Heading6"/>
    <w:semiHidden/>
    <w:rsid w:val="00C37E99"/>
    <w:rPr>
      <w:rFonts w:ascii="Calibri" w:eastAsia="ＭＳ ゴシック" w:hAnsi="Calibri" w:cs="Times New Roman"/>
      <w:i/>
      <w:iCs/>
      <w:color w:val="243F60"/>
      <w:szCs w:val="20"/>
    </w:rPr>
  </w:style>
  <w:style w:type="character" w:customStyle="1" w:styleId="Heading7Char">
    <w:name w:val="Heading 7 Char"/>
    <w:aliases w:val="h7 Char"/>
    <w:basedOn w:val="DefaultParagraphFont"/>
    <w:link w:val="Heading7"/>
    <w:rsid w:val="00C37E99"/>
    <w:rPr>
      <w:rFonts w:ascii="Times" w:eastAsia="Times New Roman" w:hAnsi="Times" w:cs="Times New Roman"/>
      <w:szCs w:val="20"/>
    </w:rPr>
  </w:style>
  <w:style w:type="character" w:customStyle="1" w:styleId="Heading8Char">
    <w:name w:val="Heading 8 Char"/>
    <w:aliases w:val="h8 Char"/>
    <w:basedOn w:val="DefaultParagraphFont"/>
    <w:link w:val="Heading8"/>
    <w:rsid w:val="00C37E99"/>
    <w:rPr>
      <w:rFonts w:ascii="Times" w:eastAsia="Times New Roman" w:hAnsi="Times" w:cs="Times New Roman"/>
      <w:szCs w:val="20"/>
    </w:rPr>
  </w:style>
  <w:style w:type="character" w:customStyle="1" w:styleId="Heading9Char">
    <w:name w:val="Heading 9 Char"/>
    <w:aliases w:val="h9 Char"/>
    <w:basedOn w:val="DefaultParagraphFont"/>
    <w:link w:val="Heading9"/>
    <w:rsid w:val="00C37E99"/>
    <w:rPr>
      <w:rFonts w:ascii="Times" w:eastAsia="Times New Roman" w:hAnsi="Times" w:cs="Times New Roman"/>
      <w:szCs w:val="20"/>
    </w:rPr>
  </w:style>
  <w:style w:type="paragraph" w:styleId="BalloonText">
    <w:name w:val="Balloon Text"/>
    <w:basedOn w:val="Normal"/>
    <w:link w:val="BalloonTextChar"/>
    <w:uiPriority w:val="99"/>
    <w:semiHidden/>
    <w:unhideWhenUsed/>
    <w:rsid w:val="000D7C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7C97"/>
    <w:rPr>
      <w:rFonts w:ascii="Lucida Grande" w:hAnsi="Lucida Grande" w:cs="Lucida Grande"/>
      <w:sz w:val="18"/>
      <w:szCs w:val="18"/>
    </w:rPr>
  </w:style>
  <w:style w:type="paragraph" w:styleId="Caption">
    <w:name w:val="caption"/>
    <w:basedOn w:val="Normal"/>
    <w:next w:val="Normal"/>
    <w:uiPriority w:val="35"/>
    <w:unhideWhenUsed/>
    <w:qFormat/>
    <w:rsid w:val="00D52926"/>
    <w:pPr>
      <w:spacing w:after="200"/>
    </w:pPr>
    <w:rPr>
      <w:b/>
      <w:bCs/>
      <w:color w:val="4F81BD" w:themeColor="accent1"/>
      <w:sz w:val="18"/>
      <w:szCs w:val="18"/>
    </w:rPr>
  </w:style>
  <w:style w:type="character" w:styleId="Hyperlink">
    <w:name w:val="Hyperlink"/>
    <w:basedOn w:val="DefaultParagraphFont"/>
    <w:uiPriority w:val="99"/>
    <w:unhideWhenUsed/>
    <w:rsid w:val="00411F4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Heading3"/>
    <w:next w:val="text"/>
    <w:link w:val="Heading1Char"/>
    <w:qFormat/>
    <w:rsid w:val="00C37E99"/>
    <w:pPr>
      <w:numPr>
        <w:ilvl w:val="0"/>
      </w:numPr>
      <w:spacing w:before="240" w:after="240"/>
      <w:jc w:val="center"/>
      <w:outlineLvl w:val="0"/>
    </w:pPr>
    <w:rPr>
      <w:caps/>
      <w:smallCaps w:val="0"/>
      <w:sz w:val="28"/>
    </w:rPr>
  </w:style>
  <w:style w:type="paragraph" w:styleId="Heading2">
    <w:name w:val="heading 2"/>
    <w:aliases w:val="h2"/>
    <w:basedOn w:val="Heading3"/>
    <w:next w:val="text"/>
    <w:link w:val="Heading2Char"/>
    <w:qFormat/>
    <w:rsid w:val="00C37E99"/>
    <w:pPr>
      <w:numPr>
        <w:ilvl w:val="1"/>
      </w:numPr>
      <w:spacing w:before="240" w:after="240"/>
      <w:jc w:val="center"/>
      <w:outlineLvl w:val="1"/>
    </w:pPr>
    <w:rPr>
      <w:smallCaps w:val="0"/>
      <w:sz w:val="28"/>
    </w:rPr>
  </w:style>
  <w:style w:type="paragraph" w:styleId="Heading3">
    <w:name w:val="heading 3"/>
    <w:aliases w:val="h3"/>
    <w:basedOn w:val="Normal"/>
    <w:next w:val="text"/>
    <w:link w:val="Heading3Char"/>
    <w:qFormat/>
    <w:rsid w:val="00C37E99"/>
    <w:pPr>
      <w:keepNext/>
      <w:keepLines/>
      <w:numPr>
        <w:ilvl w:val="2"/>
        <w:numId w:val="1"/>
      </w:numPr>
      <w:overflowPunct w:val="0"/>
      <w:autoSpaceDE w:val="0"/>
      <w:autoSpaceDN w:val="0"/>
      <w:adjustRightInd w:val="0"/>
      <w:spacing w:before="300" w:after="60"/>
      <w:textAlignment w:val="baseline"/>
      <w:outlineLvl w:val="2"/>
    </w:pPr>
    <w:rPr>
      <w:rFonts w:ascii="Times" w:eastAsia="Times New Roman" w:hAnsi="Times" w:cs="Times New Roman"/>
      <w:b/>
      <w:smallCaps/>
      <w:szCs w:val="20"/>
    </w:rPr>
  </w:style>
  <w:style w:type="paragraph" w:styleId="Heading4">
    <w:name w:val="heading 4"/>
    <w:aliases w:val="h4"/>
    <w:basedOn w:val="Heading3"/>
    <w:next w:val="text"/>
    <w:link w:val="Heading4Char"/>
    <w:qFormat/>
    <w:rsid w:val="00C37E99"/>
    <w:pPr>
      <w:numPr>
        <w:ilvl w:val="3"/>
      </w:numPr>
      <w:outlineLvl w:val="3"/>
    </w:pPr>
    <w:rPr>
      <w:smallCaps w:val="0"/>
    </w:rPr>
  </w:style>
  <w:style w:type="paragraph" w:styleId="Heading5">
    <w:name w:val="heading 5"/>
    <w:aliases w:val="h5"/>
    <w:basedOn w:val="Heading3"/>
    <w:next w:val="text"/>
    <w:link w:val="Heading5Char"/>
    <w:qFormat/>
    <w:rsid w:val="00C37E99"/>
    <w:pPr>
      <w:numPr>
        <w:ilvl w:val="4"/>
      </w:numPr>
      <w:outlineLvl w:val="4"/>
    </w:pPr>
    <w:rPr>
      <w:i/>
      <w:smallCaps w:val="0"/>
    </w:rPr>
  </w:style>
  <w:style w:type="paragraph" w:styleId="Heading6">
    <w:name w:val="heading 6"/>
    <w:basedOn w:val="Normal"/>
    <w:next w:val="Normal"/>
    <w:link w:val="Heading6Char"/>
    <w:semiHidden/>
    <w:unhideWhenUsed/>
    <w:qFormat/>
    <w:rsid w:val="00C37E99"/>
    <w:pPr>
      <w:keepNext/>
      <w:keepLines/>
      <w:numPr>
        <w:ilvl w:val="5"/>
        <w:numId w:val="1"/>
      </w:numPr>
      <w:overflowPunct w:val="0"/>
      <w:autoSpaceDE w:val="0"/>
      <w:autoSpaceDN w:val="0"/>
      <w:adjustRightInd w:val="0"/>
      <w:spacing w:before="200"/>
      <w:textAlignment w:val="baseline"/>
      <w:outlineLvl w:val="5"/>
    </w:pPr>
    <w:rPr>
      <w:rFonts w:ascii="Calibri" w:eastAsia="ＭＳ ゴシック" w:hAnsi="Calibri" w:cs="Times New Roman"/>
      <w:i/>
      <w:iCs/>
      <w:color w:val="243F60"/>
      <w:szCs w:val="20"/>
    </w:rPr>
  </w:style>
  <w:style w:type="paragraph" w:styleId="Heading7">
    <w:name w:val="heading 7"/>
    <w:aliases w:val="h7"/>
    <w:basedOn w:val="Heading3"/>
    <w:next w:val="text"/>
    <w:link w:val="Heading7Char"/>
    <w:qFormat/>
    <w:rsid w:val="00C37E99"/>
    <w:pPr>
      <w:keepNext w:val="0"/>
      <w:numPr>
        <w:ilvl w:val="6"/>
      </w:numPr>
      <w:tabs>
        <w:tab w:val="left" w:pos="1260"/>
      </w:tabs>
      <w:spacing w:after="240"/>
      <w:outlineLvl w:val="6"/>
    </w:pPr>
    <w:rPr>
      <w:b w:val="0"/>
      <w:smallCaps w:val="0"/>
    </w:rPr>
  </w:style>
  <w:style w:type="paragraph" w:styleId="Heading8">
    <w:name w:val="heading 8"/>
    <w:aliases w:val="h8"/>
    <w:basedOn w:val="Heading7"/>
    <w:next w:val="text"/>
    <w:link w:val="Heading8Char"/>
    <w:qFormat/>
    <w:rsid w:val="00C37E99"/>
    <w:pPr>
      <w:numPr>
        <w:ilvl w:val="7"/>
      </w:numPr>
      <w:outlineLvl w:val="7"/>
    </w:pPr>
  </w:style>
  <w:style w:type="paragraph" w:styleId="Heading9">
    <w:name w:val="heading 9"/>
    <w:aliases w:val="h9"/>
    <w:basedOn w:val="Heading7"/>
    <w:next w:val="text"/>
    <w:link w:val="Heading9Char"/>
    <w:qFormat/>
    <w:rsid w:val="00C37E99"/>
    <w:pPr>
      <w:numPr>
        <w:ilvl w:val="8"/>
      </w:numPr>
      <w:tabs>
        <w:tab w:val="clear" w:pos="1260"/>
        <w:tab w:val="left" w:pos="162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rsid w:val="00B25692"/>
    <w:pPr>
      <w:overflowPunct w:val="0"/>
      <w:autoSpaceDE w:val="0"/>
      <w:autoSpaceDN w:val="0"/>
      <w:adjustRightInd w:val="0"/>
      <w:spacing w:line="480" w:lineRule="atLeast"/>
      <w:ind w:firstLine="720"/>
      <w:jc w:val="both"/>
      <w:textAlignment w:val="baseline"/>
    </w:pPr>
    <w:rPr>
      <w:rFonts w:ascii="Times" w:eastAsia="Times New Roman" w:hAnsi="Times" w:cs="Times New Roman"/>
      <w:szCs w:val="20"/>
    </w:rPr>
  </w:style>
  <w:style w:type="character" w:customStyle="1" w:styleId="Heading1Char">
    <w:name w:val="Heading 1 Char"/>
    <w:aliases w:val="h1 Char"/>
    <w:basedOn w:val="DefaultParagraphFont"/>
    <w:link w:val="Heading1"/>
    <w:rsid w:val="00C37E99"/>
    <w:rPr>
      <w:rFonts w:ascii="Times" w:eastAsia="Times New Roman" w:hAnsi="Times" w:cs="Times New Roman"/>
      <w:b/>
      <w:caps/>
      <w:sz w:val="28"/>
      <w:szCs w:val="20"/>
    </w:rPr>
  </w:style>
  <w:style w:type="character" w:customStyle="1" w:styleId="Heading2Char">
    <w:name w:val="Heading 2 Char"/>
    <w:aliases w:val="h2 Char"/>
    <w:basedOn w:val="DefaultParagraphFont"/>
    <w:link w:val="Heading2"/>
    <w:rsid w:val="00C37E99"/>
    <w:rPr>
      <w:rFonts w:ascii="Times" w:eastAsia="Times New Roman" w:hAnsi="Times" w:cs="Times New Roman"/>
      <w:b/>
      <w:sz w:val="28"/>
      <w:szCs w:val="20"/>
    </w:rPr>
  </w:style>
  <w:style w:type="character" w:customStyle="1" w:styleId="Heading3Char">
    <w:name w:val="Heading 3 Char"/>
    <w:aliases w:val="h3 Char"/>
    <w:basedOn w:val="DefaultParagraphFont"/>
    <w:link w:val="Heading3"/>
    <w:rsid w:val="00C37E99"/>
    <w:rPr>
      <w:rFonts w:ascii="Times" w:eastAsia="Times New Roman" w:hAnsi="Times" w:cs="Times New Roman"/>
      <w:b/>
      <w:smallCaps/>
      <w:szCs w:val="20"/>
    </w:rPr>
  </w:style>
  <w:style w:type="character" w:customStyle="1" w:styleId="Heading4Char">
    <w:name w:val="Heading 4 Char"/>
    <w:aliases w:val="h4 Char"/>
    <w:basedOn w:val="DefaultParagraphFont"/>
    <w:link w:val="Heading4"/>
    <w:rsid w:val="00C37E99"/>
    <w:rPr>
      <w:rFonts w:ascii="Times" w:eastAsia="Times New Roman" w:hAnsi="Times" w:cs="Times New Roman"/>
      <w:b/>
      <w:szCs w:val="20"/>
    </w:rPr>
  </w:style>
  <w:style w:type="character" w:customStyle="1" w:styleId="Heading5Char">
    <w:name w:val="Heading 5 Char"/>
    <w:aliases w:val="h5 Char"/>
    <w:basedOn w:val="DefaultParagraphFont"/>
    <w:link w:val="Heading5"/>
    <w:rsid w:val="00C37E99"/>
    <w:rPr>
      <w:rFonts w:ascii="Times" w:eastAsia="Times New Roman" w:hAnsi="Times" w:cs="Times New Roman"/>
      <w:b/>
      <w:i/>
      <w:szCs w:val="20"/>
    </w:rPr>
  </w:style>
  <w:style w:type="character" w:customStyle="1" w:styleId="Heading6Char">
    <w:name w:val="Heading 6 Char"/>
    <w:basedOn w:val="DefaultParagraphFont"/>
    <w:link w:val="Heading6"/>
    <w:semiHidden/>
    <w:rsid w:val="00C37E99"/>
    <w:rPr>
      <w:rFonts w:ascii="Calibri" w:eastAsia="ＭＳ ゴシック" w:hAnsi="Calibri" w:cs="Times New Roman"/>
      <w:i/>
      <w:iCs/>
      <w:color w:val="243F60"/>
      <w:szCs w:val="20"/>
    </w:rPr>
  </w:style>
  <w:style w:type="character" w:customStyle="1" w:styleId="Heading7Char">
    <w:name w:val="Heading 7 Char"/>
    <w:aliases w:val="h7 Char"/>
    <w:basedOn w:val="DefaultParagraphFont"/>
    <w:link w:val="Heading7"/>
    <w:rsid w:val="00C37E99"/>
    <w:rPr>
      <w:rFonts w:ascii="Times" w:eastAsia="Times New Roman" w:hAnsi="Times" w:cs="Times New Roman"/>
      <w:szCs w:val="20"/>
    </w:rPr>
  </w:style>
  <w:style w:type="character" w:customStyle="1" w:styleId="Heading8Char">
    <w:name w:val="Heading 8 Char"/>
    <w:aliases w:val="h8 Char"/>
    <w:basedOn w:val="DefaultParagraphFont"/>
    <w:link w:val="Heading8"/>
    <w:rsid w:val="00C37E99"/>
    <w:rPr>
      <w:rFonts w:ascii="Times" w:eastAsia="Times New Roman" w:hAnsi="Times" w:cs="Times New Roman"/>
      <w:szCs w:val="20"/>
    </w:rPr>
  </w:style>
  <w:style w:type="character" w:customStyle="1" w:styleId="Heading9Char">
    <w:name w:val="Heading 9 Char"/>
    <w:aliases w:val="h9 Char"/>
    <w:basedOn w:val="DefaultParagraphFont"/>
    <w:link w:val="Heading9"/>
    <w:rsid w:val="00C37E99"/>
    <w:rPr>
      <w:rFonts w:ascii="Times" w:eastAsia="Times New Roman" w:hAnsi="Times" w:cs="Times New Roman"/>
      <w:szCs w:val="20"/>
    </w:rPr>
  </w:style>
  <w:style w:type="paragraph" w:styleId="BalloonText">
    <w:name w:val="Balloon Text"/>
    <w:basedOn w:val="Normal"/>
    <w:link w:val="BalloonTextChar"/>
    <w:uiPriority w:val="99"/>
    <w:semiHidden/>
    <w:unhideWhenUsed/>
    <w:rsid w:val="000D7C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7C97"/>
    <w:rPr>
      <w:rFonts w:ascii="Lucida Grande" w:hAnsi="Lucida Grande" w:cs="Lucida Grande"/>
      <w:sz w:val="18"/>
      <w:szCs w:val="18"/>
    </w:rPr>
  </w:style>
  <w:style w:type="paragraph" w:styleId="Caption">
    <w:name w:val="caption"/>
    <w:basedOn w:val="Normal"/>
    <w:next w:val="Normal"/>
    <w:uiPriority w:val="35"/>
    <w:unhideWhenUsed/>
    <w:qFormat/>
    <w:rsid w:val="00D52926"/>
    <w:pPr>
      <w:spacing w:after="200"/>
    </w:pPr>
    <w:rPr>
      <w:b/>
      <w:bCs/>
      <w:color w:val="4F81BD" w:themeColor="accent1"/>
      <w:sz w:val="18"/>
      <w:szCs w:val="18"/>
    </w:rPr>
  </w:style>
  <w:style w:type="character" w:styleId="Hyperlink">
    <w:name w:val="Hyperlink"/>
    <w:basedOn w:val="DefaultParagraphFont"/>
    <w:uiPriority w:val="99"/>
    <w:unhideWhenUsed/>
    <w:rsid w:val="00411F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2198</Words>
  <Characters>12535</Characters>
  <Application>Microsoft Macintosh Word</Application>
  <DocSecurity>0</DocSecurity>
  <Lines>104</Lines>
  <Paragraphs>29</Paragraphs>
  <ScaleCrop>false</ScaleCrop>
  <Company>The University of Texas at Austin</Company>
  <LinksUpToDate>false</LinksUpToDate>
  <CharactersWithSpaces>14704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Ritchie</dc:creator>
  <cp:keywords/>
  <dc:description/>
  <cp:lastModifiedBy>Andrew Ritchie</cp:lastModifiedBy>
  <cp:revision>7</cp:revision>
  <cp:lastPrinted>2015-07-23T17:53:00Z</cp:lastPrinted>
  <dcterms:created xsi:type="dcterms:W3CDTF">2015-07-23T17:53:00Z</dcterms:created>
  <dcterms:modified xsi:type="dcterms:W3CDTF">2015-07-23T17:57:00Z</dcterms:modified>
</cp:coreProperties>
</file>