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3FB9A" w14:textId="77777777" w:rsidR="00C37E99" w:rsidRDefault="00C37E99" w:rsidP="00C37E99">
      <w:pPr>
        <w:pStyle w:val="Heading2"/>
      </w:pPr>
      <w:r>
        <w:rPr>
          <w:shd w:val="clear" w:color="auto" w:fill="FFFFFF"/>
        </w:rPr>
        <w:t xml:space="preserve"> Electrostatic Fields in Small Thiocyanate Molecules with Ensembles Generated using the AMOEBA Force Field  </w:t>
      </w:r>
    </w:p>
    <w:p w14:paraId="12C7FE5E" w14:textId="77777777" w:rsidR="00C37E99" w:rsidRDefault="00C37E99" w:rsidP="00C37E99">
      <w:pPr>
        <w:pStyle w:val="Heading3"/>
      </w:pPr>
      <w:r>
        <w:t xml:space="preserve"> </w:t>
      </w:r>
      <w:bookmarkStart w:id="0" w:name="_Toc297815435"/>
      <w:bookmarkStart w:id="1" w:name="_Toc298602255"/>
      <w:r>
        <w:t>Introduction</w:t>
      </w:r>
      <w:bookmarkEnd w:id="0"/>
      <w:bookmarkEnd w:id="1"/>
    </w:p>
    <w:p w14:paraId="2A8BF10C" w14:textId="77777777" w:rsidR="00E2544F" w:rsidRDefault="003609F4" w:rsidP="000D7C97">
      <w:pPr>
        <w:pStyle w:val="text"/>
      </w:pPr>
      <w:r>
        <w:t>One of the chief difficulties</w:t>
      </w:r>
      <w:r w:rsidR="0003783A">
        <w:t xml:space="preserve"> in protein electrostatics</w:t>
      </w:r>
      <w:r>
        <w:t xml:space="preserve"> is obtaining adequate sampling.  Throughout my research, I have operated under the assumption that the most important degree of freedom is the nitrile dipole orientation.  Expanding from one-dimensional umbrella sampling to two-dimensional umbrella sampling did, in fact, yield improved correlation between calculated PB fields and experimentally measured vibrational absorption energies.  However, increasing the umbrella window time from 400 </w:t>
      </w:r>
      <w:proofErr w:type="spellStart"/>
      <w:r>
        <w:t>ps</w:t>
      </w:r>
      <w:proofErr w:type="spellEnd"/>
      <w:r>
        <w:t xml:space="preserve"> to 2000 </w:t>
      </w:r>
      <w:proofErr w:type="spellStart"/>
      <w:r>
        <w:t>ps</w:t>
      </w:r>
      <w:proofErr w:type="spellEnd"/>
      <w:r>
        <w:t xml:space="preserve"> did not yield the same degree of improvement.  Looking strictly at the RFM, instances of improved (Rap E30D/K31E), unchanged (Rap E30D/K31, Rap E30/K31E), and decreased (Ral monomer, Rap E30/K31) correlation were all observed. </w:t>
      </w:r>
      <w:r w:rsidR="005055E9">
        <w:t xml:space="preserve"> The first two cases are not unexpected—either sampling was inadequate and improved sampling improved the simulations physical veracity or the sampling was adequate enough and improved sampling does not have a significant effect.  </w:t>
      </w:r>
    </w:p>
    <w:p w14:paraId="18BAA326" w14:textId="77777777" w:rsidR="00B17800" w:rsidRDefault="005055E9" w:rsidP="000D7C97">
      <w:pPr>
        <w:pStyle w:val="text"/>
      </w:pPr>
      <w:r>
        <w:t xml:space="preserve">The case where increasing the sampling actually decreases the correlation to experiment is perplexing though—what about increasing the simulation duration would actual decrease how well the </w:t>
      </w:r>
      <w:r>
        <w:rPr>
          <w:i/>
        </w:rPr>
        <w:t>in vitro</w:t>
      </w:r>
      <w:r>
        <w:t xml:space="preserve"> system is represented?  The answer is proteins are very complex.</w:t>
      </w:r>
      <w:r w:rsidR="00E84902">
        <w:t xml:space="preserve">  </w:t>
      </w:r>
      <w:r w:rsidR="00A714EB">
        <w:t>It’s possible that</w:t>
      </w:r>
      <w:r w:rsidR="00E84902">
        <w:t xml:space="preserve"> increasing simulation time could allow a rare local minimum to be visited but not escaped, resulting in an over-representation of that structure.</w:t>
      </w:r>
      <w:r w:rsidR="00A714EB">
        <w:t xml:space="preserve">  Likewise, it’s also possible that it’s purely coincidence that the local structure sampled happens to also </w:t>
      </w:r>
      <w:proofErr w:type="gramStart"/>
      <w:r w:rsidR="00A714EB">
        <w:t>well-correlate</w:t>
      </w:r>
      <w:proofErr w:type="gramEnd"/>
      <w:r w:rsidR="00A714EB">
        <w:t xml:space="preserve"> to the experimental measurement.  </w:t>
      </w:r>
      <w:r w:rsidR="004D78D9">
        <w:t>Using napkin math, t</w:t>
      </w:r>
      <w:r w:rsidR="006A004E">
        <w:t xml:space="preserve">he Ral monomer </w:t>
      </w:r>
      <w:r w:rsidR="00B60E47">
        <w:t>has approximately 170</w:t>
      </w:r>
      <w:r w:rsidR="006A004E">
        <w:t xml:space="preserve"> alkane-like sidechain dihedrals and Ral docked to Rap E30/K31 has approximately 460 sidechain dihedrals.  Assuming all of them have a non-zero probability of being at approximately 60˚, 180˚, and -60˚ and counting each of those states as </w:t>
      </w:r>
      <w:r w:rsidR="00196D22">
        <w:t xml:space="preserve">a single state (for three total probable states), then there </w:t>
      </w:r>
      <w:r w:rsidR="00196D22">
        <w:lastRenderedPageBreak/>
        <w:t>are 10</w:t>
      </w:r>
      <w:r w:rsidR="00196D22">
        <w:rPr>
          <w:vertAlign w:val="superscript"/>
        </w:rPr>
        <w:t>80</w:t>
      </w:r>
      <w:r w:rsidR="00196D22">
        <w:t xml:space="preserve"> possible combinations of sidechain dihedrals for Ral and 10</w:t>
      </w:r>
      <w:r w:rsidR="00196D22">
        <w:rPr>
          <w:vertAlign w:val="superscript"/>
        </w:rPr>
        <w:t>220</w:t>
      </w:r>
      <w:r w:rsidR="00196D22">
        <w:t xml:space="preserve"> combinations for Ral docked to Rap E30/K31.  Obviously, a large number of these are so energetically unflavored </w:t>
      </w:r>
      <w:r w:rsidR="001834E6">
        <w:t xml:space="preserve">that they can be neglected—there are certain combinations that are physically impossible due to steric overlap. </w:t>
      </w:r>
      <w:r w:rsidR="00820E58">
        <w:t xml:space="preserve"> Assuming that only residues with </w:t>
      </w:r>
      <w:proofErr w:type="spellStart"/>
      <w:r w:rsidR="00820E58">
        <w:t>sidechains</w:t>
      </w:r>
      <w:proofErr w:type="spellEnd"/>
      <w:r w:rsidR="00820E58">
        <w:t xml:space="preserve"> within 10 Å of </w:t>
      </w:r>
      <w:r w:rsidR="00044988">
        <w:t>the probe are relevant</w:t>
      </w:r>
      <w:r w:rsidR="00B60E47">
        <w:t xml:space="preserve"> for electrostatic field calculations (1/r</w:t>
      </w:r>
      <w:r w:rsidR="00B60E47">
        <w:rPr>
          <w:vertAlign w:val="superscript"/>
        </w:rPr>
        <w:t>2</w:t>
      </w:r>
      <w:r w:rsidR="00B60E47">
        <w:t>)</w:t>
      </w:r>
      <w:r w:rsidR="00044988">
        <w:t>, which for</w:t>
      </w:r>
      <w:r w:rsidR="00820E58">
        <w:t xml:space="preserve"> Y31C</w:t>
      </w:r>
      <w:r w:rsidR="00820E58">
        <w:rPr>
          <w:vertAlign w:val="subscript"/>
        </w:rPr>
        <w:t>SCN</w:t>
      </w:r>
      <w:r w:rsidR="00820E58">
        <w:t xml:space="preserve"> </w:t>
      </w:r>
      <w:r w:rsidR="00044988">
        <w:t xml:space="preserve">docked to Rap E30/K31 </w:t>
      </w:r>
      <w:proofErr w:type="gramStart"/>
      <w:r w:rsidR="00044988">
        <w:t>is</w:t>
      </w:r>
      <w:proofErr w:type="gramEnd"/>
      <w:r w:rsidR="00044988">
        <w:t xml:space="preserve"> 13, </w:t>
      </w:r>
      <w:r w:rsidR="00820E58">
        <w:t>and</w:t>
      </w:r>
      <w:r w:rsidR="007B5396">
        <w:t xml:space="preserve"> using an</w:t>
      </w:r>
      <w:r w:rsidR="00820E58">
        <w:t xml:space="preserve"> </w:t>
      </w:r>
      <w:r w:rsidR="00044988">
        <w:t>averaging number</w:t>
      </w:r>
      <w:r w:rsidR="00602BB5">
        <w:t xml:space="preserve"> of dihedrals per residue as 1.7</w:t>
      </w:r>
      <w:r w:rsidR="007232BC">
        <w:t xml:space="preserve">, </w:t>
      </w:r>
      <w:r w:rsidR="00044988">
        <w:t>there are still 10</w:t>
      </w:r>
      <w:r w:rsidR="00044988">
        <w:rPr>
          <w:vertAlign w:val="superscript"/>
        </w:rPr>
        <w:t>3</w:t>
      </w:r>
      <w:r w:rsidR="00044988">
        <w:t xml:space="preserve"> possible dihedral combinations—significantly more tractable.  Yet because of energy barriers, more than 10</w:t>
      </w:r>
      <w:r w:rsidR="00044988">
        <w:rPr>
          <w:vertAlign w:val="superscript"/>
        </w:rPr>
        <w:t>3</w:t>
      </w:r>
      <w:r w:rsidR="00044988">
        <w:t xml:space="preserve"> frames are needed to see all possible states; the scope of how many more frames is dependent on the size of the barriers.  </w:t>
      </w:r>
      <w:r w:rsidR="00596090">
        <w:t xml:space="preserve">But again, there are orientations of these 13 </w:t>
      </w:r>
      <w:proofErr w:type="gramStart"/>
      <w:r w:rsidR="00596090">
        <w:t>residues which</w:t>
      </w:r>
      <w:proofErr w:type="gramEnd"/>
      <w:r w:rsidR="00596090">
        <w:t xml:space="preserve"> may only be energetically favorable given specific orientation of residues further than 10 Å from the probe.  It’s very easy to fall go down the rabbit hole and get lost in a sea of dihedral permutations.  </w:t>
      </w:r>
    </w:p>
    <w:p w14:paraId="445054C4" w14:textId="20F5C162" w:rsidR="008E05D7" w:rsidRDefault="00B17800" w:rsidP="000D7C97">
      <w:pPr>
        <w:pStyle w:val="text"/>
      </w:pPr>
      <w:r>
        <w:t>The number of sidechain degrees of freedom in a protein is massive and it’s impossible to be 100% certain that the entire ensemble is represented in the appropriate proportions at this stage in computational efficiency.  In this regard, I have stepped back to a smaller subset of systems: methylthiocyanate, ethylthiocyanate, hexylthiocyanate, and acetyl-cyanocystein</w:t>
      </w:r>
      <w:r w:rsidR="003649EB">
        <w:t>e</w:t>
      </w:r>
      <w:r>
        <w:t>-N-methylamine peptide-like small molecule.</w:t>
      </w:r>
      <w:r w:rsidR="002853B5">
        <w:t xml:space="preserve">  Furthermore, since the principles behind using the AMOEBA force field are still a concern (solute dielectric) and it was clear that sampling in Amber03 and performing field calculations in AMOEBA was unsuccessful, these molecules have also been simulated in the AMOEBA force field.  </w:t>
      </w:r>
      <w:r w:rsidR="008E05D7">
        <w:t>The solvated protein system is currently too large for AMOEBA, but these smaller systems can easily be simulated in a reasonable amount of time (</w:t>
      </w:r>
      <w:r w:rsidR="004E724E">
        <w:t>approximately 0.8-1.0 ns/day).</w:t>
      </w:r>
    </w:p>
    <w:p w14:paraId="3B1F15BC" w14:textId="58D0BD1E" w:rsidR="00596090" w:rsidRDefault="008E05D7" w:rsidP="000D7C97">
      <w:pPr>
        <w:pStyle w:val="text"/>
      </w:pPr>
      <w:proofErr w:type="gramStart"/>
      <w:r>
        <w:t>Simulations on these same small molecules</w:t>
      </w:r>
      <w:r w:rsidR="0099146E">
        <w:t xml:space="preserve"> in Amber03 has</w:t>
      </w:r>
      <w:proofErr w:type="gramEnd"/>
      <w:r w:rsidR="0099146E">
        <w:t xml:space="preserve"> also been started by an undergraduate in the lab for future comparison.</w:t>
      </w:r>
      <w:r w:rsidR="00B17800">
        <w:t xml:space="preserve">  </w:t>
      </w:r>
    </w:p>
    <w:p w14:paraId="1D761133" w14:textId="50B19DA9" w:rsidR="00C37E99" w:rsidRPr="00044988" w:rsidRDefault="00C37E99" w:rsidP="000D7C97">
      <w:pPr>
        <w:pStyle w:val="text"/>
      </w:pPr>
    </w:p>
    <w:p w14:paraId="557E9C14" w14:textId="789D36FC" w:rsidR="00C37E99" w:rsidRDefault="00C37E99" w:rsidP="00C37E99">
      <w:pPr>
        <w:pStyle w:val="Heading3"/>
      </w:pPr>
      <w:r>
        <w:t xml:space="preserve"> </w:t>
      </w:r>
      <w:bookmarkStart w:id="2" w:name="_Toc297815436"/>
      <w:bookmarkStart w:id="3" w:name="_Toc298602256"/>
      <w:r>
        <w:t>Results</w:t>
      </w:r>
      <w:bookmarkEnd w:id="2"/>
      <w:bookmarkEnd w:id="3"/>
      <w:r w:rsidR="00A01393">
        <w:t xml:space="preserve"> and Discussion</w:t>
      </w:r>
    </w:p>
    <w:p w14:paraId="7536A133" w14:textId="468065E4" w:rsidR="00C37E99" w:rsidRDefault="00B145F9" w:rsidP="00B145F9">
      <w:pPr>
        <w:pStyle w:val="Heading4"/>
      </w:pPr>
      <w:r>
        <w:t xml:space="preserve"> Sampling </w:t>
      </w:r>
      <w:r w:rsidR="00A01393">
        <w:t>CN Orientations</w:t>
      </w:r>
    </w:p>
    <w:p w14:paraId="6E3765B7" w14:textId="77777777" w:rsidR="00B145F9" w:rsidRDefault="00B145F9" w:rsidP="00C37E99">
      <w:pPr>
        <w:pStyle w:val="text"/>
      </w:pPr>
    </w:p>
    <w:p w14:paraId="5E4611C5" w14:textId="46D1C5C7" w:rsidR="00B145F9" w:rsidRDefault="00A01393" w:rsidP="00A01393">
      <w:pPr>
        <w:pStyle w:val="Heading4"/>
      </w:pPr>
      <w:r>
        <w:t xml:space="preserve"> Electrostatic Fields</w:t>
      </w:r>
    </w:p>
    <w:p w14:paraId="6856DB85" w14:textId="77777777" w:rsidR="003609F4" w:rsidRDefault="003609F4">
      <w:r>
        <w:br w:type="page"/>
      </w:r>
    </w:p>
    <w:p w14:paraId="7ACDCCB8" w14:textId="77777777" w:rsidR="00952206" w:rsidRDefault="00952206">
      <w:r>
        <w:rPr>
          <w:noProof/>
        </w:rPr>
        <w:drawing>
          <wp:inline distT="0" distB="0" distL="0" distR="0" wp14:anchorId="2AF4B565" wp14:editId="0A91148B">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62171620" w14:textId="6C608837" w:rsidR="00D52926" w:rsidRDefault="00D52926" w:rsidP="00D52926">
      <w:pPr>
        <w:pStyle w:val="Heading8"/>
        <w:jc w:val="center"/>
      </w:pPr>
      <w:r>
        <w:t xml:space="preserve">Figure </w:t>
      </w:r>
      <w:fldSimple w:instr=" STYLEREF 2 \s ">
        <w:r w:rsidR="004A533A">
          <w:rPr>
            <w:noProof/>
          </w:rPr>
          <w:t>1</w:t>
        </w:r>
      </w:fldSimple>
      <w:r w:rsidR="004A533A">
        <w:noBreakHyphen/>
      </w:r>
      <w:fldSimple w:instr=" SEQ Figure \* ARABIC \s 2 ">
        <w:r w:rsidR="004A533A">
          <w:rPr>
            <w:noProof/>
          </w:rPr>
          <w:t>1</w:t>
        </w:r>
      </w:fldSimple>
      <w:r>
        <w:t>: One-Dimensional Dihedral Pro</w:t>
      </w:r>
      <w:r w:rsidR="00FB1807">
        <w:t>ba</w:t>
      </w:r>
      <w:r>
        <w:t>bility Distributions</w:t>
      </w:r>
    </w:p>
    <w:p w14:paraId="0C721B51" w14:textId="77777777" w:rsidR="00FB1807" w:rsidRDefault="00BF0E08" w:rsidP="00D52926">
      <w:proofErr w:type="gramStart"/>
      <w:r>
        <w:t>Non-Hydrogen dihedral probability distributions for ethylthiocyanate (top), hexylthiocyanate (middle), and capped cyanocysteine (bottom).</w:t>
      </w:r>
      <w:proofErr w:type="gramEnd"/>
      <w:r>
        <w:t xml:space="preserve">  Ethylthiocyanate (top): (blue) C1-C2-S-C dihedral.  Hexylthiocyanate (middle): (blue) C1-C2-C3-C4 dihedral; (green) C2-C3-C4-C5 dihedral; (black) C3-C4-C5-C6 dihedral; (magenta) </w:t>
      </w:r>
      <w:r>
        <w:sym w:font="Symbol" w:char="F063"/>
      </w:r>
      <w:r>
        <w:rPr>
          <w:vertAlign w:val="subscript"/>
        </w:rPr>
        <w:t>1</w:t>
      </w:r>
      <w:r>
        <w:t xml:space="preserve"> analogue C4-C5-C6-S dihedral; (cyan) </w:t>
      </w:r>
      <w:r>
        <w:sym w:font="Symbol" w:char="F063"/>
      </w:r>
      <w:r>
        <w:rPr>
          <w:vertAlign w:val="subscript"/>
        </w:rPr>
        <w:t>2</w:t>
      </w:r>
      <w:r>
        <w:t xml:space="preserve"> analogue C5-C6-S-C dihedral. Capped cyanocysteine (bottom): (blue) </w:t>
      </w:r>
      <w:r>
        <w:sym w:font="Symbol" w:char="F063"/>
      </w:r>
      <w:r>
        <w:rPr>
          <w:vertAlign w:val="subscript"/>
        </w:rPr>
        <w:t>1</w:t>
      </w:r>
      <w:r>
        <w:t xml:space="preserve"> N-C</w:t>
      </w:r>
      <w:r>
        <w:sym w:font="Symbol" w:char="F061"/>
      </w:r>
      <w:r>
        <w:t>-C</w:t>
      </w:r>
      <w:r>
        <w:sym w:font="Symbol" w:char="F062"/>
      </w:r>
      <w:r>
        <w:t>-S dihedral</w:t>
      </w:r>
      <w:proofErr w:type="gramStart"/>
      <w:r>
        <w:t>;</w:t>
      </w:r>
      <w:proofErr w:type="gramEnd"/>
      <w:r>
        <w:t xml:space="preserve"> (green) </w:t>
      </w:r>
      <w:r>
        <w:sym w:font="Symbol" w:char="F063"/>
      </w:r>
      <w:r>
        <w:rPr>
          <w:vertAlign w:val="subscript"/>
        </w:rPr>
        <w:t>2</w:t>
      </w:r>
      <w:r>
        <w:t xml:space="preserve"> C</w:t>
      </w:r>
      <w:r>
        <w:sym w:font="Symbol" w:char="F061"/>
      </w:r>
      <w:r>
        <w:t>-C</w:t>
      </w:r>
      <w:r>
        <w:sym w:font="Symbol" w:char="F062"/>
      </w:r>
      <w:r>
        <w:t>-S-C dihedral.</w:t>
      </w:r>
    </w:p>
    <w:p w14:paraId="6E843BF7" w14:textId="77777777" w:rsidR="00FB1807" w:rsidRDefault="00FB1807">
      <w:r>
        <w:br w:type="page"/>
      </w:r>
    </w:p>
    <w:p w14:paraId="61FD642C" w14:textId="1F5D1548" w:rsidR="00FB1807" w:rsidRDefault="00FB1807" w:rsidP="00D52926">
      <w:r>
        <w:rPr>
          <w:noProof/>
        </w:rPr>
        <w:drawing>
          <wp:inline distT="0" distB="0" distL="0" distR="0" wp14:anchorId="76CC8153" wp14:editId="74BF6AA5">
            <wp:extent cx="5486400" cy="30021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02192"/>
                    </a:xfrm>
                    <a:prstGeom prst="rect">
                      <a:avLst/>
                    </a:prstGeom>
                    <a:noFill/>
                    <a:ln>
                      <a:noFill/>
                    </a:ln>
                  </pic:spPr>
                </pic:pic>
              </a:graphicData>
            </a:graphic>
          </wp:inline>
        </w:drawing>
      </w:r>
    </w:p>
    <w:p w14:paraId="50F8C61F" w14:textId="6D126F20" w:rsidR="00FB1807" w:rsidRDefault="00FB1807" w:rsidP="00FB1807">
      <w:pPr>
        <w:pStyle w:val="Heading8"/>
      </w:pPr>
      <w:r>
        <w:t xml:space="preserve">Figure </w:t>
      </w:r>
      <w:fldSimple w:instr=" STYLEREF 2 \s ">
        <w:r w:rsidR="004A533A">
          <w:rPr>
            <w:noProof/>
          </w:rPr>
          <w:t>1</w:t>
        </w:r>
      </w:fldSimple>
      <w:r w:rsidR="004A533A">
        <w:noBreakHyphen/>
      </w:r>
      <w:fldSimple w:instr=" SEQ Figure \* ARABIC \s 2 ">
        <w:r w:rsidR="004A533A">
          <w:rPr>
            <w:noProof/>
          </w:rPr>
          <w:t>2</w:t>
        </w:r>
      </w:fldSimple>
      <w:r>
        <w:t>: Two-Dimensional Dihedral Probability Distributions for Hexylthiocyanate and Capped Cyanocysteine</w:t>
      </w:r>
    </w:p>
    <w:p w14:paraId="7E5DF70D" w14:textId="77777777" w:rsidR="002B4D69" w:rsidRDefault="00F20BC0" w:rsidP="00D52926">
      <w:proofErr w:type="gramStart"/>
      <w:r>
        <w:t xml:space="preserve">Hexylthiocyanate (left) </w:t>
      </w:r>
      <w:r>
        <w:sym w:font="Symbol" w:char="F063"/>
      </w:r>
      <w:r>
        <w:rPr>
          <w:vertAlign w:val="subscript"/>
        </w:rPr>
        <w:t>1</w:t>
      </w:r>
      <w:r>
        <w:t xml:space="preserve"> and </w:t>
      </w:r>
      <w:r>
        <w:sym w:font="Symbol" w:char="F063"/>
      </w:r>
      <w:r>
        <w:rPr>
          <w:vertAlign w:val="subscript"/>
        </w:rPr>
        <w:t>2</w:t>
      </w:r>
      <w:r>
        <w:t xml:space="preserve"> analogous two-dimensional dihedral distribution</w:t>
      </w:r>
      <w:r w:rsidR="002C5BED">
        <w:t xml:space="preserve"> after 5 ns of simulation</w:t>
      </w:r>
      <w:r>
        <w:t>.</w:t>
      </w:r>
      <w:proofErr w:type="gramEnd"/>
      <w:r>
        <w:t xml:space="preserve">  Capped cyanocysteine (right) </w:t>
      </w:r>
      <w:r>
        <w:sym w:font="Symbol" w:char="F063"/>
      </w:r>
      <w:r>
        <w:rPr>
          <w:vertAlign w:val="subscript"/>
        </w:rPr>
        <w:t>1</w:t>
      </w:r>
      <w:r>
        <w:t xml:space="preserve"> and </w:t>
      </w:r>
      <w:r>
        <w:sym w:font="Symbol" w:char="F063"/>
      </w:r>
      <w:r>
        <w:rPr>
          <w:vertAlign w:val="subscript"/>
        </w:rPr>
        <w:t>2</w:t>
      </w:r>
      <w:r>
        <w:t xml:space="preserve"> two-di</w:t>
      </w:r>
      <w:r w:rsidR="002C5BED">
        <w:t>mensional dihedral distribution after 7 ns of simulation.</w:t>
      </w:r>
    </w:p>
    <w:p w14:paraId="5E03B6CB" w14:textId="77777777" w:rsidR="002B4D69" w:rsidRDefault="002B4D69">
      <w:r>
        <w:br w:type="page"/>
      </w:r>
    </w:p>
    <w:p w14:paraId="26C7B44F" w14:textId="77777777" w:rsidR="002B4D69" w:rsidRDefault="002B4D69" w:rsidP="00D52926">
      <w:r>
        <w:rPr>
          <w:noProof/>
        </w:rPr>
        <w:drawing>
          <wp:inline distT="0" distB="0" distL="0" distR="0" wp14:anchorId="5A773C8D" wp14:editId="54E315C9">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4B5FCA03" w14:textId="5A6FD465" w:rsidR="002B4D69" w:rsidRDefault="002B4D69" w:rsidP="002B4D69">
      <w:pPr>
        <w:pStyle w:val="Heading8"/>
      </w:pPr>
      <w:r>
        <w:t xml:space="preserve">Figure </w:t>
      </w:r>
      <w:fldSimple w:instr=" STYLEREF 2 \s ">
        <w:r w:rsidR="004A533A">
          <w:rPr>
            <w:noProof/>
          </w:rPr>
          <w:t>1</w:t>
        </w:r>
      </w:fldSimple>
      <w:r w:rsidR="004A533A">
        <w:noBreakHyphen/>
      </w:r>
      <w:fldSimple w:instr=" SEQ Figure \* ARABIC \s 2 ">
        <w:r w:rsidR="004A533A">
          <w:rPr>
            <w:noProof/>
          </w:rPr>
          <w:t>3</w:t>
        </w:r>
      </w:fldSimple>
      <w:r>
        <w:t>: SCN Field Contributions are Constant</w:t>
      </w:r>
    </w:p>
    <w:p w14:paraId="5DE0A3E2" w14:textId="0DFBFADC" w:rsidR="002B4D69" w:rsidRDefault="002B4D69" w:rsidP="00D52926">
      <w:r>
        <w:t>Contributions to the electrostatic field at the nitrile bond midpoint due to different multipole contributions from the SCN atoms.  SCN is the dominating contributor to the electrostatic field due to the close proximity between the location of interest (field midpoint) and the SCN atoms.</w:t>
      </w:r>
    </w:p>
    <w:p w14:paraId="0D4E7951" w14:textId="77777777" w:rsidR="009A78A5" w:rsidRDefault="009A78A5">
      <w:r>
        <w:br w:type="page"/>
      </w:r>
    </w:p>
    <w:p w14:paraId="66FF1811" w14:textId="30ACEA93" w:rsidR="009A78A5" w:rsidRDefault="005268E0" w:rsidP="00D52926">
      <w:r>
        <w:rPr>
          <w:noProof/>
        </w:rPr>
        <w:drawing>
          <wp:inline distT="0" distB="0" distL="0" distR="0" wp14:anchorId="71546C0D" wp14:editId="1090502B">
            <wp:extent cx="5486400" cy="4114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5A87BA8" w14:textId="1E44808A" w:rsidR="009A78A5" w:rsidRDefault="00137F86" w:rsidP="00137F86">
      <w:pPr>
        <w:pStyle w:val="Heading8"/>
      </w:pPr>
      <w:r>
        <w:t xml:space="preserve">Figure </w:t>
      </w:r>
      <w:fldSimple w:instr=" STYLEREF 2 \s ">
        <w:r w:rsidR="004A533A">
          <w:rPr>
            <w:noProof/>
          </w:rPr>
          <w:t>1</w:t>
        </w:r>
      </w:fldSimple>
      <w:r w:rsidR="004A533A">
        <w:noBreakHyphen/>
      </w:r>
      <w:fldSimple w:instr=" SEQ Figure \* ARABIC \s 2 ">
        <w:r w:rsidR="004A533A">
          <w:rPr>
            <w:noProof/>
          </w:rPr>
          <w:t>4</w:t>
        </w:r>
      </w:fldSimple>
      <w:r>
        <w:t xml:space="preserve">: Average Electrostatic Field as a Function of </w:t>
      </w:r>
      <w:r w:rsidR="005268E0">
        <w:t>Simulation Time</w:t>
      </w:r>
    </w:p>
    <w:p w14:paraId="4B8A7A93" w14:textId="77777777" w:rsidR="00213DFD" w:rsidRDefault="00137F86" w:rsidP="00D52926">
      <w:r>
        <w:t xml:space="preserve">Average electrostatic field for methylthiocyanate (red), ethylthiocyanate (blue), hexylthiocyanate (green), and capped cyanocysteine (black) after some amount of frames, indicated on the x-axis.  Diamonds are the average for the previous 1000 frames (100 </w:t>
      </w:r>
      <w:proofErr w:type="spellStart"/>
      <w:r>
        <w:t>ps</w:t>
      </w:r>
      <w:proofErr w:type="spellEnd"/>
      <w:r>
        <w:t xml:space="preserve">).  </w:t>
      </w:r>
    </w:p>
    <w:p w14:paraId="5320FBF5" w14:textId="77777777" w:rsidR="00213DFD" w:rsidRDefault="00213DFD">
      <w:r>
        <w:br w:type="page"/>
      </w:r>
    </w:p>
    <w:p w14:paraId="4A521CB4" w14:textId="66D913FB" w:rsidR="0010676C" w:rsidRDefault="00B928EC" w:rsidP="0010676C">
      <w:r>
        <w:rPr>
          <w:noProof/>
        </w:rPr>
        <w:drawing>
          <wp:inline distT="0" distB="0" distL="0" distR="0" wp14:anchorId="10580A02" wp14:editId="0981A39A">
            <wp:extent cx="5486400" cy="41148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E8D7169" w14:textId="191B6B07" w:rsidR="0010676C" w:rsidRDefault="004A533A" w:rsidP="004A533A">
      <w:pPr>
        <w:pStyle w:val="Heading8"/>
      </w:pPr>
      <w:r>
        <w:t xml:space="preserve">Figure </w:t>
      </w:r>
      <w:fldSimple w:instr=" STYLEREF 2 \s ">
        <w:r>
          <w:rPr>
            <w:noProof/>
          </w:rPr>
          <w:t>1</w:t>
        </w:r>
      </w:fldSimple>
      <w:r>
        <w:noBreakHyphen/>
      </w:r>
      <w:fldSimple w:instr=" SEQ Figure \* ARABIC \s 2 ">
        <w:r>
          <w:rPr>
            <w:noProof/>
          </w:rPr>
          <w:t>5</w:t>
        </w:r>
      </w:fldSimple>
      <w:r>
        <w:t>: Small Molecule AMOEBA Fields Plotted Against Experimental Vibrational Absorption Energies</w:t>
      </w:r>
    </w:p>
    <w:p w14:paraId="4D6E0F94" w14:textId="3CADFE86" w:rsidR="00B928EC" w:rsidRDefault="00075264" w:rsidP="0010676C">
      <w:r>
        <w:t xml:space="preserve">Calculated fields plotted against experimentally measured vibrational absorption energies.  Squared correlation coefficients and VSTR are indicated in the bottom right corner of each plot.  A) Fields calculated with the IM.  B) Total fields calculated using MPM. C) Fields calculated using MPM where the monopole, </w:t>
      </w:r>
      <w:r w:rsidR="00265D52">
        <w:t xml:space="preserve">permanent dipole, </w:t>
      </w:r>
      <w:r w:rsidR="00265D52" w:rsidRPr="00265D52">
        <w:rPr>
          <w:i/>
        </w:rPr>
        <w:t>induced</w:t>
      </w:r>
      <w:r w:rsidR="00265D52">
        <w:t xml:space="preserve"> dipole</w:t>
      </w:r>
      <w:r>
        <w:t xml:space="preserve">, and quadrupole fields due to SCN atoms have been removed.   D) Fields calculated using MPM where the monopole, </w:t>
      </w:r>
      <w:r w:rsidRPr="00265D52">
        <w:rPr>
          <w:i/>
        </w:rPr>
        <w:t>permanent</w:t>
      </w:r>
      <w:r>
        <w:t xml:space="preserve"> dipole, and quadrupole fields due to SCN atoms have been removed.   </w:t>
      </w:r>
    </w:p>
    <w:p w14:paraId="7E5F5224" w14:textId="77777777" w:rsidR="00B928EC" w:rsidRDefault="00B928EC">
      <w:r>
        <w:br w:type="page"/>
      </w:r>
    </w:p>
    <w:p w14:paraId="0E824104" w14:textId="77777777" w:rsidR="00B5512E" w:rsidRDefault="00B5512E" w:rsidP="0010676C">
      <w:r>
        <w:rPr>
          <w:noProof/>
        </w:rPr>
        <w:drawing>
          <wp:inline distT="0" distB="0" distL="0" distR="0" wp14:anchorId="0C34D98F" wp14:editId="20F91408">
            <wp:extent cx="5486400" cy="4081220"/>
            <wp:effectExtent l="0" t="0" r="0" b="825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81220"/>
                    </a:xfrm>
                    <a:prstGeom prst="rect">
                      <a:avLst/>
                    </a:prstGeom>
                    <a:noFill/>
                    <a:ln>
                      <a:noFill/>
                    </a:ln>
                  </pic:spPr>
                </pic:pic>
              </a:graphicData>
            </a:graphic>
          </wp:inline>
        </w:drawing>
      </w:r>
    </w:p>
    <w:p w14:paraId="738118CC" w14:textId="77777777" w:rsidR="00B5512E" w:rsidRDefault="00B5512E" w:rsidP="0010676C"/>
    <w:p w14:paraId="7C41D737" w14:textId="1742FFFE" w:rsidR="00B5512E" w:rsidRDefault="00B5512E" w:rsidP="00B5512E">
      <w:r>
        <w:t>Calculated field standard deviations plotted against experimentally measured full width at half peak maximum.  Squared correlation coefficients are indicated in the bottom right corner of each plot.  A) Fields calculated with the IM.  B) Total fields calculated using MPM. C) Fields calculated usi</w:t>
      </w:r>
      <w:r w:rsidR="00265D52">
        <w:t>ng MPM where the monopole, permanent</w:t>
      </w:r>
      <w:r>
        <w:t xml:space="preserve"> dipole, </w:t>
      </w:r>
      <w:bookmarkStart w:id="4" w:name="_GoBack"/>
      <w:r w:rsidR="00265D52" w:rsidRPr="000974FF">
        <w:rPr>
          <w:i/>
        </w:rPr>
        <w:t>induced</w:t>
      </w:r>
      <w:bookmarkEnd w:id="4"/>
      <w:r w:rsidR="00265D52">
        <w:t xml:space="preserve"> dipole, </w:t>
      </w:r>
      <w:r>
        <w:t xml:space="preserve">and quadrupole fields due to SCN atoms have been removed.   D) Fields calculated using MPM where the monopole, </w:t>
      </w:r>
      <w:r w:rsidRPr="00265D52">
        <w:rPr>
          <w:i/>
        </w:rPr>
        <w:t>permanent</w:t>
      </w:r>
      <w:r>
        <w:t xml:space="preserve"> dipole, and quadrupole fields due to SCN atoms have been removed.   </w:t>
      </w:r>
    </w:p>
    <w:p w14:paraId="0648490A" w14:textId="3604DC38" w:rsidR="000B77EB" w:rsidRDefault="000B77EB" w:rsidP="0010676C">
      <w:r>
        <w:br w:type="page"/>
      </w:r>
    </w:p>
    <w:p w14:paraId="1E26BC02" w14:textId="67306311" w:rsidR="003E7250" w:rsidRDefault="003609F4">
      <w:r>
        <w:t>References</w:t>
      </w:r>
    </w:p>
    <w:sectPr w:rsidR="003E7250" w:rsidSect="003E725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C1A26"/>
    <w:multiLevelType w:val="multilevel"/>
    <w:tmpl w:val="6390F056"/>
    <w:lvl w:ilvl="0">
      <w:start w:val="1"/>
      <w:numFmt w:val="none"/>
      <w:pStyle w:val="Heading1"/>
      <w:suff w:val="space"/>
      <w:lvlText w:val=""/>
      <w:lvlJc w:val="left"/>
      <w:pPr>
        <w:ind w:left="0" w:firstLine="0"/>
      </w:pPr>
      <w:rPr>
        <w:rFonts w:hint="default"/>
      </w:rPr>
    </w:lvl>
    <w:lvl w:ilvl="1">
      <w:start w:val="1"/>
      <w:numFmt w:val="decimal"/>
      <w:pStyle w:val="Heading2"/>
      <w:suff w:val="nothing"/>
      <w:lvlText w:val="Chapter %2"/>
      <w:lvlJc w:val="left"/>
      <w:pPr>
        <w:ind w:left="0" w:firstLine="0"/>
      </w:pPr>
      <w:rPr>
        <w:rFonts w:hint="default"/>
      </w:rPr>
    </w:lvl>
    <w:lvl w:ilvl="2">
      <w:start w:val="1"/>
      <w:numFmt w:val="decimal"/>
      <w:pStyle w:val="Heading3"/>
      <w:suff w:val="nothing"/>
      <w:lvlText w:val="%2.%3"/>
      <w:lvlJc w:val="left"/>
      <w:pPr>
        <w:ind w:left="0" w:firstLine="0"/>
      </w:pPr>
      <w:rPr>
        <w:rFonts w:hint="default"/>
      </w:rPr>
    </w:lvl>
    <w:lvl w:ilvl="3">
      <w:start w:val="1"/>
      <w:numFmt w:val="decimal"/>
      <w:pStyle w:val="Heading4"/>
      <w:suff w:val="nothing"/>
      <w:lvlText w:val="%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E99"/>
    <w:rsid w:val="0003783A"/>
    <w:rsid w:val="00044988"/>
    <w:rsid w:val="000505A2"/>
    <w:rsid w:val="00075264"/>
    <w:rsid w:val="000974FF"/>
    <w:rsid w:val="000B77EB"/>
    <w:rsid w:val="000D7C97"/>
    <w:rsid w:val="0010676C"/>
    <w:rsid w:val="00137F86"/>
    <w:rsid w:val="001834E6"/>
    <w:rsid w:val="00196D22"/>
    <w:rsid w:val="00213DFD"/>
    <w:rsid w:val="0022018D"/>
    <w:rsid w:val="00265D52"/>
    <w:rsid w:val="002853B5"/>
    <w:rsid w:val="002B261D"/>
    <w:rsid w:val="002B4D69"/>
    <w:rsid w:val="002C5BED"/>
    <w:rsid w:val="003609F4"/>
    <w:rsid w:val="003649EB"/>
    <w:rsid w:val="00376BB1"/>
    <w:rsid w:val="003D587F"/>
    <w:rsid w:val="003E7250"/>
    <w:rsid w:val="004A533A"/>
    <w:rsid w:val="004B4E3A"/>
    <w:rsid w:val="004C31F8"/>
    <w:rsid w:val="004D78D9"/>
    <w:rsid w:val="004E724E"/>
    <w:rsid w:val="005055E9"/>
    <w:rsid w:val="0052310C"/>
    <w:rsid w:val="005268E0"/>
    <w:rsid w:val="00570E25"/>
    <w:rsid w:val="00596090"/>
    <w:rsid w:val="00602BB5"/>
    <w:rsid w:val="0062220F"/>
    <w:rsid w:val="006256DD"/>
    <w:rsid w:val="00694CB7"/>
    <w:rsid w:val="006A004E"/>
    <w:rsid w:val="007232BC"/>
    <w:rsid w:val="00790925"/>
    <w:rsid w:val="007B5396"/>
    <w:rsid w:val="00820E58"/>
    <w:rsid w:val="008D431A"/>
    <w:rsid w:val="008E05D7"/>
    <w:rsid w:val="00952206"/>
    <w:rsid w:val="0095410E"/>
    <w:rsid w:val="0099146E"/>
    <w:rsid w:val="009A78A5"/>
    <w:rsid w:val="00A01393"/>
    <w:rsid w:val="00A714EB"/>
    <w:rsid w:val="00B142B1"/>
    <w:rsid w:val="00B145F9"/>
    <w:rsid w:val="00B17800"/>
    <w:rsid w:val="00B25692"/>
    <w:rsid w:val="00B5512E"/>
    <w:rsid w:val="00B60E47"/>
    <w:rsid w:val="00B928EC"/>
    <w:rsid w:val="00BD54AC"/>
    <w:rsid w:val="00BF0E08"/>
    <w:rsid w:val="00C367CB"/>
    <w:rsid w:val="00C37E99"/>
    <w:rsid w:val="00D52926"/>
    <w:rsid w:val="00D83747"/>
    <w:rsid w:val="00E2544F"/>
    <w:rsid w:val="00E84902"/>
    <w:rsid w:val="00F20BC0"/>
    <w:rsid w:val="00FB1807"/>
    <w:rsid w:val="00FF3B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59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Heading3"/>
    <w:next w:val="text"/>
    <w:link w:val="Heading1Char"/>
    <w:qFormat/>
    <w:rsid w:val="00C37E99"/>
    <w:pPr>
      <w:numPr>
        <w:ilvl w:val="0"/>
      </w:numPr>
      <w:spacing w:before="240" w:after="240"/>
      <w:jc w:val="center"/>
      <w:outlineLvl w:val="0"/>
    </w:pPr>
    <w:rPr>
      <w:caps/>
      <w:smallCaps w:val="0"/>
      <w:sz w:val="28"/>
    </w:rPr>
  </w:style>
  <w:style w:type="paragraph" w:styleId="Heading2">
    <w:name w:val="heading 2"/>
    <w:aliases w:val="h2"/>
    <w:basedOn w:val="Heading3"/>
    <w:next w:val="text"/>
    <w:link w:val="Heading2Char"/>
    <w:qFormat/>
    <w:rsid w:val="00C37E99"/>
    <w:pPr>
      <w:numPr>
        <w:ilvl w:val="1"/>
      </w:numPr>
      <w:spacing w:before="240" w:after="240"/>
      <w:jc w:val="center"/>
      <w:outlineLvl w:val="1"/>
    </w:pPr>
    <w:rPr>
      <w:smallCaps w:val="0"/>
      <w:sz w:val="28"/>
    </w:rPr>
  </w:style>
  <w:style w:type="paragraph" w:styleId="Heading3">
    <w:name w:val="heading 3"/>
    <w:aliases w:val="h3"/>
    <w:basedOn w:val="Normal"/>
    <w:next w:val="text"/>
    <w:link w:val="Heading3Char"/>
    <w:qFormat/>
    <w:rsid w:val="00C37E99"/>
    <w:pPr>
      <w:keepNext/>
      <w:keepLines/>
      <w:numPr>
        <w:ilvl w:val="2"/>
        <w:numId w:val="1"/>
      </w:numPr>
      <w:overflowPunct w:val="0"/>
      <w:autoSpaceDE w:val="0"/>
      <w:autoSpaceDN w:val="0"/>
      <w:adjustRightInd w:val="0"/>
      <w:spacing w:before="300" w:after="60"/>
      <w:textAlignment w:val="baseline"/>
      <w:outlineLvl w:val="2"/>
    </w:pPr>
    <w:rPr>
      <w:rFonts w:ascii="Times" w:eastAsia="Times New Roman" w:hAnsi="Times" w:cs="Times New Roman"/>
      <w:b/>
      <w:smallCaps/>
      <w:szCs w:val="20"/>
    </w:rPr>
  </w:style>
  <w:style w:type="paragraph" w:styleId="Heading4">
    <w:name w:val="heading 4"/>
    <w:aliases w:val="h4"/>
    <w:basedOn w:val="Heading3"/>
    <w:next w:val="text"/>
    <w:link w:val="Heading4Char"/>
    <w:qFormat/>
    <w:rsid w:val="00C37E99"/>
    <w:pPr>
      <w:numPr>
        <w:ilvl w:val="3"/>
      </w:numPr>
      <w:outlineLvl w:val="3"/>
    </w:pPr>
    <w:rPr>
      <w:smallCaps w:val="0"/>
    </w:rPr>
  </w:style>
  <w:style w:type="paragraph" w:styleId="Heading5">
    <w:name w:val="heading 5"/>
    <w:aliases w:val="h5"/>
    <w:basedOn w:val="Heading3"/>
    <w:next w:val="text"/>
    <w:link w:val="Heading5Char"/>
    <w:qFormat/>
    <w:rsid w:val="00C37E99"/>
    <w:pPr>
      <w:numPr>
        <w:ilvl w:val="4"/>
      </w:numPr>
      <w:outlineLvl w:val="4"/>
    </w:pPr>
    <w:rPr>
      <w:i/>
      <w:smallCaps w:val="0"/>
    </w:rPr>
  </w:style>
  <w:style w:type="paragraph" w:styleId="Heading6">
    <w:name w:val="heading 6"/>
    <w:basedOn w:val="Normal"/>
    <w:next w:val="Normal"/>
    <w:link w:val="Heading6Char"/>
    <w:semiHidden/>
    <w:unhideWhenUsed/>
    <w:qFormat/>
    <w:rsid w:val="00C37E99"/>
    <w:pPr>
      <w:keepNext/>
      <w:keepLines/>
      <w:numPr>
        <w:ilvl w:val="5"/>
        <w:numId w:val="1"/>
      </w:numPr>
      <w:overflowPunct w:val="0"/>
      <w:autoSpaceDE w:val="0"/>
      <w:autoSpaceDN w:val="0"/>
      <w:adjustRightInd w:val="0"/>
      <w:spacing w:before="200"/>
      <w:textAlignment w:val="baseline"/>
      <w:outlineLvl w:val="5"/>
    </w:pPr>
    <w:rPr>
      <w:rFonts w:ascii="Calibri" w:eastAsia="ＭＳ ゴシック" w:hAnsi="Calibri" w:cs="Times New Roman"/>
      <w:i/>
      <w:iCs/>
      <w:color w:val="243F60"/>
      <w:szCs w:val="20"/>
    </w:rPr>
  </w:style>
  <w:style w:type="paragraph" w:styleId="Heading7">
    <w:name w:val="heading 7"/>
    <w:aliases w:val="h7"/>
    <w:basedOn w:val="Heading3"/>
    <w:next w:val="text"/>
    <w:link w:val="Heading7Char"/>
    <w:qFormat/>
    <w:rsid w:val="00C37E99"/>
    <w:pPr>
      <w:keepNext w:val="0"/>
      <w:numPr>
        <w:ilvl w:val="6"/>
      </w:numPr>
      <w:tabs>
        <w:tab w:val="left" w:pos="1260"/>
      </w:tabs>
      <w:spacing w:after="240"/>
      <w:outlineLvl w:val="6"/>
    </w:pPr>
    <w:rPr>
      <w:b w:val="0"/>
      <w:smallCaps w:val="0"/>
    </w:rPr>
  </w:style>
  <w:style w:type="paragraph" w:styleId="Heading8">
    <w:name w:val="heading 8"/>
    <w:aliases w:val="h8"/>
    <w:basedOn w:val="Heading7"/>
    <w:next w:val="text"/>
    <w:link w:val="Heading8Char"/>
    <w:qFormat/>
    <w:rsid w:val="00C37E99"/>
    <w:pPr>
      <w:numPr>
        <w:ilvl w:val="7"/>
      </w:numPr>
      <w:outlineLvl w:val="7"/>
    </w:pPr>
  </w:style>
  <w:style w:type="paragraph" w:styleId="Heading9">
    <w:name w:val="heading 9"/>
    <w:aliases w:val="h9"/>
    <w:basedOn w:val="Heading7"/>
    <w:next w:val="text"/>
    <w:link w:val="Heading9Char"/>
    <w:qFormat/>
    <w:rsid w:val="00C37E99"/>
    <w:pPr>
      <w:numPr>
        <w:ilvl w:val="8"/>
      </w:numPr>
      <w:tabs>
        <w:tab w:val="clear" w:pos="1260"/>
        <w:tab w:val="left" w:pos="162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rsid w:val="00B25692"/>
    <w:pPr>
      <w:overflowPunct w:val="0"/>
      <w:autoSpaceDE w:val="0"/>
      <w:autoSpaceDN w:val="0"/>
      <w:adjustRightInd w:val="0"/>
      <w:spacing w:line="480" w:lineRule="atLeast"/>
      <w:ind w:firstLine="720"/>
      <w:jc w:val="both"/>
      <w:textAlignment w:val="baseline"/>
    </w:pPr>
    <w:rPr>
      <w:rFonts w:ascii="Times" w:eastAsia="Times New Roman" w:hAnsi="Times" w:cs="Times New Roman"/>
      <w:szCs w:val="20"/>
    </w:rPr>
  </w:style>
  <w:style w:type="character" w:customStyle="1" w:styleId="Heading1Char">
    <w:name w:val="Heading 1 Char"/>
    <w:aliases w:val="h1 Char"/>
    <w:basedOn w:val="DefaultParagraphFont"/>
    <w:link w:val="Heading1"/>
    <w:rsid w:val="00C37E99"/>
    <w:rPr>
      <w:rFonts w:ascii="Times" w:eastAsia="Times New Roman" w:hAnsi="Times" w:cs="Times New Roman"/>
      <w:b/>
      <w:caps/>
      <w:sz w:val="28"/>
      <w:szCs w:val="20"/>
    </w:rPr>
  </w:style>
  <w:style w:type="character" w:customStyle="1" w:styleId="Heading2Char">
    <w:name w:val="Heading 2 Char"/>
    <w:aliases w:val="h2 Char"/>
    <w:basedOn w:val="DefaultParagraphFont"/>
    <w:link w:val="Heading2"/>
    <w:rsid w:val="00C37E99"/>
    <w:rPr>
      <w:rFonts w:ascii="Times" w:eastAsia="Times New Roman" w:hAnsi="Times" w:cs="Times New Roman"/>
      <w:b/>
      <w:sz w:val="28"/>
      <w:szCs w:val="20"/>
    </w:rPr>
  </w:style>
  <w:style w:type="character" w:customStyle="1" w:styleId="Heading3Char">
    <w:name w:val="Heading 3 Char"/>
    <w:aliases w:val="h3 Char"/>
    <w:basedOn w:val="DefaultParagraphFont"/>
    <w:link w:val="Heading3"/>
    <w:rsid w:val="00C37E99"/>
    <w:rPr>
      <w:rFonts w:ascii="Times" w:eastAsia="Times New Roman" w:hAnsi="Times" w:cs="Times New Roman"/>
      <w:b/>
      <w:smallCaps/>
      <w:szCs w:val="20"/>
    </w:rPr>
  </w:style>
  <w:style w:type="character" w:customStyle="1" w:styleId="Heading4Char">
    <w:name w:val="Heading 4 Char"/>
    <w:aliases w:val="h4 Char"/>
    <w:basedOn w:val="DefaultParagraphFont"/>
    <w:link w:val="Heading4"/>
    <w:rsid w:val="00C37E99"/>
    <w:rPr>
      <w:rFonts w:ascii="Times" w:eastAsia="Times New Roman" w:hAnsi="Times" w:cs="Times New Roman"/>
      <w:b/>
      <w:szCs w:val="20"/>
    </w:rPr>
  </w:style>
  <w:style w:type="character" w:customStyle="1" w:styleId="Heading5Char">
    <w:name w:val="Heading 5 Char"/>
    <w:aliases w:val="h5 Char"/>
    <w:basedOn w:val="DefaultParagraphFont"/>
    <w:link w:val="Heading5"/>
    <w:rsid w:val="00C37E99"/>
    <w:rPr>
      <w:rFonts w:ascii="Times" w:eastAsia="Times New Roman" w:hAnsi="Times" w:cs="Times New Roman"/>
      <w:b/>
      <w:i/>
      <w:szCs w:val="20"/>
    </w:rPr>
  </w:style>
  <w:style w:type="character" w:customStyle="1" w:styleId="Heading6Char">
    <w:name w:val="Heading 6 Char"/>
    <w:basedOn w:val="DefaultParagraphFont"/>
    <w:link w:val="Heading6"/>
    <w:semiHidden/>
    <w:rsid w:val="00C37E99"/>
    <w:rPr>
      <w:rFonts w:ascii="Calibri" w:eastAsia="ＭＳ ゴシック" w:hAnsi="Calibri" w:cs="Times New Roman"/>
      <w:i/>
      <w:iCs/>
      <w:color w:val="243F60"/>
      <w:szCs w:val="20"/>
    </w:rPr>
  </w:style>
  <w:style w:type="character" w:customStyle="1" w:styleId="Heading7Char">
    <w:name w:val="Heading 7 Char"/>
    <w:aliases w:val="h7 Char"/>
    <w:basedOn w:val="DefaultParagraphFont"/>
    <w:link w:val="Heading7"/>
    <w:rsid w:val="00C37E99"/>
    <w:rPr>
      <w:rFonts w:ascii="Times" w:eastAsia="Times New Roman" w:hAnsi="Times" w:cs="Times New Roman"/>
      <w:szCs w:val="20"/>
    </w:rPr>
  </w:style>
  <w:style w:type="character" w:customStyle="1" w:styleId="Heading8Char">
    <w:name w:val="Heading 8 Char"/>
    <w:aliases w:val="h8 Char"/>
    <w:basedOn w:val="DefaultParagraphFont"/>
    <w:link w:val="Heading8"/>
    <w:rsid w:val="00C37E99"/>
    <w:rPr>
      <w:rFonts w:ascii="Times" w:eastAsia="Times New Roman" w:hAnsi="Times" w:cs="Times New Roman"/>
      <w:szCs w:val="20"/>
    </w:rPr>
  </w:style>
  <w:style w:type="character" w:customStyle="1" w:styleId="Heading9Char">
    <w:name w:val="Heading 9 Char"/>
    <w:aliases w:val="h9 Char"/>
    <w:basedOn w:val="DefaultParagraphFont"/>
    <w:link w:val="Heading9"/>
    <w:rsid w:val="00C37E99"/>
    <w:rPr>
      <w:rFonts w:ascii="Times" w:eastAsia="Times New Roman" w:hAnsi="Times" w:cs="Times New Roman"/>
      <w:szCs w:val="20"/>
    </w:rPr>
  </w:style>
  <w:style w:type="paragraph" w:styleId="BalloonText">
    <w:name w:val="Balloon Text"/>
    <w:basedOn w:val="Normal"/>
    <w:link w:val="BalloonTextChar"/>
    <w:uiPriority w:val="99"/>
    <w:semiHidden/>
    <w:unhideWhenUsed/>
    <w:rsid w:val="000D7C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C97"/>
    <w:rPr>
      <w:rFonts w:ascii="Lucida Grande" w:hAnsi="Lucida Grande" w:cs="Lucida Grande"/>
      <w:sz w:val="18"/>
      <w:szCs w:val="18"/>
    </w:rPr>
  </w:style>
  <w:style w:type="paragraph" w:styleId="Caption">
    <w:name w:val="caption"/>
    <w:basedOn w:val="Normal"/>
    <w:next w:val="Normal"/>
    <w:uiPriority w:val="35"/>
    <w:unhideWhenUsed/>
    <w:qFormat/>
    <w:rsid w:val="00D52926"/>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Heading3"/>
    <w:next w:val="text"/>
    <w:link w:val="Heading1Char"/>
    <w:qFormat/>
    <w:rsid w:val="00C37E99"/>
    <w:pPr>
      <w:numPr>
        <w:ilvl w:val="0"/>
      </w:numPr>
      <w:spacing w:before="240" w:after="240"/>
      <w:jc w:val="center"/>
      <w:outlineLvl w:val="0"/>
    </w:pPr>
    <w:rPr>
      <w:caps/>
      <w:smallCaps w:val="0"/>
      <w:sz w:val="28"/>
    </w:rPr>
  </w:style>
  <w:style w:type="paragraph" w:styleId="Heading2">
    <w:name w:val="heading 2"/>
    <w:aliases w:val="h2"/>
    <w:basedOn w:val="Heading3"/>
    <w:next w:val="text"/>
    <w:link w:val="Heading2Char"/>
    <w:qFormat/>
    <w:rsid w:val="00C37E99"/>
    <w:pPr>
      <w:numPr>
        <w:ilvl w:val="1"/>
      </w:numPr>
      <w:spacing w:before="240" w:after="240"/>
      <w:jc w:val="center"/>
      <w:outlineLvl w:val="1"/>
    </w:pPr>
    <w:rPr>
      <w:smallCaps w:val="0"/>
      <w:sz w:val="28"/>
    </w:rPr>
  </w:style>
  <w:style w:type="paragraph" w:styleId="Heading3">
    <w:name w:val="heading 3"/>
    <w:aliases w:val="h3"/>
    <w:basedOn w:val="Normal"/>
    <w:next w:val="text"/>
    <w:link w:val="Heading3Char"/>
    <w:qFormat/>
    <w:rsid w:val="00C37E99"/>
    <w:pPr>
      <w:keepNext/>
      <w:keepLines/>
      <w:numPr>
        <w:ilvl w:val="2"/>
        <w:numId w:val="1"/>
      </w:numPr>
      <w:overflowPunct w:val="0"/>
      <w:autoSpaceDE w:val="0"/>
      <w:autoSpaceDN w:val="0"/>
      <w:adjustRightInd w:val="0"/>
      <w:spacing w:before="300" w:after="60"/>
      <w:textAlignment w:val="baseline"/>
      <w:outlineLvl w:val="2"/>
    </w:pPr>
    <w:rPr>
      <w:rFonts w:ascii="Times" w:eastAsia="Times New Roman" w:hAnsi="Times" w:cs="Times New Roman"/>
      <w:b/>
      <w:smallCaps/>
      <w:szCs w:val="20"/>
    </w:rPr>
  </w:style>
  <w:style w:type="paragraph" w:styleId="Heading4">
    <w:name w:val="heading 4"/>
    <w:aliases w:val="h4"/>
    <w:basedOn w:val="Heading3"/>
    <w:next w:val="text"/>
    <w:link w:val="Heading4Char"/>
    <w:qFormat/>
    <w:rsid w:val="00C37E99"/>
    <w:pPr>
      <w:numPr>
        <w:ilvl w:val="3"/>
      </w:numPr>
      <w:outlineLvl w:val="3"/>
    </w:pPr>
    <w:rPr>
      <w:smallCaps w:val="0"/>
    </w:rPr>
  </w:style>
  <w:style w:type="paragraph" w:styleId="Heading5">
    <w:name w:val="heading 5"/>
    <w:aliases w:val="h5"/>
    <w:basedOn w:val="Heading3"/>
    <w:next w:val="text"/>
    <w:link w:val="Heading5Char"/>
    <w:qFormat/>
    <w:rsid w:val="00C37E99"/>
    <w:pPr>
      <w:numPr>
        <w:ilvl w:val="4"/>
      </w:numPr>
      <w:outlineLvl w:val="4"/>
    </w:pPr>
    <w:rPr>
      <w:i/>
      <w:smallCaps w:val="0"/>
    </w:rPr>
  </w:style>
  <w:style w:type="paragraph" w:styleId="Heading6">
    <w:name w:val="heading 6"/>
    <w:basedOn w:val="Normal"/>
    <w:next w:val="Normal"/>
    <w:link w:val="Heading6Char"/>
    <w:semiHidden/>
    <w:unhideWhenUsed/>
    <w:qFormat/>
    <w:rsid w:val="00C37E99"/>
    <w:pPr>
      <w:keepNext/>
      <w:keepLines/>
      <w:numPr>
        <w:ilvl w:val="5"/>
        <w:numId w:val="1"/>
      </w:numPr>
      <w:overflowPunct w:val="0"/>
      <w:autoSpaceDE w:val="0"/>
      <w:autoSpaceDN w:val="0"/>
      <w:adjustRightInd w:val="0"/>
      <w:spacing w:before="200"/>
      <w:textAlignment w:val="baseline"/>
      <w:outlineLvl w:val="5"/>
    </w:pPr>
    <w:rPr>
      <w:rFonts w:ascii="Calibri" w:eastAsia="ＭＳ ゴシック" w:hAnsi="Calibri" w:cs="Times New Roman"/>
      <w:i/>
      <w:iCs/>
      <w:color w:val="243F60"/>
      <w:szCs w:val="20"/>
    </w:rPr>
  </w:style>
  <w:style w:type="paragraph" w:styleId="Heading7">
    <w:name w:val="heading 7"/>
    <w:aliases w:val="h7"/>
    <w:basedOn w:val="Heading3"/>
    <w:next w:val="text"/>
    <w:link w:val="Heading7Char"/>
    <w:qFormat/>
    <w:rsid w:val="00C37E99"/>
    <w:pPr>
      <w:keepNext w:val="0"/>
      <w:numPr>
        <w:ilvl w:val="6"/>
      </w:numPr>
      <w:tabs>
        <w:tab w:val="left" w:pos="1260"/>
      </w:tabs>
      <w:spacing w:after="240"/>
      <w:outlineLvl w:val="6"/>
    </w:pPr>
    <w:rPr>
      <w:b w:val="0"/>
      <w:smallCaps w:val="0"/>
    </w:rPr>
  </w:style>
  <w:style w:type="paragraph" w:styleId="Heading8">
    <w:name w:val="heading 8"/>
    <w:aliases w:val="h8"/>
    <w:basedOn w:val="Heading7"/>
    <w:next w:val="text"/>
    <w:link w:val="Heading8Char"/>
    <w:qFormat/>
    <w:rsid w:val="00C37E99"/>
    <w:pPr>
      <w:numPr>
        <w:ilvl w:val="7"/>
      </w:numPr>
      <w:outlineLvl w:val="7"/>
    </w:pPr>
  </w:style>
  <w:style w:type="paragraph" w:styleId="Heading9">
    <w:name w:val="heading 9"/>
    <w:aliases w:val="h9"/>
    <w:basedOn w:val="Heading7"/>
    <w:next w:val="text"/>
    <w:link w:val="Heading9Char"/>
    <w:qFormat/>
    <w:rsid w:val="00C37E99"/>
    <w:pPr>
      <w:numPr>
        <w:ilvl w:val="8"/>
      </w:numPr>
      <w:tabs>
        <w:tab w:val="clear" w:pos="1260"/>
        <w:tab w:val="left" w:pos="162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rsid w:val="00B25692"/>
    <w:pPr>
      <w:overflowPunct w:val="0"/>
      <w:autoSpaceDE w:val="0"/>
      <w:autoSpaceDN w:val="0"/>
      <w:adjustRightInd w:val="0"/>
      <w:spacing w:line="480" w:lineRule="atLeast"/>
      <w:ind w:firstLine="720"/>
      <w:jc w:val="both"/>
      <w:textAlignment w:val="baseline"/>
    </w:pPr>
    <w:rPr>
      <w:rFonts w:ascii="Times" w:eastAsia="Times New Roman" w:hAnsi="Times" w:cs="Times New Roman"/>
      <w:szCs w:val="20"/>
    </w:rPr>
  </w:style>
  <w:style w:type="character" w:customStyle="1" w:styleId="Heading1Char">
    <w:name w:val="Heading 1 Char"/>
    <w:aliases w:val="h1 Char"/>
    <w:basedOn w:val="DefaultParagraphFont"/>
    <w:link w:val="Heading1"/>
    <w:rsid w:val="00C37E99"/>
    <w:rPr>
      <w:rFonts w:ascii="Times" w:eastAsia="Times New Roman" w:hAnsi="Times" w:cs="Times New Roman"/>
      <w:b/>
      <w:caps/>
      <w:sz w:val="28"/>
      <w:szCs w:val="20"/>
    </w:rPr>
  </w:style>
  <w:style w:type="character" w:customStyle="1" w:styleId="Heading2Char">
    <w:name w:val="Heading 2 Char"/>
    <w:aliases w:val="h2 Char"/>
    <w:basedOn w:val="DefaultParagraphFont"/>
    <w:link w:val="Heading2"/>
    <w:rsid w:val="00C37E99"/>
    <w:rPr>
      <w:rFonts w:ascii="Times" w:eastAsia="Times New Roman" w:hAnsi="Times" w:cs="Times New Roman"/>
      <w:b/>
      <w:sz w:val="28"/>
      <w:szCs w:val="20"/>
    </w:rPr>
  </w:style>
  <w:style w:type="character" w:customStyle="1" w:styleId="Heading3Char">
    <w:name w:val="Heading 3 Char"/>
    <w:aliases w:val="h3 Char"/>
    <w:basedOn w:val="DefaultParagraphFont"/>
    <w:link w:val="Heading3"/>
    <w:rsid w:val="00C37E99"/>
    <w:rPr>
      <w:rFonts w:ascii="Times" w:eastAsia="Times New Roman" w:hAnsi="Times" w:cs="Times New Roman"/>
      <w:b/>
      <w:smallCaps/>
      <w:szCs w:val="20"/>
    </w:rPr>
  </w:style>
  <w:style w:type="character" w:customStyle="1" w:styleId="Heading4Char">
    <w:name w:val="Heading 4 Char"/>
    <w:aliases w:val="h4 Char"/>
    <w:basedOn w:val="DefaultParagraphFont"/>
    <w:link w:val="Heading4"/>
    <w:rsid w:val="00C37E99"/>
    <w:rPr>
      <w:rFonts w:ascii="Times" w:eastAsia="Times New Roman" w:hAnsi="Times" w:cs="Times New Roman"/>
      <w:b/>
      <w:szCs w:val="20"/>
    </w:rPr>
  </w:style>
  <w:style w:type="character" w:customStyle="1" w:styleId="Heading5Char">
    <w:name w:val="Heading 5 Char"/>
    <w:aliases w:val="h5 Char"/>
    <w:basedOn w:val="DefaultParagraphFont"/>
    <w:link w:val="Heading5"/>
    <w:rsid w:val="00C37E99"/>
    <w:rPr>
      <w:rFonts w:ascii="Times" w:eastAsia="Times New Roman" w:hAnsi="Times" w:cs="Times New Roman"/>
      <w:b/>
      <w:i/>
      <w:szCs w:val="20"/>
    </w:rPr>
  </w:style>
  <w:style w:type="character" w:customStyle="1" w:styleId="Heading6Char">
    <w:name w:val="Heading 6 Char"/>
    <w:basedOn w:val="DefaultParagraphFont"/>
    <w:link w:val="Heading6"/>
    <w:semiHidden/>
    <w:rsid w:val="00C37E99"/>
    <w:rPr>
      <w:rFonts w:ascii="Calibri" w:eastAsia="ＭＳ ゴシック" w:hAnsi="Calibri" w:cs="Times New Roman"/>
      <w:i/>
      <w:iCs/>
      <w:color w:val="243F60"/>
      <w:szCs w:val="20"/>
    </w:rPr>
  </w:style>
  <w:style w:type="character" w:customStyle="1" w:styleId="Heading7Char">
    <w:name w:val="Heading 7 Char"/>
    <w:aliases w:val="h7 Char"/>
    <w:basedOn w:val="DefaultParagraphFont"/>
    <w:link w:val="Heading7"/>
    <w:rsid w:val="00C37E99"/>
    <w:rPr>
      <w:rFonts w:ascii="Times" w:eastAsia="Times New Roman" w:hAnsi="Times" w:cs="Times New Roman"/>
      <w:szCs w:val="20"/>
    </w:rPr>
  </w:style>
  <w:style w:type="character" w:customStyle="1" w:styleId="Heading8Char">
    <w:name w:val="Heading 8 Char"/>
    <w:aliases w:val="h8 Char"/>
    <w:basedOn w:val="DefaultParagraphFont"/>
    <w:link w:val="Heading8"/>
    <w:rsid w:val="00C37E99"/>
    <w:rPr>
      <w:rFonts w:ascii="Times" w:eastAsia="Times New Roman" w:hAnsi="Times" w:cs="Times New Roman"/>
      <w:szCs w:val="20"/>
    </w:rPr>
  </w:style>
  <w:style w:type="character" w:customStyle="1" w:styleId="Heading9Char">
    <w:name w:val="Heading 9 Char"/>
    <w:aliases w:val="h9 Char"/>
    <w:basedOn w:val="DefaultParagraphFont"/>
    <w:link w:val="Heading9"/>
    <w:rsid w:val="00C37E99"/>
    <w:rPr>
      <w:rFonts w:ascii="Times" w:eastAsia="Times New Roman" w:hAnsi="Times" w:cs="Times New Roman"/>
      <w:szCs w:val="20"/>
    </w:rPr>
  </w:style>
  <w:style w:type="paragraph" w:styleId="BalloonText">
    <w:name w:val="Balloon Text"/>
    <w:basedOn w:val="Normal"/>
    <w:link w:val="BalloonTextChar"/>
    <w:uiPriority w:val="99"/>
    <w:semiHidden/>
    <w:unhideWhenUsed/>
    <w:rsid w:val="000D7C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C97"/>
    <w:rPr>
      <w:rFonts w:ascii="Lucida Grande" w:hAnsi="Lucida Grande" w:cs="Lucida Grande"/>
      <w:sz w:val="18"/>
      <w:szCs w:val="18"/>
    </w:rPr>
  </w:style>
  <w:style w:type="paragraph" w:styleId="Caption">
    <w:name w:val="caption"/>
    <w:basedOn w:val="Normal"/>
    <w:next w:val="Normal"/>
    <w:uiPriority w:val="35"/>
    <w:unhideWhenUsed/>
    <w:qFormat/>
    <w:rsid w:val="00D5292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1070</Words>
  <Characters>6103</Characters>
  <Application>Microsoft Macintosh Word</Application>
  <DocSecurity>0</DocSecurity>
  <Lines>50</Lines>
  <Paragraphs>14</Paragraphs>
  <ScaleCrop>false</ScaleCrop>
  <Company>The University of Texas at Austin</Company>
  <LinksUpToDate>false</LinksUpToDate>
  <CharactersWithSpaces>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Ritchie</dc:creator>
  <cp:keywords/>
  <dc:description/>
  <cp:lastModifiedBy>Andrew Ritchie</cp:lastModifiedBy>
  <cp:revision>47</cp:revision>
  <dcterms:created xsi:type="dcterms:W3CDTF">2015-07-16T15:27:00Z</dcterms:created>
  <dcterms:modified xsi:type="dcterms:W3CDTF">2015-07-23T16:53:00Z</dcterms:modified>
</cp:coreProperties>
</file>