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36"/>
        </w:rPr>
        <w:t>Banking Risks Analysis</w:t>
      </w:r>
    </w:p>
    <w:p>
      <w:r>
        <w:rPr>
          <w:sz w:val="28"/>
        </w:rPr>
        <w:t>Article Summary</w:t>
      </w:r>
    </w:p>
    <w:p>
      <w:r>
        <w:t xml:space="preserve"> The banking industry is undergoing significant changes driven by several megatrends, including the digital revolution in retail banking, ESG compliance, the fight for talent, and the emergence of generative AI. Retail banking has largely been digitized, while corporate banking continues to evolve rapidly. The focus is now on how consumers engage with this technology. The EU, UK, and US are all grappling with regulating AI, with the EU struggling to define the scope and breadth of AI rules, the UK taking a sector-by-sector approach, and the US seeking to define its approach. Despite the challenges, banks that successfully implement AI technology will benefit from large competitive advantages in terms of time and cost savings. ESG remains the number one boardroom megatrend for banks, with the added complexity of mixed messages from some political leaders and a backlash against ESG policies in the US. The financial-services sector has been hit by a stream of greenwashing allegations, with banks accounting for 70 percent of greenwashing, according to RepRisk. The net-zero transition is another megatrend that the banking industry must adapt to rapidly, with industry leaders needing to make complex decisions to balance commercial and regulatory concerns. Competition regulations and enforcements have not kept up with the need for companies to collaborate to ease the transition to net zero, presenting a formidable challenge for banks.</w:t>
      </w:r>
    </w:p>
    <w:p>
      <w:r>
        <w:rPr>
          <w:sz w:val="28"/>
        </w:rPr>
        <w:t>Key Insight</w:t>
      </w:r>
    </w:p>
    <w:p>
      <w:r>
        <w:t xml:space="preserve"> ### Key Risks to the United States Federal Reserve Bank</w:t>
        <w:br/>
        <w:br/>
        <w:t>The United States Federal Reserve Bank (Fed) faces several critical risks as it navigates the evolving landscape of the banking industry. One significant risk is the integration and regulation of artificial intelligence (AI) within financial services. The Fed, along with other federal financial regulatory agencies, is tasked with understanding and managing the risks associated with AI. The challenge lies in developing comprehensive regulations that ensure AI is deployed safely and fairly across the economy, as highlighted by Biden's executive order. The Fed's efforts to support responsible AI use and equitable outcomes must balance innovation with stringent oversight to prevent potential misuse or unintended consequences of AI technologies.</w:t>
        <w:br/>
        <w:br/>
        <w:t>Another pressing risk is the banking industry's adaptation to climate change and the associated environmental, social, and governance (ESG) standards. The Fed has recognized climate change as an emerging threat to financial stability, necessitating complex decisions to balance commercial interests with regulatory requirements. The industry's push towards net-zero emissions, coupled with the need to manage physical and transition risks, presents formidable challenges. The Fed must address greenwashing allegations and ensure that financial institutions accurately report their ESG metrics. Additionally, the rapid evolution of ESG policies, often met with political backlash, requires the Fed to remain agile and transparent in its regulatory approach to maintain trust and stability in the financial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