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jpg" ContentType="image/jpeg"/>
  <Override PartName="/word/media/rId47.jpg" ContentType="image/jpeg"/>
  <Override PartName="/word/media/rId55.jpg" ContentType="image/jpeg"/>
  <Override PartName="/word/media/rId59.jpg" ContentType="image/jpeg"/>
  <Override PartName="/word/media/rId28.png" ContentType="image/png"/>
  <Override PartName="/word/media/rId42.jpg" ContentType="image/jpeg"/>
  <Override PartName="/word/media/rId64.jpg" ContentType="image/jpeg"/>
  <Override PartName="/word/media/rId96.jpg" ContentType="image/jpeg"/>
  <Override PartName="/word/media/rId110.png" ContentType="image/png"/>
  <Override PartName="/word/media/rId106.png" ContentType="image/png"/>
  <Override PartName="/word/media/rId68.jpg" ContentType="image/jpeg"/>
  <Override PartName="/word/media/rId72.jpg" ContentType="image/jpeg"/>
  <Override PartName="/word/media/rId76.jpg" ContentType="image/jpeg"/>
  <Override PartName="/word/media/rId80.png" ContentType="image/png"/>
  <Override PartName="/word/media/rId84.png" ContentType="image/png"/>
  <Override PartName="/word/media/rId88.jpg" ContentType="image/jpeg"/>
  <Override PartName="/word/media/rId92.jpg" ContentType="image/jpeg"/>
  <Override PartName="/word/media/rId10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0">
        <w:r>
          <w:rPr>
            <w:rStyle w:val="Hyperlink"/>
          </w:rPr>
          <w:t xml:space="preserve">Amazon Lex</w:t>
        </w:r>
      </w:hyperlink>
      <w:r>
        <w:t xml:space="preserve"> </w:t>
      </w:r>
      <w:r>
        <w:t xml:space="preserve">provides the framework for building</w:t>
      </w:r>
      <w:r>
        <w:t xml:space="preserve"> </w:t>
      </w:r>
      <w:hyperlink r:id="rId21">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2">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3">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an enterprise ready RAG application such as a question answering solution. We use LLMs available through Amazon Bedrock for the embeddings model (Amazon Titan Text Embeddings v2), the text generation model (Anthropic Claude v2) and the Amazon Bedrock Knowledge Base for this solution. The text corpus representing an enterprise knowledge base is stored as HTML files in Amazon S3 and is ingested in the form of text embeddings into an index in a Amazon OpenSearch Service Serverless (AOSS)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4">
        <w:r>
          <w:rPr>
            <w:rStyle w:val="Hyperlink"/>
          </w:rPr>
          <w:t xml:space="preserve">LangChain</w:t>
        </w:r>
      </w:hyperlink>
      <w:r>
        <w:t xml:space="preserve"> </w:t>
      </w:r>
      <w:r>
        <w:t xml:space="preserve">to interface with the Bedrock and</w:t>
      </w:r>
      <w:r>
        <w:t xml:space="preserve"> </w:t>
      </w:r>
      <w:hyperlink r:id="rId25">
        <w:r>
          <w:rPr>
            <w:rStyle w:val="Hyperlink"/>
          </w:rPr>
          <w:t xml:space="preserve">opensearch-py</w:t>
        </w:r>
      </w:hyperlink>
      <w:r>
        <w:t xml:space="preserve"> </w:t>
      </w:r>
      <w:r>
        <w:t xml:space="preserve">to interface with AOSS and build a RAG based question answer workflow.</w:t>
      </w:r>
    </w:p>
    <w:bookmarkStart w:id="116" w:name="solution-overview"/>
    <w:p>
      <w:pPr>
        <w:pStyle w:val="Heading2"/>
      </w:pPr>
      <w:r>
        <w:t xml:space="preserve">Solution overview</w:t>
      </w:r>
    </w:p>
    <w:p>
      <w:pPr>
        <w:pStyle w:val="FirstParagraph"/>
      </w:pPr>
      <w:r>
        <w:t xml:space="preserve">We use a subset of</w:t>
      </w:r>
      <w:r>
        <w:t xml:space="preserve"> </w:t>
      </w:r>
      <w:hyperlink r:id="rId26">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AOSS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AOSS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27">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1" w:name="fig-architecture"/>
          <w:p>
            <w:pPr>
              <w:pStyle w:val="Figure"/>
              <w:jc w:val="center"/>
            </w:pPr>
            <w:r>
              <w:drawing>
                <wp:inline>
                  <wp:extent cx="5334000" cy="3433087"/>
                  <wp:effectExtent b="0" l="0" r="0" t="0"/>
                  <wp:docPr descr="" title="" id="29" name="Picture"/>
                  <a:graphic>
                    <a:graphicData uri="http://schemas.openxmlformats.org/drawingml/2006/picture">
                      <pic:pic>
                        <pic:nvPicPr>
                          <pic:cNvPr descr="img/bedrock-agents-kb.png" id="30" name="Picture"/>
                          <pic:cNvPicPr>
                            <a:picLocks noChangeArrowheads="1" noChangeAspect="1"/>
                          </pic:cNvPicPr>
                        </pic:nvPicPr>
                        <pic:blipFill>
                          <a:blip r:embed="rId28"/>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1"/>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AOSS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2">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3">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4">
        <w:r>
          <w:rPr>
            <w:rStyle w:val="Hyperlink"/>
          </w:rPr>
          <w:t xml:space="preserve">S3</w:t>
        </w:r>
      </w:hyperlink>
      <w:r>
        <w:t xml:space="preserve"> </w:t>
      </w:r>
      <w:r>
        <w:t xml:space="preserve">for storing the raw knowledge corpus data (HTML files).</w:t>
      </w:r>
    </w:p>
    <w:p>
      <w:pPr>
        <w:numPr>
          <w:ilvl w:val="0"/>
          <w:numId w:val="1002"/>
        </w:numPr>
        <w:pStyle w:val="Compact"/>
      </w:pPr>
      <w:hyperlink r:id="rId35">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6">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37">
        <w:r>
          <w:rPr>
            <w:rStyle w:val="Hyperlink"/>
          </w:rPr>
          <w:t xml:space="preserve">LangChain</w:t>
        </w:r>
      </w:hyperlink>
      <w:r>
        <w:t xml:space="preserve"> </w:t>
      </w:r>
      <w:r>
        <w:t xml:space="preserve">for interfacing with Bedrock and</w:t>
      </w:r>
      <w:r>
        <w:t xml:space="preserve"> </w:t>
      </w:r>
      <w:hyperlink r:id="rId25">
        <w:r>
          <w:rPr>
            <w:rStyle w:val="Hyperlink"/>
          </w:rPr>
          <w:t xml:space="preserve">opensearch-py</w:t>
        </w:r>
      </w:hyperlink>
      <w:r>
        <w:t xml:space="preserve"> </w:t>
      </w:r>
      <w:r>
        <w:t xml:space="preserve">to interface with AOSS.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AOSS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AOSS collection. This is done through the AOSS console.</w:t>
      </w:r>
    </w:p>
    <w:p>
      <w:pPr>
        <w:numPr>
          <w:ilvl w:val="0"/>
          <w:numId w:val="1003"/>
        </w:numPr>
      </w:pPr>
      <w:r>
        <w:t xml:space="preserve">Create a knowledge base in Bedrock and synch data from the S3 bucket to the AOSS index. This is done through the Bedrock console.</w:t>
      </w:r>
    </w:p>
    <w:p>
      <w:pPr>
        <w:numPr>
          <w:ilvl w:val="0"/>
          <w:numId w:val="1003"/>
        </w:numPr>
      </w:pPr>
      <w:r>
        <w:t xml:space="preserve">Run the</w:t>
      </w:r>
      <w:r>
        <w:t xml:space="preserve"> </w:t>
      </w:r>
      <w:hyperlink r:id="rId38">
        <w:r>
          <w:rPr>
            <w:rStyle w:val="VerbatimChar"/>
          </w:rPr>
          <w:t xml:space="preserve">rag_w_bedrock_and_aoss.ipynb</w:t>
        </w:r>
      </w:hyperlink>
      <w:r>
        <w:t xml:space="preserve"> </w:t>
      </w:r>
      <w:r>
        <w:t xml:space="preserve">notebook in the SageMaker notebook to ask questions based on the data ingested in AOSS index.</w:t>
      </w:r>
    </w:p>
    <w:p>
      <w:pPr>
        <w:pStyle w:val="FirstParagraph"/>
      </w:pPr>
      <w:r>
        <w:t xml:space="preserve">These steps are discussed in detail in the following sections.</w:t>
      </w:r>
    </w:p>
    <w:bookmarkStart w:id="115" w:name="prerequisites"/>
    <w:p>
      <w:pPr>
        <w:pStyle w:val="Heading3"/>
      </w:pPr>
      <w:r>
        <w:t xml:space="preserve">Prerequisites</w:t>
      </w:r>
    </w:p>
    <w:p>
      <w:pPr>
        <w:pStyle w:val="FirstParagraph"/>
      </w:pPr>
      <w:r>
        <w:t xml:space="preserve">To implement the solution provided in this post, you should have an</w:t>
      </w:r>
      <w:r>
        <w:t xml:space="preserve"> </w:t>
      </w:r>
      <w:hyperlink r:id="rId39">
        <w:r>
          <w:rPr>
            <w:rStyle w:val="Hyperlink"/>
          </w:rPr>
          <w:t xml:space="preserve">AWS account</w:t>
        </w:r>
      </w:hyperlink>
      <w:r>
        <w:t xml:space="preserve"> </w:t>
      </w:r>
      <w:r>
        <w:t xml:space="preserve">and awareness about LLMs, OpenSearch Service and Bedrock.</w:t>
      </w:r>
    </w:p>
    <w:bookmarkStart w:id="46"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5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0"/>
          </w:p>
        </w:tc>
      </w:tr>
      <w:tr>
        <w:tc>
          <w:tcPr/>
          <w:p>
            <w:pPr>
              <w:pStyle w:val="Compact"/>
              <w:jc w:val="center"/>
            </w:pPr>
            <w:r>
              <w:t xml:space="preserve">us-west-2 (Oregon)</w:t>
            </w:r>
          </w:p>
        </w:tc>
        <w:tc>
          <w:tcPr/>
          <w:p>
            <w:pPr>
              <w:pStyle w:val="Compact"/>
              <w:jc w:val="center"/>
            </w:pPr>
            <w:hyperlink r:id="rId41"/>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5" w:name="fig-cfn-outputs"/>
          <w:p>
            <w:pPr>
              <w:pStyle w:val="Figure"/>
              <w:jc w:val="center"/>
            </w:pPr>
            <w:r>
              <w:drawing>
                <wp:inline>
                  <wp:extent cx="5334000" cy="2930355"/>
                  <wp:effectExtent b="0" l="0" r="0" t="0"/>
                  <wp:docPr descr="" title="" id="43" name="Picture"/>
                  <a:graphic>
                    <a:graphicData uri="http://schemas.openxmlformats.org/drawingml/2006/picture">
                      <pic:pic>
                        <pic:nvPicPr>
                          <pic:cNvPr descr="img/cf-outputs.jpg" id="44" name="Picture"/>
                          <pic:cNvPicPr>
                            <a:picLocks noChangeArrowheads="1" noChangeAspect="1"/>
                          </pic:cNvPicPr>
                        </pic:nvPicPr>
                        <pic:blipFill>
                          <a:blip r:embed="rId42"/>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5"/>
        </w:tc>
      </w:tr>
    </w:tbl>
    <w:bookmarkEnd w:id="46"/>
    <w:bookmarkStart w:id="63" w:name="create-an-aoss-vector-index"/>
    <w:p>
      <w:pPr>
        <w:pStyle w:val="Heading4"/>
      </w:pPr>
      <w:r>
        <w:t xml:space="preserve">Create an AOSS vector index</w:t>
      </w:r>
    </w:p>
    <w:p>
      <w:pPr>
        <w:pStyle w:val="FirstParagraph"/>
      </w:pPr>
      <w:r>
        <w:t xml:space="preserve">The CloudFormation stack creates an AOSS collection, the next step is to create a vector index. This is done through the AOSS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0" w:name="fig-aoss-collections"/>
          <w:p>
            <w:pPr>
              <w:numPr>
                <w:ilvl w:val="0"/>
                <w:numId w:val="1000"/>
              </w:numPr>
              <w:pStyle w:val="Figure"/>
              <w:jc w:val="center"/>
            </w:pPr>
            <w:r>
              <w:drawing>
                <wp:inline>
                  <wp:extent cx="5334000" cy="1187226"/>
                  <wp:effectExtent b="0" l="0" r="0" t="0"/>
                  <wp:docPr descr="" title="" id="48" name="Picture"/>
                  <a:graphic>
                    <a:graphicData uri="http://schemas.openxmlformats.org/drawingml/2006/picture">
                      <pic:pic>
                        <pic:nvPicPr>
                          <pic:cNvPr descr="img/aoss.jpg" id="49" name="Picture"/>
                          <pic:cNvPicPr>
                            <a:picLocks noChangeArrowheads="1" noChangeAspect="1"/>
                          </pic:cNvPicPr>
                        </pic:nvPicPr>
                        <pic:blipFill>
                          <a:blip r:embed="rId47"/>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0"/>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4" w:name="fig-aoss-collection-vector-index"/>
          <w:p>
            <w:pPr>
              <w:numPr>
                <w:ilvl w:val="0"/>
                <w:numId w:val="1000"/>
              </w:numPr>
              <w:pStyle w:val="Figure"/>
              <w:jc w:val="center"/>
            </w:pPr>
            <w:r>
              <w:drawing>
                <wp:inline>
                  <wp:extent cx="5334000" cy="401916"/>
                  <wp:effectExtent b="0" l="0" r="0" t="0"/>
                  <wp:docPr descr="" title="" id="52" name="Picture"/>
                  <a:graphic>
                    <a:graphicData uri="http://schemas.openxmlformats.org/drawingml/2006/picture">
                      <pic:pic>
                        <pic:nvPicPr>
                          <pic:cNvPr descr="img/aoss-cv.jpg" id="53" name="Picture"/>
                          <pic:cNvPicPr>
                            <a:picLocks noChangeArrowheads="1" noChangeAspect="1"/>
                          </pic:cNvPicPr>
                        </pic:nvPicPr>
                        <pic:blipFill>
                          <a:blip r:embed="rId51"/>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4"/>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58" w:name="Xdf31a6c1cf538fb17d60c52c851068e83060f99"/>
          <w:p>
            <w:pPr>
              <w:numPr>
                <w:ilvl w:val="0"/>
                <w:numId w:val="1000"/>
              </w:numPr>
              <w:pStyle w:val="Figure"/>
              <w:jc w:val="center"/>
            </w:pPr>
            <w:r>
              <w:drawing>
                <wp:inline>
                  <wp:extent cx="5334000" cy="4210249"/>
                  <wp:effectExtent b="0" l="0" r="0" t="0"/>
                  <wp:docPr descr="" title="" id="56" name="Picture"/>
                  <a:graphic>
                    <a:graphicData uri="http://schemas.openxmlformats.org/drawingml/2006/picture">
                      <pic:pic>
                        <pic:nvPicPr>
                          <pic:cNvPr descr="img/aoss1.jpg" id="57" name="Picture"/>
                          <pic:cNvPicPr>
                            <a:picLocks noChangeArrowheads="1" noChangeAspect="1"/>
                          </pic:cNvPicPr>
                        </pic:nvPicPr>
                        <pic:blipFill>
                          <a:blip r:embed="rId55"/>
                          <a:stretch>
                            <a:fillRect/>
                          </a:stretch>
                        </pic:blipFill>
                        <pic:spPr bwMode="auto">
                          <a:xfrm>
                            <a:off x="0" y="0"/>
                            <a:ext cx="5334000" cy="421024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58"/>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2" w:name="fig-aoss-collection-vector-index-created"/>
          <w:p>
            <w:pPr>
              <w:numPr>
                <w:ilvl w:val="0"/>
                <w:numId w:val="1000"/>
              </w:numPr>
              <w:pStyle w:val="Figure"/>
              <w:jc w:val="center"/>
            </w:pPr>
            <w:r>
              <w:drawing>
                <wp:inline>
                  <wp:extent cx="5334000" cy="2368754"/>
                  <wp:effectExtent b="0" l="0" r="0" t="0"/>
                  <wp:docPr descr="" title="" id="60" name="Picture"/>
                  <a:graphic>
                    <a:graphicData uri="http://schemas.openxmlformats.org/drawingml/2006/picture">
                      <pic:pic>
                        <pic:nvPicPr>
                          <pic:cNvPr descr="img/aoss2.jpg" id="61" name="Picture"/>
                          <pic:cNvPicPr>
                            <a:picLocks noChangeArrowheads="1" noChangeAspect="1"/>
                          </pic:cNvPicPr>
                        </pic:nvPicPr>
                        <pic:blipFill>
                          <a:blip r:embed="rId59"/>
                          <a:stretch>
                            <a:fillRect/>
                          </a:stretch>
                        </pic:blipFill>
                        <pic:spPr bwMode="auto">
                          <a:xfrm>
                            <a:off x="0" y="0"/>
                            <a:ext cx="5334000" cy="2368754"/>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2"/>
        </w:tc>
      </w:tr>
    </w:tbl>
    <w:bookmarkEnd w:id="63"/>
    <w:bookmarkStart w:id="101" w:name="create-a-bedrock-knowledge-base"/>
    <w:p>
      <w:pPr>
        <w:pStyle w:val="Heading4"/>
      </w:pPr>
      <w:r>
        <w:t xml:space="preserve">Create a Bedrock knowledge base</w:t>
      </w:r>
    </w:p>
    <w:p>
      <w:pPr>
        <w:pStyle w:val="FirstParagraph"/>
      </w:pPr>
      <w:r>
        <w:t xml:space="preserve">Once the AOSS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67" w:name="fig-br-kb-list"/>
          <w:p>
            <w:pPr>
              <w:numPr>
                <w:ilvl w:val="0"/>
                <w:numId w:val="1000"/>
              </w:numPr>
              <w:pStyle w:val="Figure"/>
              <w:jc w:val="center"/>
            </w:pPr>
            <w:r>
              <w:drawing>
                <wp:inline>
                  <wp:extent cx="5334000" cy="1954869"/>
                  <wp:effectExtent b="0" l="0" r="0" t="0"/>
                  <wp:docPr descr="" title="" id="65" name="Picture"/>
                  <a:graphic>
                    <a:graphicData uri="http://schemas.openxmlformats.org/drawingml/2006/picture">
                      <pic:pic>
                        <pic:nvPicPr>
                          <pic:cNvPr descr="img/kb1.jpg" id="66" name="Picture"/>
                          <pic:cNvPicPr>
                            <a:picLocks noChangeArrowheads="1" noChangeAspect="1"/>
                          </pic:cNvPicPr>
                        </pic:nvPicPr>
                        <pic:blipFill>
                          <a:blip r:embed="rId64"/>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67"/>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1" w:name="fig-br-kb-list"/>
          <w:p>
            <w:pPr>
              <w:numPr>
                <w:ilvl w:val="0"/>
                <w:numId w:val="1000"/>
              </w:numPr>
              <w:pStyle w:val="Figure"/>
              <w:jc w:val="center"/>
            </w:pPr>
            <w:r>
              <w:drawing>
                <wp:inline>
                  <wp:extent cx="5334000" cy="2282241"/>
                  <wp:effectExtent b="0" l="0" r="0" t="0"/>
                  <wp:docPr descr="" title="" id="69" name="Picture"/>
                  <a:graphic>
                    <a:graphicData uri="http://schemas.openxmlformats.org/drawingml/2006/picture">
                      <pic:pic>
                        <pic:nvPicPr>
                          <pic:cNvPr descr="img/kb2.jpg" id="70" name="Picture"/>
                          <pic:cNvPicPr>
                            <a:picLocks noChangeArrowheads="1" noChangeAspect="1"/>
                          </pic:cNvPicPr>
                        </pic:nvPicPr>
                        <pic:blipFill>
                          <a:blip r:embed="rId68"/>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1"/>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5" w:name="fig-br-kb-s3-bucket"/>
          <w:p>
            <w:pPr>
              <w:numPr>
                <w:ilvl w:val="0"/>
                <w:numId w:val="1000"/>
              </w:numPr>
              <w:pStyle w:val="Figure"/>
              <w:jc w:val="center"/>
            </w:pPr>
            <w:r>
              <w:drawing>
                <wp:inline>
                  <wp:extent cx="5334000" cy="2008909"/>
                  <wp:effectExtent b="0" l="0" r="0" t="0"/>
                  <wp:docPr descr="" title="" id="73" name="Picture"/>
                  <a:graphic>
                    <a:graphicData uri="http://schemas.openxmlformats.org/drawingml/2006/picture">
                      <pic:pic>
                        <pic:nvPicPr>
                          <pic:cNvPr descr="img/kb4.jpg" id="74" name="Picture"/>
                          <pic:cNvPicPr>
                            <a:picLocks noChangeArrowheads="1" noChangeAspect="1"/>
                          </pic:cNvPicPr>
                        </pic:nvPicPr>
                        <pic:blipFill>
                          <a:blip r:embed="rId72"/>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5"/>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79" w:name="fig-br-kb-titan"/>
          <w:p>
            <w:pPr>
              <w:numPr>
                <w:ilvl w:val="0"/>
                <w:numId w:val="1000"/>
              </w:numPr>
              <w:pStyle w:val="Figure"/>
              <w:jc w:val="center"/>
            </w:pPr>
            <w:r>
              <w:drawing>
                <wp:inline>
                  <wp:extent cx="5334000" cy="729958"/>
                  <wp:effectExtent b="0" l="0" r="0" t="0"/>
                  <wp:docPr descr="" title="" id="77" name="Picture"/>
                  <a:graphic>
                    <a:graphicData uri="http://schemas.openxmlformats.org/drawingml/2006/picture">
                      <pic:pic>
                        <pic:nvPicPr>
                          <pic:cNvPr descr="img/kb5.jpg" id="78" name="Picture"/>
                          <pic:cNvPicPr>
                            <a:picLocks noChangeArrowheads="1" noChangeAspect="1"/>
                          </pic:cNvPicPr>
                        </pic:nvPicPr>
                        <pic:blipFill>
                          <a:blip r:embed="rId76"/>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79"/>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3" w:name="fig-br-kb-aoss"/>
          <w:p>
            <w:pPr>
              <w:numPr>
                <w:ilvl w:val="0"/>
                <w:numId w:val="1000"/>
              </w:numPr>
              <w:pStyle w:val="Figure"/>
              <w:jc w:val="center"/>
            </w:pPr>
            <w:r>
              <w:drawing>
                <wp:inline>
                  <wp:extent cx="5334000" cy="4088993"/>
                  <wp:effectExtent b="0" l="0" r="0" t="0"/>
                  <wp:docPr descr="" title="" id="81" name="Picture"/>
                  <a:graphic>
                    <a:graphicData uri="http://schemas.openxmlformats.org/drawingml/2006/picture">
                      <pic:pic>
                        <pic:nvPicPr>
                          <pic:cNvPr descr="img/kb6.png" id="82" name="Picture"/>
                          <pic:cNvPicPr>
                            <a:picLocks noChangeArrowheads="1" noChangeAspect="1"/>
                          </pic:cNvPicPr>
                        </pic:nvPicPr>
                        <pic:blipFill>
                          <a:blip r:embed="rId80"/>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AOSS</w:t>
            </w:r>
          </w:p>
          <w:bookmarkEnd w:id="83"/>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87" w:name="fig-br-kb-review-and-create"/>
          <w:p>
            <w:pPr>
              <w:numPr>
                <w:ilvl w:val="0"/>
                <w:numId w:val="1000"/>
              </w:numPr>
              <w:pStyle w:val="Figure"/>
              <w:jc w:val="center"/>
            </w:pPr>
            <w:r>
              <w:drawing>
                <wp:inline>
                  <wp:extent cx="5334000" cy="3748480"/>
                  <wp:effectExtent b="0" l="0" r="0" t="0"/>
                  <wp:docPr descr="" title="" id="85" name="Picture"/>
                  <a:graphic>
                    <a:graphicData uri="http://schemas.openxmlformats.org/drawingml/2006/picture">
                      <pic:pic>
                        <pic:nvPicPr>
                          <pic:cNvPr descr="img/kb7.png" id="86" name="Picture"/>
                          <pic:cNvPicPr>
                            <a:picLocks noChangeArrowheads="1" noChangeAspect="1"/>
                          </pic:cNvPicPr>
                        </pic:nvPicPr>
                        <pic:blipFill>
                          <a:blip r:embed="rId84"/>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87"/>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1" w:name="fig-br-kb-create-complete"/>
          <w:p>
            <w:pPr>
              <w:numPr>
                <w:ilvl w:val="0"/>
                <w:numId w:val="1000"/>
              </w:numPr>
              <w:pStyle w:val="Figure"/>
              <w:jc w:val="center"/>
            </w:pPr>
            <w:r>
              <w:drawing>
                <wp:inline>
                  <wp:extent cx="5334000" cy="2166323"/>
                  <wp:effectExtent b="0" l="0" r="0" t="0"/>
                  <wp:docPr descr="" title="" id="89" name="Picture"/>
                  <a:graphic>
                    <a:graphicData uri="http://schemas.openxmlformats.org/drawingml/2006/picture">
                      <pic:pic>
                        <pic:nvPicPr>
                          <pic:cNvPr descr="img/kb8.jpg" id="90" name="Picture"/>
                          <pic:cNvPicPr>
                            <a:picLocks noChangeArrowheads="1" noChangeAspect="1"/>
                          </pic:cNvPicPr>
                        </pic:nvPicPr>
                        <pic:blipFill>
                          <a:blip r:embed="rId88"/>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1"/>
        </w:tc>
      </w:tr>
    </w:tbl>
    <w:bookmarkStart w:id="100"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AOSS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5" w:name="fig-br-kb-sync-in-progress"/>
          <w:p>
            <w:pPr>
              <w:numPr>
                <w:ilvl w:val="0"/>
                <w:numId w:val="1000"/>
              </w:numPr>
              <w:pStyle w:val="Figure"/>
              <w:jc w:val="center"/>
            </w:pPr>
            <w:r>
              <w:drawing>
                <wp:inline>
                  <wp:extent cx="5334000" cy="2459822"/>
                  <wp:effectExtent b="0" l="0" r="0" t="0"/>
                  <wp:docPr descr="" title="" id="93" name="Picture"/>
                  <a:graphic>
                    <a:graphicData uri="http://schemas.openxmlformats.org/drawingml/2006/picture">
                      <pic:pic>
                        <pic:nvPicPr>
                          <pic:cNvPr descr="img/kb9.jpg" id="94" name="Picture"/>
                          <pic:cNvPicPr>
                            <a:picLocks noChangeArrowheads="1" noChangeAspect="1"/>
                          </pic:cNvPicPr>
                        </pic:nvPicPr>
                        <pic:blipFill>
                          <a:blip r:embed="rId92"/>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5"/>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99" w:name="fig-br-kb-sync-done"/>
          <w:p>
            <w:pPr>
              <w:numPr>
                <w:ilvl w:val="0"/>
                <w:numId w:val="1000"/>
              </w:numPr>
              <w:pStyle w:val="Figure"/>
              <w:jc w:val="center"/>
            </w:pPr>
            <w:r>
              <w:drawing>
                <wp:inline>
                  <wp:extent cx="5334000" cy="2257707"/>
                  <wp:effectExtent b="0" l="0" r="0" t="0"/>
                  <wp:docPr descr="" title="" id="97" name="Picture"/>
                  <a:graphic>
                    <a:graphicData uri="http://schemas.openxmlformats.org/drawingml/2006/picture">
                      <pic:pic>
                        <pic:nvPicPr>
                          <pic:cNvPr descr="img/kb10.jpg" id="98" name="Picture"/>
                          <pic:cNvPicPr>
                            <a:picLocks noChangeArrowheads="1" noChangeAspect="1"/>
                          </pic:cNvPicPr>
                        </pic:nvPicPr>
                        <pic:blipFill>
                          <a:blip r:embed="rId96"/>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99"/>
        </w:tc>
      </w:tr>
    </w:tbl>
    <w:bookmarkEnd w:id="100"/>
    <w:bookmarkEnd w:id="101"/>
    <w:bookmarkStart w:id="114" w:name="run-the-rag-notebook"/>
    <w:p>
      <w:pPr>
        <w:pStyle w:val="Heading4"/>
      </w:pPr>
      <w:r>
        <w:t xml:space="preserve">Run the RAG notebook</w:t>
      </w:r>
    </w:p>
    <w:p>
      <w:pPr>
        <w:pStyle w:val="FirstParagraph"/>
      </w:pPr>
      <w:r>
        <w:t xml:space="preserve">Now we are all set to ask some questions off our newly created knowledge base. The CloudFormation template creates a SageMaker Notebook that contains the code to demonstrate this.</w:t>
      </w:r>
    </w:p>
    <w:p>
      <w:pPr>
        <w:numPr>
          <w:ilvl w:val="0"/>
          <w:numId w:val="1008"/>
        </w:numPr>
      </w:pPr>
      <w:r>
        <w:t xml:space="preserve">Navigate to SageMaker Notebooks and find the notebook named</w:t>
      </w:r>
      <w:r>
        <w:t xml:space="preserve"> </w:t>
      </w:r>
      <w:r>
        <w:rPr>
          <w:rStyle w:val="VerbatimChar"/>
        </w:rPr>
        <w:t xml:space="preserve">rag-w-bedrock-kb-notebook</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05" w:name="fig-rag-w-br-nb"/>
          <w:p>
            <w:pPr>
              <w:numPr>
                <w:ilvl w:val="0"/>
                <w:numId w:val="1000"/>
              </w:numPr>
              <w:pStyle w:val="Figure"/>
              <w:jc w:val="center"/>
            </w:pPr>
            <w:r>
              <w:drawing>
                <wp:inline>
                  <wp:extent cx="5334000" cy="2047899"/>
                  <wp:effectExtent b="0" l="0" r="0" t="0"/>
                  <wp:docPr descr="" title="" id="103" name="Picture"/>
                  <a:graphic>
                    <a:graphicData uri="http://schemas.openxmlformats.org/drawingml/2006/picture">
                      <pic:pic>
                        <pic:nvPicPr>
                          <pic:cNvPr descr="img/sm1.jpg" id="104" name="Picture"/>
                          <pic:cNvPicPr>
                            <a:picLocks noChangeArrowheads="1" noChangeAspect="1"/>
                          </pic:cNvPicPr>
                        </pic:nvPicPr>
                        <pic:blipFill>
                          <a:blip r:embed="rId102"/>
                          <a:stretch>
                            <a:fillRect/>
                          </a:stretch>
                        </pic:blipFill>
                        <pic:spPr bwMode="auto">
                          <a:xfrm>
                            <a:off x="0" y="0"/>
                            <a:ext cx="5334000" cy="204789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RAG with Bedrock KB notebook</w:t>
            </w:r>
          </w:p>
          <w:bookmarkEnd w:id="105"/>
        </w:tc>
      </w:tr>
    </w:tbl>
    <w:p>
      <w:pPr>
        <w:numPr>
          <w:ilvl w:val="0"/>
          <w:numId w:val="1008"/>
        </w:numPr>
      </w:pPr>
      <w:r>
        <w:t xml:space="preserve">When the Jupyter lab opens, click on the</w:t>
      </w:r>
      <w:r>
        <w:t xml:space="preserve"> </w:t>
      </w:r>
      <w:r>
        <w:rPr>
          <w:rStyle w:val="VerbatimChar"/>
        </w:rPr>
        <w:t xml:space="preserve">rag_w_bedrock_and_aoss.ipynb</w:t>
      </w:r>
      <w:r>
        <w:t xml:space="preserve"> </w:t>
      </w:r>
      <w:r>
        <w:t xml:space="preserve">to open the notebook.</w:t>
      </w:r>
    </w:p>
    <w:p>
      <w:pPr>
        <w:numPr>
          <w:ilvl w:val="0"/>
          <w:numId w:val="1008"/>
        </w:numPr>
      </w:pPr>
      <w:r>
        <w:t xml:space="preserve">The notebook code demonstrates use of Bedrock, LangChain and opensearch-py packages for implementing the RAG technique for question answering.</w:t>
      </w:r>
    </w:p>
    <w:p>
      <w:pPr>
        <w:numPr>
          <w:ilvl w:val="0"/>
          <w:numId w:val="1008"/>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8"/>
        </w:numPr>
      </w:pPr>
      <w:r>
        <w:t xml:space="preserve">Interface to AOSS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AOSS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8"/>
        </w:numPr>
      </w:pPr>
      <w:r>
        <w:t xml:space="preserve">We combine the prompt and the documents retrieved from AOSS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8"/>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8"/>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09" w:name="fig-rag-wo-context"/>
          <w:p>
            <w:pPr>
              <w:numPr>
                <w:ilvl w:val="0"/>
                <w:numId w:val="1000"/>
              </w:numPr>
              <w:pStyle w:val="Figure"/>
              <w:jc w:val="center"/>
            </w:pPr>
            <w:r>
              <w:drawing>
                <wp:inline>
                  <wp:extent cx="5334000" cy="535311"/>
                  <wp:effectExtent b="0" l="0" r="0" t="0"/>
                  <wp:docPr descr="" title="" id="107" name="Picture"/>
                  <a:graphic>
                    <a:graphicData uri="http://schemas.openxmlformats.org/drawingml/2006/picture">
                      <pic:pic>
                        <pic:nvPicPr>
                          <pic:cNvPr descr="img/kb11-wo-context.png" id="108" name="Picture"/>
                          <pic:cNvPicPr>
                            <a:picLocks noChangeArrowheads="1" noChangeAspect="1"/>
                          </pic:cNvPicPr>
                        </pic:nvPicPr>
                        <pic:blipFill>
                          <a:blip r:embed="rId106"/>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Answer with prompt alone</w:t>
            </w:r>
          </w:p>
          <w:bookmarkEnd w:id="109"/>
        </w:tc>
      </w:tr>
    </w:tbl>
    <w:p>
      <w:pPr>
        <w:numPr>
          <w:ilvl w:val="0"/>
          <w:numId w:val="1008"/>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13" w:name="fig-answer-w-context"/>
          <w:p>
            <w:pPr>
              <w:numPr>
                <w:ilvl w:val="0"/>
                <w:numId w:val="1000"/>
              </w:numPr>
              <w:pStyle w:val="Figure"/>
              <w:jc w:val="center"/>
            </w:pPr>
            <w:r>
              <w:drawing>
                <wp:inline>
                  <wp:extent cx="5334000" cy="2572359"/>
                  <wp:effectExtent b="0" l="0" r="0" t="0"/>
                  <wp:docPr descr="" title="" id="111" name="Picture"/>
                  <a:graphic>
                    <a:graphicData uri="http://schemas.openxmlformats.org/drawingml/2006/picture">
                      <pic:pic>
                        <pic:nvPicPr>
                          <pic:cNvPr descr="img/kb11-w-context.png" id="112" name="Picture"/>
                          <pic:cNvPicPr>
                            <a:picLocks noChangeArrowheads="1" noChangeAspect="1"/>
                          </pic:cNvPicPr>
                        </pic:nvPicPr>
                        <pic:blipFill>
                          <a:blip r:embed="rId110"/>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Answer with prompt and context</w:t>
            </w:r>
          </w:p>
          <w:bookmarkEnd w:id="113"/>
        </w:tc>
      </w:tr>
    </w:tbl>
    <w:bookmarkEnd w:id="114"/>
    <w:bookmarkEnd w:id="115"/>
    <w:bookmarkEnd w:id="116"/>
    <w:bookmarkStart w:id="117"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17"/>
    <w:bookmarkStart w:id="120"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18">
        <w:r>
          <w:rPr>
            <w:rStyle w:val="Hyperlink"/>
          </w:rPr>
          <w:t xml:space="preserve">Amazon Titan</w:t>
        </w:r>
      </w:hyperlink>
      <w:r>
        <w:t xml:space="preserve"> </w:t>
      </w:r>
      <w:r>
        <w:t xml:space="preserve">models,</w:t>
      </w:r>
      <w:r>
        <w:t xml:space="preserve"> </w:t>
      </w:r>
      <w:hyperlink r:id="rId32">
        <w:r>
          <w:rPr>
            <w:rStyle w:val="Hyperlink"/>
          </w:rPr>
          <w:t xml:space="preserve">Amazon Bedrock</w:t>
        </w:r>
      </w:hyperlink>
      <w:r>
        <w:t xml:space="preserve">, and</w:t>
      </w:r>
      <w:r>
        <w:t xml:space="preserve"> </w:t>
      </w:r>
      <w:hyperlink r:id="rId119">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20"/>
    <w:bookmarkStart w:id="121"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55" Target="media/rId55.jpg" /><Relationship Type="http://schemas.openxmlformats.org/officeDocument/2006/relationships/image" Id="rId59" Target="media/rId59.jpg" /><Relationship Type="http://schemas.openxmlformats.org/officeDocument/2006/relationships/image" Id="rId28" Target="media/rId28.pn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96" Target="media/rId96.jpg" /><Relationship Type="http://schemas.openxmlformats.org/officeDocument/2006/relationships/image" Id="rId110" Target="media/rId110.png" /><Relationship Type="http://schemas.openxmlformats.org/officeDocument/2006/relationships/image" Id="rId106" Target="media/rId106.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02" Target="media/rId102.jpg" /><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539/template.yaml" TargetMode="External" /><Relationship Type="http://schemas.openxmlformats.org/officeDocument/2006/relationships/hyperlink" Id="rId41" Target="https://console.aws.amazon.com/cloudformation/home?region=us-west-2#/stacks/new?stackName=rag-w-bedrock-kb&amp;templateURL=https://aws-blogs-artifacts-public.s3.amazonaws.com/artifacts/ML-15539/template.ya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539/template.yaml" TargetMode="External" /><Relationship Type="http://schemas.openxmlformats.org/officeDocument/2006/relationships/hyperlink" Id="rId41" Target="https://console.aws.amazon.com/cloudformation/home?region=us-west-2#/stacks/new?stackName=rag-w-bedrock-kb&amp;templateURL=https://aws-blogs-artifacts-public.s3.amazonaws.com/artifacts/ML-15539/template.ya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2023-10-03T13:09:10Z</dcterms:created>
  <dcterms:modified xsi:type="dcterms:W3CDTF">2023-10-03T13:09:10Z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