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4EC7" w14:textId="6770237E" w:rsidR="00276184" w:rsidRDefault="00276184" w:rsidP="00276184">
      <w:pPr>
        <w:rPr>
          <w:lang w:val="en-AU"/>
        </w:rPr>
      </w:pPr>
      <w:r>
        <w:rPr>
          <w:lang w:val="en-AU"/>
        </w:rPr>
        <w:t>Well-Architected Pillars – Guidance Template</w:t>
      </w:r>
    </w:p>
    <w:p w14:paraId="26E97BD4" w14:textId="77777777" w:rsidR="00575693" w:rsidRDefault="00575693" w:rsidP="00276184">
      <w:pPr>
        <w:ind w:left="0"/>
        <w:rPr>
          <w:lang w:val="en-AU"/>
        </w:rPr>
      </w:pPr>
    </w:p>
    <w:p w14:paraId="4AA18B9F" w14:textId="401A2204" w:rsidR="00575693" w:rsidRDefault="00575693" w:rsidP="00276184">
      <w:pPr>
        <w:ind w:left="0"/>
        <w:rPr>
          <w:lang w:val="en-AU"/>
        </w:rPr>
      </w:pPr>
      <w:r>
        <w:rPr>
          <w:lang w:val="en-AU"/>
        </w:rPr>
        <w:t>Guidance Name:</w:t>
      </w:r>
      <w:r w:rsidR="00D76519">
        <w:rPr>
          <w:lang w:val="en-AU"/>
        </w:rPr>
        <w:t xml:space="preserve"> Redshift DevOps</w:t>
      </w:r>
    </w:p>
    <w:p w14:paraId="59A1E008" w14:textId="53D46B77" w:rsidR="00575693" w:rsidRDefault="00575693" w:rsidP="00276184">
      <w:pPr>
        <w:ind w:left="0"/>
        <w:rPr>
          <w:lang w:val="en-AU"/>
        </w:rPr>
      </w:pPr>
      <w:r>
        <w:rPr>
          <w:lang w:val="en-AU"/>
        </w:rPr>
        <w:t>Solution Domain name:</w:t>
      </w:r>
      <w:r w:rsidR="00D76519">
        <w:rPr>
          <w:lang w:val="en-AU"/>
        </w:rPr>
        <w:t xml:space="preserve"> Analytics</w:t>
      </w:r>
    </w:p>
    <w:p w14:paraId="7EB0725C" w14:textId="1C5A32F1" w:rsidR="00575693" w:rsidRDefault="00575693" w:rsidP="00276184">
      <w:pPr>
        <w:ind w:left="0"/>
        <w:rPr>
          <w:lang w:val="en-AU"/>
        </w:rPr>
      </w:pPr>
      <w:r>
        <w:rPr>
          <w:lang w:val="en-AU"/>
        </w:rPr>
        <w:t>Guidance Owner/Team:</w:t>
      </w:r>
      <w:r w:rsidR="00D76519">
        <w:rPr>
          <w:lang w:val="en-AU"/>
        </w:rPr>
        <w:t xml:space="preserve"> jeesri@/WWSO Analytics team</w:t>
      </w:r>
    </w:p>
    <w:p w14:paraId="7EAB4279" w14:textId="0B2227A0" w:rsidR="00CB4AB7" w:rsidRDefault="00CB4AB7" w:rsidP="00276184">
      <w:pPr>
        <w:ind w:left="0"/>
        <w:rPr>
          <w:lang w:val="en-AU"/>
        </w:rPr>
      </w:pPr>
    </w:p>
    <w:p w14:paraId="3856EEC8" w14:textId="6912D59B" w:rsidR="00CB4AB7" w:rsidRDefault="00CB4AB7" w:rsidP="00276184">
      <w:pPr>
        <w:ind w:left="0"/>
        <w:rPr>
          <w:lang w:val="en-AU"/>
        </w:rPr>
      </w:pPr>
      <w:r>
        <w:rPr>
          <w:lang w:val="en-AU"/>
        </w:rPr>
        <w:t>For each pillar you must answer between one and three of the provided questions.</w:t>
      </w:r>
      <w:r w:rsidR="00665BBB">
        <w:rPr>
          <w:lang w:val="en-AU"/>
        </w:rPr>
        <w:t xml:space="preserve"> Answers should be within the context of the content produced (</w:t>
      </w:r>
      <w:proofErr w:type="spellStart"/>
      <w:r w:rsidR="00665BBB">
        <w:rPr>
          <w:lang w:val="en-AU"/>
        </w:rPr>
        <w:t>e.g</w:t>
      </w:r>
      <w:proofErr w:type="spellEnd"/>
      <w:r w:rsidR="00665BBB">
        <w:rPr>
          <w:lang w:val="en-AU"/>
        </w:rPr>
        <w:t xml:space="preserve"> avoid referencing things that are not shown to the user).</w:t>
      </w:r>
      <w:r>
        <w:rPr>
          <w:lang w:val="en-AU"/>
        </w:rPr>
        <w:t xml:space="preserve"> The relevant </w:t>
      </w:r>
      <w:r w:rsidR="0031500A">
        <w:rPr>
          <w:lang w:val="en-AU"/>
        </w:rPr>
        <w:t>focus areas</w:t>
      </w:r>
      <w:r>
        <w:rPr>
          <w:lang w:val="en-AU"/>
        </w:rPr>
        <w:t xml:space="preserve"> alongside the pillar’s whitepaper will be shared with customers.</w:t>
      </w:r>
    </w:p>
    <w:p w14:paraId="468119D9" w14:textId="61C97C83" w:rsidR="00CD4D02" w:rsidRDefault="00CD4D02" w:rsidP="00276184">
      <w:pPr>
        <w:ind w:left="0"/>
        <w:rPr>
          <w:lang w:val="en-AU"/>
        </w:rPr>
      </w:pP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560"/>
        <w:gridCol w:w="3029"/>
        <w:gridCol w:w="3087"/>
        <w:gridCol w:w="1344"/>
      </w:tblGrid>
      <w:tr w:rsidR="009965C9" w14:paraId="75982F8A" w14:textId="77777777" w:rsidTr="00616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14733944" w14:textId="146723A7" w:rsidR="009965C9" w:rsidRDefault="009965C9" w:rsidP="00276184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Pillar</w:t>
            </w:r>
          </w:p>
        </w:tc>
        <w:tc>
          <w:tcPr>
            <w:tcW w:w="3029" w:type="dxa"/>
          </w:tcPr>
          <w:p w14:paraId="23689D9A" w14:textId="77DBA1B7" w:rsidR="009965C9" w:rsidRDefault="009965C9" w:rsidP="002761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Question</w:t>
            </w:r>
          </w:p>
        </w:tc>
        <w:tc>
          <w:tcPr>
            <w:tcW w:w="3087" w:type="dxa"/>
          </w:tcPr>
          <w:p w14:paraId="3BBF3DF3" w14:textId="0BD1D283" w:rsidR="009965C9" w:rsidRDefault="009965C9" w:rsidP="002761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Answer</w:t>
            </w:r>
          </w:p>
        </w:tc>
        <w:tc>
          <w:tcPr>
            <w:tcW w:w="1344" w:type="dxa"/>
          </w:tcPr>
          <w:p w14:paraId="7F72E3C0" w14:textId="0EFF97CA" w:rsidR="009965C9" w:rsidRDefault="004C430C" w:rsidP="002761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Focus Area</w:t>
            </w:r>
          </w:p>
        </w:tc>
      </w:tr>
      <w:tr w:rsidR="009965C9" w14:paraId="6B5FCA33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11622A" w14:textId="3E7E2AE3" w:rsidR="009965C9" w:rsidRDefault="009965C9" w:rsidP="00276184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Cost Optimization</w:t>
            </w:r>
          </w:p>
        </w:tc>
        <w:tc>
          <w:tcPr>
            <w:tcW w:w="3029" w:type="dxa"/>
          </w:tcPr>
          <w:p w14:paraId="60EFB714" w14:textId="2D8AB572" w:rsidR="009965C9" w:rsidRDefault="009965C9" w:rsidP="002761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1751C9">
              <w:rPr>
                <w:lang w:val="en-AU"/>
              </w:rPr>
              <w:t>How do you evaluate cost when you select services?</w:t>
            </w:r>
          </w:p>
        </w:tc>
        <w:tc>
          <w:tcPr>
            <w:tcW w:w="3087" w:type="dxa"/>
          </w:tcPr>
          <w:p w14:paraId="687866FB" w14:textId="14C56054" w:rsidR="009965C9" w:rsidRDefault="00134A1E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services except EC2 instance are serverless on-demand instance. </w:t>
            </w:r>
            <w:r w:rsidR="00A80A71">
              <w:t>CFN deploys the guidance in a clean VPC to display cost associated with the solution</w:t>
            </w:r>
          </w:p>
        </w:tc>
        <w:tc>
          <w:tcPr>
            <w:tcW w:w="1344" w:type="dxa"/>
          </w:tcPr>
          <w:p w14:paraId="674F6197" w14:textId="50A262F1" w:rsidR="009965C9" w:rsidRPr="001751C9" w:rsidRDefault="0000000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7" w:history="1">
              <w:r w:rsidR="006168E6" w:rsidRPr="00F536F6">
                <w:rPr>
                  <w:rStyle w:val="Hyperlink"/>
                </w:rPr>
                <w:t>Cost Effective Resources</w:t>
              </w:r>
            </w:hyperlink>
          </w:p>
        </w:tc>
      </w:tr>
      <w:tr w:rsidR="009965C9" w14:paraId="20010004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E81918" w14:textId="77777777" w:rsidR="009965C9" w:rsidRDefault="009965C9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53178B14" w14:textId="72680B77" w:rsidR="009965C9" w:rsidRPr="00990339" w:rsidRDefault="009965C9" w:rsidP="002761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1751C9">
              <w:rPr>
                <w:lang w:val="en-AU"/>
              </w:rPr>
              <w:t>How do you plan for data transfer charges?</w:t>
            </w:r>
          </w:p>
        </w:tc>
        <w:tc>
          <w:tcPr>
            <w:tcW w:w="3087" w:type="dxa"/>
          </w:tcPr>
          <w:p w14:paraId="02B7113F" w14:textId="19FA311A" w:rsidR="009965C9" w:rsidRDefault="00A80A71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data transfer; Any data copy operation assumes data to be already in S3</w:t>
            </w:r>
          </w:p>
        </w:tc>
        <w:tc>
          <w:tcPr>
            <w:tcW w:w="1344" w:type="dxa"/>
          </w:tcPr>
          <w:p w14:paraId="493F648B" w14:textId="6E13A53D" w:rsidR="009965C9" w:rsidRPr="001751C9" w:rsidRDefault="00000000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8" w:history="1">
              <w:r w:rsidR="009965C9" w:rsidRPr="001751C9">
                <w:rPr>
                  <w:rStyle w:val="Hyperlink"/>
                  <w:lang w:val="en-AU"/>
                </w:rPr>
                <w:t>Cost Effective Resources</w:t>
              </w:r>
            </w:hyperlink>
          </w:p>
        </w:tc>
      </w:tr>
      <w:tr w:rsidR="006168E6" w14:paraId="2C4462F7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C2364A" w14:textId="53C4645D" w:rsidR="006168E6" w:rsidRDefault="006168E6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29A96776" w14:textId="24FBF761" w:rsidR="006168E6" w:rsidRPr="001751C9" w:rsidRDefault="006168E6" w:rsidP="002761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36F6">
              <w:t>How do you use pricing models to reduce cost?</w:t>
            </w:r>
          </w:p>
        </w:tc>
        <w:tc>
          <w:tcPr>
            <w:tcW w:w="3087" w:type="dxa"/>
          </w:tcPr>
          <w:p w14:paraId="62F2E4A5" w14:textId="6B4120DC" w:rsidR="006168E6" w:rsidRDefault="00A80A71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 is based on serverless pay per use model</w:t>
            </w:r>
          </w:p>
        </w:tc>
        <w:tc>
          <w:tcPr>
            <w:tcW w:w="1344" w:type="dxa"/>
          </w:tcPr>
          <w:p w14:paraId="1B3A726C" w14:textId="385F5E76" w:rsidR="006168E6" w:rsidRDefault="0000000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168E6" w:rsidRPr="00F536F6">
                <w:rPr>
                  <w:rStyle w:val="Hyperlink"/>
                </w:rPr>
                <w:t>Cost Effective Resources</w:t>
              </w:r>
            </w:hyperlink>
          </w:p>
        </w:tc>
      </w:tr>
      <w:tr w:rsidR="009965C9" w14:paraId="104C4D54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F60A59" w14:textId="77777777" w:rsidR="009965C9" w:rsidRDefault="009965C9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07F7EF06" w14:textId="24D5CAB5" w:rsidR="009965C9" w:rsidRDefault="009965C9" w:rsidP="002761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1751C9">
              <w:rPr>
                <w:lang w:val="en-AU"/>
              </w:rPr>
              <w:t>How does th</w:t>
            </w:r>
            <w:r>
              <w:rPr>
                <w:lang w:val="en-AU"/>
              </w:rPr>
              <w:t>is Guidance</w:t>
            </w:r>
            <w:r w:rsidRPr="001751C9">
              <w:rPr>
                <w:lang w:val="en-AU"/>
              </w:rPr>
              <w:t xml:space="preserve"> scales to continually match the demand and ensure that only the minimum resources required?</w:t>
            </w:r>
          </w:p>
        </w:tc>
        <w:tc>
          <w:tcPr>
            <w:tcW w:w="3087" w:type="dxa"/>
          </w:tcPr>
          <w:p w14:paraId="329C3BE9" w14:textId="73FEB4D0" w:rsidR="009965C9" w:rsidRDefault="00A80A71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components of guidance is based on serverless AWS components except EC2 instance. If there is no activity then the only charges incurred would be for EC2</w:t>
            </w:r>
          </w:p>
        </w:tc>
        <w:tc>
          <w:tcPr>
            <w:tcW w:w="1344" w:type="dxa"/>
          </w:tcPr>
          <w:p w14:paraId="4D9961DE" w14:textId="441D4992" w:rsidR="009965C9" w:rsidRPr="001751C9" w:rsidRDefault="00000000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10" w:history="1">
              <w:r w:rsidR="009965C9" w:rsidRPr="001751C9">
                <w:rPr>
                  <w:rStyle w:val="Hyperlink"/>
                  <w:lang w:val="en-AU"/>
                </w:rPr>
                <w:t>Manage Demand and Supply Resources</w:t>
              </w:r>
            </w:hyperlink>
          </w:p>
        </w:tc>
      </w:tr>
      <w:tr w:rsidR="009965C9" w14:paraId="696F67CF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A18DD6" w14:textId="79562D44" w:rsidR="009965C9" w:rsidRDefault="009965C9" w:rsidP="00276184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Security</w:t>
            </w:r>
          </w:p>
        </w:tc>
        <w:tc>
          <w:tcPr>
            <w:tcW w:w="3029" w:type="dxa"/>
          </w:tcPr>
          <w:p w14:paraId="0CCB3F42" w14:textId="4F37F70C" w:rsidR="009965C9" w:rsidRPr="001751C9" w:rsidRDefault="006168E6" w:rsidP="002761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168E6">
              <w:rPr>
                <w:lang w:val="en-AU"/>
              </w:rPr>
              <w:t>What design decision have been factored for secure Authentication and Authorisation mechanism, for people and machine access in this Guidance?</w:t>
            </w:r>
          </w:p>
        </w:tc>
        <w:tc>
          <w:tcPr>
            <w:tcW w:w="3087" w:type="dxa"/>
          </w:tcPr>
          <w:p w14:paraId="2A695DA1" w14:textId="4F9D7DB8" w:rsidR="009965C9" w:rsidRDefault="00A80A71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leverages authenticating EC2 log on using private key; IAM policies with minimal access to services are configured for AWS services to interact; Non root accounts are used to execute scripts/workload on EC2 instance</w:t>
            </w:r>
          </w:p>
        </w:tc>
        <w:tc>
          <w:tcPr>
            <w:tcW w:w="1344" w:type="dxa"/>
          </w:tcPr>
          <w:p w14:paraId="6C468BD5" w14:textId="2EB32A45" w:rsidR="009965C9" w:rsidRDefault="0000000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11" w:history="1">
              <w:r w:rsidR="009965C9" w:rsidRPr="001751C9">
                <w:rPr>
                  <w:rStyle w:val="Hyperlink"/>
                  <w:lang w:val="en-AU"/>
                </w:rPr>
                <w:t>Identity and Access Management</w:t>
              </w:r>
            </w:hyperlink>
          </w:p>
        </w:tc>
      </w:tr>
      <w:tr w:rsidR="009965C9" w14:paraId="6DDBBD77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56BB4A" w14:textId="77777777" w:rsidR="009965C9" w:rsidRDefault="009965C9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3C5BB5B0" w14:textId="6216EED8" w:rsidR="009965C9" w:rsidRPr="001751C9" w:rsidRDefault="009965C9" w:rsidP="002761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1751C9">
              <w:rPr>
                <w:lang w:val="en-AU"/>
              </w:rPr>
              <w:t xml:space="preserve">How do you protect </w:t>
            </w:r>
            <w:r>
              <w:rPr>
                <w:lang w:val="en-AU"/>
              </w:rPr>
              <w:t>resources</w:t>
            </w:r>
            <w:r w:rsidRPr="001751C9">
              <w:rPr>
                <w:lang w:val="en-AU"/>
              </w:rPr>
              <w:t xml:space="preserve"> in this </w:t>
            </w:r>
            <w:r>
              <w:rPr>
                <w:lang w:val="en-AU"/>
              </w:rPr>
              <w:t>Guidance</w:t>
            </w:r>
            <w:r w:rsidRPr="001751C9">
              <w:rPr>
                <w:lang w:val="en-AU"/>
              </w:rPr>
              <w:t>?</w:t>
            </w:r>
          </w:p>
        </w:tc>
        <w:tc>
          <w:tcPr>
            <w:tcW w:w="3087" w:type="dxa"/>
          </w:tcPr>
          <w:p w14:paraId="696F9414" w14:textId="2881D58F" w:rsidR="009965C9" w:rsidRDefault="009965C9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14:paraId="2555F66F" w14:textId="2739A4AF" w:rsidR="009965C9" w:rsidRDefault="00000000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12" w:history="1">
              <w:r w:rsidR="009965C9" w:rsidRPr="001751C9">
                <w:rPr>
                  <w:rStyle w:val="Hyperlink"/>
                  <w:lang w:val="en-AU"/>
                </w:rPr>
                <w:t>Infrastructure Protection</w:t>
              </w:r>
            </w:hyperlink>
          </w:p>
        </w:tc>
      </w:tr>
      <w:tr w:rsidR="009965C9" w14:paraId="178B248E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155C6C" w14:textId="77777777" w:rsidR="009965C9" w:rsidRDefault="009965C9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5A878E06" w14:textId="4E042E11" w:rsidR="009965C9" w:rsidRPr="001751C9" w:rsidRDefault="009965C9" w:rsidP="002761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How do you protect data in this Guidance?</w:t>
            </w:r>
          </w:p>
        </w:tc>
        <w:tc>
          <w:tcPr>
            <w:tcW w:w="3087" w:type="dxa"/>
          </w:tcPr>
          <w:p w14:paraId="6437894F" w14:textId="7EB3586F" w:rsidR="009965C9" w:rsidRDefault="00F7287B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minimal customer data most of the guidance is configuration and code</w:t>
            </w:r>
          </w:p>
        </w:tc>
        <w:tc>
          <w:tcPr>
            <w:tcW w:w="1344" w:type="dxa"/>
          </w:tcPr>
          <w:p w14:paraId="1D606EE6" w14:textId="7890C08B" w:rsidR="009965C9" w:rsidRDefault="0000000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13" w:history="1">
              <w:r w:rsidR="009965C9" w:rsidRPr="001751C9">
                <w:rPr>
                  <w:rStyle w:val="Hyperlink"/>
                  <w:lang w:val="en-AU"/>
                </w:rPr>
                <w:t>Data Protection</w:t>
              </w:r>
            </w:hyperlink>
          </w:p>
        </w:tc>
      </w:tr>
      <w:tr w:rsidR="009965C9" w14:paraId="456A422D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EB809F" w14:textId="65A484DF" w:rsidR="009965C9" w:rsidRDefault="009965C9" w:rsidP="00276184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Reliability</w:t>
            </w:r>
          </w:p>
        </w:tc>
        <w:tc>
          <w:tcPr>
            <w:tcW w:w="3029" w:type="dxa"/>
          </w:tcPr>
          <w:p w14:paraId="1FB20597" w14:textId="6A9D4E1F" w:rsidR="009965C9" w:rsidRDefault="006168E6" w:rsidP="002761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168E6">
              <w:rPr>
                <w:lang w:val="en-AU"/>
              </w:rPr>
              <w:t>How does this Guidance implement a highly available network topology?</w:t>
            </w:r>
          </w:p>
        </w:tc>
        <w:tc>
          <w:tcPr>
            <w:tcW w:w="3087" w:type="dxa"/>
          </w:tcPr>
          <w:p w14:paraId="050174E9" w14:textId="35202B76" w:rsidR="009965C9" w:rsidRDefault="00F7287B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Guidance uses AWS best practices for creating and defining the VPC </w:t>
            </w:r>
          </w:p>
        </w:tc>
        <w:tc>
          <w:tcPr>
            <w:tcW w:w="1344" w:type="dxa"/>
          </w:tcPr>
          <w:p w14:paraId="0B8D43AF" w14:textId="419B7C6F" w:rsidR="009965C9" w:rsidRDefault="00000000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14" w:history="1">
              <w:r w:rsidR="009965C9" w:rsidRPr="00A7772F">
                <w:rPr>
                  <w:rStyle w:val="Hyperlink"/>
                  <w:lang w:val="en-AU"/>
                </w:rPr>
                <w:t>Foundation</w:t>
              </w:r>
            </w:hyperlink>
          </w:p>
        </w:tc>
      </w:tr>
      <w:tr w:rsidR="006168E6" w14:paraId="5E404398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B69348" w14:textId="77777777" w:rsidR="006168E6" w:rsidRDefault="006168E6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453CEADA" w14:textId="626DF895" w:rsidR="006168E6" w:rsidRPr="006168E6" w:rsidRDefault="006168E6" w:rsidP="002761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77A02">
              <w:t>Are there any limits or constraints that may affect reliability, that the implementer needs to be aware of?</w:t>
            </w:r>
          </w:p>
        </w:tc>
        <w:tc>
          <w:tcPr>
            <w:tcW w:w="3087" w:type="dxa"/>
          </w:tcPr>
          <w:p w14:paraId="4D0A81CA" w14:textId="06C838C4" w:rsidR="006168E6" w:rsidRDefault="001A16C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14:paraId="2721FEFF" w14:textId="23537363" w:rsidR="006168E6" w:rsidRDefault="0000000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>HYPERLINK "https://docs.aws.amazon.com/wellarchitected/latest/reliability-pillar/foundations.html"</w:instrText>
            </w:r>
            <w:r>
              <w:fldChar w:fldCharType="separate"/>
            </w:r>
            <w:r w:rsidR="006168E6" w:rsidRPr="00A7772F">
              <w:rPr>
                <w:rStyle w:val="Hyperlink"/>
                <w:lang w:val="en-AU"/>
              </w:rPr>
              <w:t>Foundation</w:t>
            </w:r>
            <w:r>
              <w:rPr>
                <w:rStyle w:val="Hyperlink"/>
                <w:lang w:val="en-AU"/>
              </w:rPr>
              <w:fldChar w:fldCharType="end"/>
            </w:r>
          </w:p>
        </w:tc>
      </w:tr>
      <w:tr w:rsidR="009965C9" w14:paraId="1D9FE266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E21017" w14:textId="77777777" w:rsidR="009965C9" w:rsidRDefault="009965C9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268FF861" w14:textId="3E257374" w:rsidR="009965C9" w:rsidRDefault="006168E6" w:rsidP="002761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168E6">
              <w:rPr>
                <w:lang w:val="en-AU"/>
              </w:rPr>
              <w:t>How does this Guidance implement a reliable application-level architecture? (</w:t>
            </w:r>
            <w:proofErr w:type="gramStart"/>
            <w:r w:rsidRPr="006168E6">
              <w:rPr>
                <w:lang w:val="en-AU"/>
              </w:rPr>
              <w:t>for</w:t>
            </w:r>
            <w:proofErr w:type="gramEnd"/>
            <w:r w:rsidRPr="006168E6">
              <w:rPr>
                <w:lang w:val="en-AU"/>
              </w:rPr>
              <w:t xml:space="preserve"> example: </w:t>
            </w:r>
            <w:r w:rsidRPr="006168E6">
              <w:rPr>
                <w:lang w:val="en-AU"/>
              </w:rPr>
              <w:lastRenderedPageBreak/>
              <w:t>loosely coupled dependencies, throttling, retry limits, stateless compute)</w:t>
            </w:r>
          </w:p>
        </w:tc>
        <w:tc>
          <w:tcPr>
            <w:tcW w:w="3087" w:type="dxa"/>
          </w:tcPr>
          <w:p w14:paraId="1A3529F4" w14:textId="175251F6" w:rsidR="009965C9" w:rsidRDefault="00F7287B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Guidance saves container config in ec2 directory. Jenkins container becomes stateless by </w:t>
            </w:r>
            <w:r>
              <w:lastRenderedPageBreak/>
              <w:t xml:space="preserve">copying the configuration directly from the ec2 server instance. </w:t>
            </w:r>
          </w:p>
        </w:tc>
        <w:tc>
          <w:tcPr>
            <w:tcW w:w="1344" w:type="dxa"/>
          </w:tcPr>
          <w:p w14:paraId="7C3879A6" w14:textId="23EEC62B" w:rsidR="009965C9" w:rsidRDefault="00000000" w:rsidP="001751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15" w:history="1">
              <w:r w:rsidR="009965C9" w:rsidRPr="00A7772F">
                <w:rPr>
                  <w:rStyle w:val="Hyperlink"/>
                  <w:lang w:val="en-AU"/>
                </w:rPr>
                <w:t>Architecture</w:t>
              </w:r>
            </w:hyperlink>
          </w:p>
        </w:tc>
      </w:tr>
      <w:tr w:rsidR="009965C9" w14:paraId="19448A4A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55EF80" w14:textId="77777777" w:rsidR="009965C9" w:rsidRDefault="009965C9" w:rsidP="00276184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76D1E1A2" w14:textId="2A2920A8" w:rsidR="009965C9" w:rsidRDefault="006168E6" w:rsidP="002761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168E6">
              <w:rPr>
                <w:lang w:val="en-AU"/>
              </w:rPr>
              <w:t>How does this Guidance implement logs and metrics and send notifications when thresholds are crossed or significant events occur?</w:t>
            </w:r>
          </w:p>
        </w:tc>
        <w:tc>
          <w:tcPr>
            <w:tcW w:w="3087" w:type="dxa"/>
          </w:tcPr>
          <w:p w14:paraId="37252928" w14:textId="1F7A20AD" w:rsidR="009965C9" w:rsidRDefault="00F7287B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Logs and metrics are captured directly within the EC2 instance and cloud watch </w:t>
            </w:r>
            <w:proofErr w:type="spellStart"/>
            <w:r>
              <w:t>log</w:t>
            </w:r>
            <w:proofErr w:type="spellEnd"/>
            <w:r>
              <w:t xml:space="preserve"> group for the solution created</w:t>
            </w:r>
          </w:p>
        </w:tc>
        <w:tc>
          <w:tcPr>
            <w:tcW w:w="1344" w:type="dxa"/>
          </w:tcPr>
          <w:p w14:paraId="6CC9EAE0" w14:textId="04973050" w:rsidR="009965C9" w:rsidRDefault="00000000" w:rsidP="001751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16" w:history="1">
              <w:r w:rsidR="009965C9" w:rsidRPr="00A7772F">
                <w:rPr>
                  <w:rStyle w:val="Hyperlink"/>
                  <w:lang w:val="en-AU"/>
                </w:rPr>
                <w:t>Change Management</w:t>
              </w:r>
            </w:hyperlink>
          </w:p>
        </w:tc>
      </w:tr>
      <w:tr w:rsidR="006168E6" w14:paraId="0421FC75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E15B72" w14:textId="77777777" w:rsidR="006168E6" w:rsidRDefault="006168E6" w:rsidP="006168E6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507DF303" w14:textId="3AB4AECF" w:rsidR="006168E6" w:rsidRPr="006168E6" w:rsidRDefault="006168E6" w:rsidP="006168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168E6">
              <w:rPr>
                <w:lang w:val="en-AU"/>
              </w:rPr>
              <w:t>How does this Guidance adapt to changes imposed on it, such as changes in demand?</w:t>
            </w:r>
          </w:p>
        </w:tc>
        <w:tc>
          <w:tcPr>
            <w:tcW w:w="3087" w:type="dxa"/>
          </w:tcPr>
          <w:p w14:paraId="0AE0A8B0" w14:textId="6C74B7F6" w:rsidR="006168E6" w:rsidRDefault="00F7287B" w:rsidP="006168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44" w:type="dxa"/>
          </w:tcPr>
          <w:p w14:paraId="67B41F4F" w14:textId="76DD3285" w:rsidR="006168E6" w:rsidRDefault="00000000" w:rsidP="006168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168E6" w:rsidRPr="00A7772F">
                <w:rPr>
                  <w:rStyle w:val="Hyperlink"/>
                  <w:lang w:val="en-AU"/>
                </w:rPr>
                <w:t>Change Management</w:t>
              </w:r>
            </w:hyperlink>
          </w:p>
        </w:tc>
      </w:tr>
      <w:tr w:rsidR="006168E6" w14:paraId="37CD4F26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DF32C6" w14:textId="77777777" w:rsidR="006168E6" w:rsidRDefault="006168E6" w:rsidP="006168E6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14AB9CD1" w14:textId="4035DE1F" w:rsidR="006168E6" w:rsidRPr="006168E6" w:rsidRDefault="006168E6" w:rsidP="006168E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168E6">
              <w:rPr>
                <w:lang w:val="en-AU"/>
              </w:rPr>
              <w:t>How does this Guidance implement required changes such as deployments and configuration changes?</w:t>
            </w:r>
          </w:p>
        </w:tc>
        <w:tc>
          <w:tcPr>
            <w:tcW w:w="3087" w:type="dxa"/>
          </w:tcPr>
          <w:p w14:paraId="16ABAAF6" w14:textId="5A2C2DA2" w:rsidR="006168E6" w:rsidRDefault="00F7287B" w:rsidP="006168E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changes are committed to the </w:t>
            </w:r>
            <w:proofErr w:type="spellStart"/>
            <w:r>
              <w:t>git</w:t>
            </w:r>
            <w:proofErr w:type="spellEnd"/>
            <w:r>
              <w:t xml:space="preserve"> repo, triggering off an automatic code build and deploy to execute on specified Redshift instance</w:t>
            </w:r>
            <w:r w:rsidR="00EE13B3">
              <w:t>.</w:t>
            </w:r>
          </w:p>
        </w:tc>
        <w:tc>
          <w:tcPr>
            <w:tcW w:w="1344" w:type="dxa"/>
          </w:tcPr>
          <w:p w14:paraId="52CA5936" w14:textId="78B3AD31" w:rsidR="006168E6" w:rsidRDefault="00000000" w:rsidP="006168E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6168E6" w:rsidRPr="00A7772F">
                <w:rPr>
                  <w:rStyle w:val="Hyperlink"/>
                  <w:lang w:val="en-AU"/>
                </w:rPr>
                <w:t>Change Management</w:t>
              </w:r>
            </w:hyperlink>
          </w:p>
        </w:tc>
      </w:tr>
      <w:tr w:rsidR="006168E6" w14:paraId="5C157C4F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583567" w14:textId="77777777" w:rsidR="006168E6" w:rsidRDefault="006168E6" w:rsidP="006168E6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5D057A12" w14:textId="3F5BD1E2" w:rsidR="006168E6" w:rsidRDefault="00C26B77" w:rsidP="006168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does this Guidance implement data backup and recovery?</w:t>
            </w:r>
          </w:p>
        </w:tc>
        <w:tc>
          <w:tcPr>
            <w:tcW w:w="3087" w:type="dxa"/>
          </w:tcPr>
          <w:p w14:paraId="0D988CA8" w14:textId="15D01EE4" w:rsidR="006168E6" w:rsidRDefault="00EE13B3" w:rsidP="006168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is managed in GitHub. Any Configuration in ec2 server instance is backed on s3</w:t>
            </w:r>
          </w:p>
        </w:tc>
        <w:tc>
          <w:tcPr>
            <w:tcW w:w="1344" w:type="dxa"/>
          </w:tcPr>
          <w:p w14:paraId="3628F395" w14:textId="27A8B0EF" w:rsidR="006168E6" w:rsidRDefault="00000000" w:rsidP="006168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19" w:history="1">
              <w:r w:rsidR="006168E6" w:rsidRPr="00A7772F">
                <w:rPr>
                  <w:rStyle w:val="Hyperlink"/>
                  <w:lang w:val="en-AU"/>
                </w:rPr>
                <w:t>Failure Management</w:t>
              </w:r>
            </w:hyperlink>
          </w:p>
        </w:tc>
      </w:tr>
      <w:tr w:rsidR="00C26B77" w14:paraId="35176666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4C3681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04D3B93A" w14:textId="1B7C4A51" w:rsidR="00C26B77" w:rsidRPr="00C26B77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does this Guidance implement resilience to failures?</w:t>
            </w:r>
          </w:p>
        </w:tc>
        <w:tc>
          <w:tcPr>
            <w:tcW w:w="3087" w:type="dxa"/>
          </w:tcPr>
          <w:p w14:paraId="497588B0" w14:textId="7C0274FA" w:rsidR="00C26B77" w:rsidRDefault="00EE13B3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 is stateless and can be restarted; The core pipeline checkpoints last execution step and saves it to s3</w:t>
            </w:r>
          </w:p>
        </w:tc>
        <w:tc>
          <w:tcPr>
            <w:tcW w:w="1344" w:type="dxa"/>
          </w:tcPr>
          <w:p w14:paraId="3D099EA1" w14:textId="5F661E73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C26B77" w:rsidRPr="00A7772F">
                <w:rPr>
                  <w:rStyle w:val="Hyperlink"/>
                  <w:lang w:val="en-AU"/>
                </w:rPr>
                <w:t>Failure Management</w:t>
              </w:r>
            </w:hyperlink>
          </w:p>
        </w:tc>
      </w:tr>
      <w:tr w:rsidR="00C26B77" w14:paraId="6ED8D3C2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0E7DD1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05FDA69A" w14:textId="5E1B9B1A" w:rsidR="00C26B77" w:rsidRPr="00C26B77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Does this Guidance enable testing of reliability?</w:t>
            </w:r>
          </w:p>
        </w:tc>
        <w:tc>
          <w:tcPr>
            <w:tcW w:w="3087" w:type="dxa"/>
          </w:tcPr>
          <w:p w14:paraId="6EED1618" w14:textId="265DD8AF" w:rsidR="00C26B77" w:rsidRDefault="00EE13B3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44" w:type="dxa"/>
          </w:tcPr>
          <w:p w14:paraId="187580BF" w14:textId="3C026CA3" w:rsid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C26B77" w:rsidRPr="00A7772F">
                <w:rPr>
                  <w:rStyle w:val="Hyperlink"/>
                  <w:lang w:val="en-AU"/>
                </w:rPr>
                <w:t>Failure Management</w:t>
              </w:r>
            </w:hyperlink>
          </w:p>
        </w:tc>
      </w:tr>
      <w:tr w:rsidR="00C26B77" w14:paraId="0DAEFC70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849DAF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6DA1EE1B" w14:textId="53BC9450" w:rsidR="00C26B77" w:rsidRPr="00C26B77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Does this Guidance enable recovery from disaster events?</w:t>
            </w:r>
          </w:p>
        </w:tc>
        <w:tc>
          <w:tcPr>
            <w:tcW w:w="3087" w:type="dxa"/>
          </w:tcPr>
          <w:p w14:paraId="7838701A" w14:textId="19460740" w:rsidR="00C26B77" w:rsidRDefault="00EE13B3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depending on how the code is deployed for Redshift. Users can clear check point marker and execute all the DDL/DML statements</w:t>
            </w:r>
          </w:p>
        </w:tc>
        <w:tc>
          <w:tcPr>
            <w:tcW w:w="1344" w:type="dxa"/>
          </w:tcPr>
          <w:p w14:paraId="28317DAC" w14:textId="0AE3648F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C26B77" w:rsidRPr="00A7772F">
                <w:rPr>
                  <w:rStyle w:val="Hyperlink"/>
                  <w:lang w:val="en-AU"/>
                </w:rPr>
                <w:t>Failure Management</w:t>
              </w:r>
            </w:hyperlink>
          </w:p>
        </w:tc>
      </w:tr>
      <w:tr w:rsidR="00C26B77" w14:paraId="669F682C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F24926" w14:textId="7095100C" w:rsidR="00C26B77" w:rsidRDefault="00C26B77" w:rsidP="00C26B77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Operational Excellence</w:t>
            </w:r>
          </w:p>
        </w:tc>
        <w:tc>
          <w:tcPr>
            <w:tcW w:w="3029" w:type="dxa"/>
          </w:tcPr>
          <w:p w14:paraId="76ED2A0B" w14:textId="538C5F92" w:rsidR="00C26B77" w:rsidRPr="00A7772F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 you instrument the Guidance to understand its state and achievement of business outcomes?</w:t>
            </w:r>
          </w:p>
        </w:tc>
        <w:tc>
          <w:tcPr>
            <w:tcW w:w="3087" w:type="dxa"/>
          </w:tcPr>
          <w:p w14:paraId="563C24CC" w14:textId="2EF0E256" w:rsidR="00C26B77" w:rsidRDefault="00485CC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would be collecting repo clone and download information from </w:t>
            </w:r>
            <w:proofErr w:type="spellStart"/>
            <w:r>
              <w:t>Github</w:t>
            </w:r>
            <w:proofErr w:type="spellEnd"/>
            <w:r>
              <w:t>. We also plan on running feedback loops – surveys etc. to collect information on solution usage.</w:t>
            </w:r>
          </w:p>
        </w:tc>
        <w:tc>
          <w:tcPr>
            <w:tcW w:w="1344" w:type="dxa"/>
          </w:tcPr>
          <w:p w14:paraId="0372CFED" w14:textId="3058B59D" w:rsid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23" w:history="1">
              <w:r w:rsidR="00C26B77" w:rsidRPr="00A7772F">
                <w:rPr>
                  <w:rStyle w:val="Hyperlink"/>
                  <w:lang w:val="en-AU"/>
                </w:rPr>
                <w:t>Prepare</w:t>
              </w:r>
            </w:hyperlink>
          </w:p>
        </w:tc>
      </w:tr>
      <w:tr w:rsidR="00C26B77" w14:paraId="702159D1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484DAF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5FD8FABB" w14:textId="17A75F73" w:rsidR="00C26B77" w:rsidRPr="00C26B77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did you integrate and deploy changes with the Guidance?</w:t>
            </w:r>
          </w:p>
        </w:tc>
        <w:tc>
          <w:tcPr>
            <w:tcW w:w="3087" w:type="dxa"/>
          </w:tcPr>
          <w:p w14:paraId="2217AEB4" w14:textId="0B05120D" w:rsidR="00C26B77" w:rsidRDefault="00485CC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code repo will contain updated code to address changes  </w:t>
            </w:r>
          </w:p>
        </w:tc>
        <w:tc>
          <w:tcPr>
            <w:tcW w:w="1344" w:type="dxa"/>
          </w:tcPr>
          <w:p w14:paraId="0195EFE8" w14:textId="4D42E472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C26B77" w:rsidRPr="00A7772F">
                <w:rPr>
                  <w:rStyle w:val="Hyperlink"/>
                  <w:lang w:val="en-AU"/>
                </w:rPr>
                <w:t>Prepare</w:t>
              </w:r>
            </w:hyperlink>
          </w:p>
        </w:tc>
      </w:tr>
      <w:tr w:rsidR="00C26B77" w14:paraId="148CB9B2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42322C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1E8BB779" w14:textId="15142AE0" w:rsidR="00C26B77" w:rsidRPr="00C26B77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 you safely operate the Guidance and respond to incidents and events?</w:t>
            </w:r>
          </w:p>
        </w:tc>
        <w:tc>
          <w:tcPr>
            <w:tcW w:w="3087" w:type="dxa"/>
          </w:tcPr>
          <w:p w14:paraId="710A6F9A" w14:textId="219A355B" w:rsidR="00C26B77" w:rsidRDefault="00485CC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guidance use at own risk solution.</w:t>
            </w:r>
          </w:p>
        </w:tc>
        <w:tc>
          <w:tcPr>
            <w:tcW w:w="1344" w:type="dxa"/>
          </w:tcPr>
          <w:p w14:paraId="38684E33" w14:textId="3221711A" w:rsidR="00C26B77" w:rsidRP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C26B77" w:rsidRPr="00C26B77">
                <w:rPr>
                  <w:rStyle w:val="Hyperlink"/>
                  <w:lang w:val="en-AU"/>
                </w:rPr>
                <w:t>Operate</w:t>
              </w:r>
            </w:hyperlink>
          </w:p>
        </w:tc>
      </w:tr>
      <w:tr w:rsidR="00C26B77" w14:paraId="2B049990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A529CA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0F41105D" w14:textId="15FE21CB" w:rsidR="00C26B77" w:rsidRPr="00C26B77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 you implement feedback loops within the Guidance?</w:t>
            </w:r>
          </w:p>
        </w:tc>
        <w:tc>
          <w:tcPr>
            <w:tcW w:w="3087" w:type="dxa"/>
          </w:tcPr>
          <w:p w14:paraId="4E1D7B6D" w14:textId="0917EBBD" w:rsidR="00C26B77" w:rsidRDefault="00485CC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Feedback can be collected on the solutions landing page and Git repo. We will periodically review and prioritize the feedback to be added in guidance.  </w:t>
            </w:r>
          </w:p>
        </w:tc>
        <w:tc>
          <w:tcPr>
            <w:tcW w:w="1344" w:type="dxa"/>
          </w:tcPr>
          <w:p w14:paraId="5C14F4EA" w14:textId="66E5C2F6" w:rsidR="00C26B77" w:rsidRP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26" w:history="1">
              <w:r w:rsidR="00C26B77" w:rsidRPr="00C26B77">
                <w:rPr>
                  <w:rStyle w:val="Hyperlink"/>
                  <w:lang w:val="en-AU"/>
                </w:rPr>
                <w:t>Evolve</w:t>
              </w:r>
            </w:hyperlink>
          </w:p>
        </w:tc>
      </w:tr>
      <w:tr w:rsidR="00C26B77" w14:paraId="4C6D8720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5A64B7" w14:textId="093BFFF7" w:rsidR="00C26B77" w:rsidRDefault="00C26B77" w:rsidP="00C26B77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t>Performance</w:t>
            </w:r>
          </w:p>
        </w:tc>
        <w:tc>
          <w:tcPr>
            <w:tcW w:w="3029" w:type="dxa"/>
          </w:tcPr>
          <w:p w14:paraId="08D68B56" w14:textId="347A899C" w:rsidR="00C26B77" w:rsidRPr="00A7772F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Why did you select those services, are they purpose built for your use-case?</w:t>
            </w:r>
          </w:p>
        </w:tc>
        <w:tc>
          <w:tcPr>
            <w:tcW w:w="3087" w:type="dxa"/>
          </w:tcPr>
          <w:p w14:paraId="62E7A77C" w14:textId="1BC6CEFC" w:rsidR="00C26B77" w:rsidRDefault="00485CC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Yes, the services are purpose built and meet functional capabilities needed in the solution</w:t>
            </w:r>
          </w:p>
        </w:tc>
        <w:tc>
          <w:tcPr>
            <w:tcW w:w="1344" w:type="dxa"/>
          </w:tcPr>
          <w:p w14:paraId="29AC2754" w14:textId="3BBD14EB" w:rsid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27" w:history="1">
              <w:r w:rsidR="00C26B77" w:rsidRPr="00973781">
                <w:rPr>
                  <w:rStyle w:val="Hyperlink"/>
                </w:rPr>
                <w:t>Selection</w:t>
              </w:r>
            </w:hyperlink>
          </w:p>
        </w:tc>
      </w:tr>
      <w:tr w:rsidR="00C26B77" w14:paraId="07D69FB6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8E9B5D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73EB0B82" w14:textId="79E45CC8" w:rsidR="00C26B77" w:rsidRPr="00A7772F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36F6">
              <w:t>How can the user experiment with this Guidance and optimize it based on their data?</w:t>
            </w:r>
          </w:p>
        </w:tc>
        <w:tc>
          <w:tcPr>
            <w:tcW w:w="3087" w:type="dxa"/>
          </w:tcPr>
          <w:p w14:paraId="678DE5F6" w14:textId="0F71C675" w:rsidR="005A7828" w:rsidRDefault="005A7828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Users can deploy the solution as CFN in AWS. Users can experiment with: 1/ Creating different Redshift clusters and running SQL scripts – changing the .</w:t>
            </w:r>
            <w:proofErr w:type="spellStart"/>
            <w:r>
              <w:rPr>
                <w:lang w:val="en-AU"/>
              </w:rPr>
              <w:t>ini</w:t>
            </w:r>
            <w:proofErr w:type="spellEnd"/>
            <w:r>
              <w:rPr>
                <w:lang w:val="en-AU"/>
              </w:rPr>
              <w:t xml:space="preserve"> files, 2/customizing the docker build (inject any additional libraries and </w:t>
            </w:r>
            <w:r>
              <w:rPr>
                <w:lang w:val="en-AU"/>
              </w:rPr>
              <w:lastRenderedPageBreak/>
              <w:t xml:space="preserve">dependencies) – </w:t>
            </w:r>
            <w:proofErr w:type="spellStart"/>
            <w:r>
              <w:rPr>
                <w:lang w:val="en-AU"/>
              </w:rPr>
              <w:t>Dockerfile</w:t>
            </w:r>
            <w:proofErr w:type="spellEnd"/>
            <w:r>
              <w:rPr>
                <w:lang w:val="en-AU"/>
              </w:rPr>
              <w:t>; 3/</w:t>
            </w:r>
            <w:r w:rsidR="00134A1E">
              <w:rPr>
                <w:lang w:val="en-AU"/>
              </w:rPr>
              <w:t xml:space="preserve"> Adding configuration for Jenkins job build – </w:t>
            </w:r>
            <w:proofErr w:type="spellStart"/>
            <w:r w:rsidR="00134A1E">
              <w:rPr>
                <w:lang w:val="en-AU"/>
              </w:rPr>
              <w:t>Jenkinsfile</w:t>
            </w:r>
            <w:proofErr w:type="spellEnd"/>
            <w:r w:rsidR="00134A1E">
              <w:rPr>
                <w:lang w:val="en-AU"/>
              </w:rPr>
              <w:t xml:space="preserve">; 4/ Change to build process details – </w:t>
            </w:r>
            <w:proofErr w:type="spellStart"/>
            <w:r w:rsidR="00134A1E">
              <w:rPr>
                <w:lang w:val="en-AU"/>
              </w:rPr>
              <w:t>buildspec.yml</w:t>
            </w:r>
            <w:proofErr w:type="spellEnd"/>
            <w:r w:rsidR="00134A1E">
              <w:rPr>
                <w:lang w:val="en-AU"/>
              </w:rPr>
              <w:t xml:space="preserve">. </w:t>
            </w:r>
          </w:p>
        </w:tc>
        <w:tc>
          <w:tcPr>
            <w:tcW w:w="1344" w:type="dxa"/>
          </w:tcPr>
          <w:p w14:paraId="1B257A6E" w14:textId="29BB29BE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28" w:history="1">
              <w:r w:rsidR="00C26B77" w:rsidRPr="00973781">
                <w:rPr>
                  <w:rStyle w:val="Hyperlink"/>
                </w:rPr>
                <w:t>Review</w:t>
              </w:r>
            </w:hyperlink>
          </w:p>
        </w:tc>
      </w:tr>
      <w:tr w:rsidR="00C26B77" w14:paraId="73853FEB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64B86F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78042841" w14:textId="52B9CA68" w:rsidR="00C26B77" w:rsidRPr="00A7772F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536F6">
              <w:t>How can the location of this Guidance be selected to decrease latency and improve performance?</w:t>
            </w:r>
          </w:p>
        </w:tc>
        <w:tc>
          <w:tcPr>
            <w:tcW w:w="3087" w:type="dxa"/>
          </w:tcPr>
          <w:p w14:paraId="4CC75CE3" w14:textId="65B2C9EB" w:rsidR="00C26B77" w:rsidRDefault="00134A1E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Connection latency can introduce delay in executing SQL statement commands. Recommend to have EC2 instance in the same region where Redshift cluster is </w:t>
            </w:r>
          </w:p>
        </w:tc>
        <w:tc>
          <w:tcPr>
            <w:tcW w:w="1344" w:type="dxa"/>
          </w:tcPr>
          <w:p w14:paraId="52892CB7" w14:textId="7F882CC0" w:rsid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29" w:history="1">
              <w:r w:rsidR="00C26B77" w:rsidRPr="00973781">
                <w:rPr>
                  <w:rStyle w:val="Hyperlink"/>
                </w:rPr>
                <w:t>Network Selection</w:t>
              </w:r>
            </w:hyperlink>
          </w:p>
        </w:tc>
      </w:tr>
      <w:tr w:rsidR="00C26B77" w14:paraId="6D2CD467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80599E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0BFAD652" w14:textId="6A46D7A5" w:rsidR="00C26B77" w:rsidRPr="00A7772F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36F6">
              <w:t>How can this Guidance meet the workload requirements of scaling, traffic patterns, data access patterns?</w:t>
            </w:r>
          </w:p>
        </w:tc>
        <w:tc>
          <w:tcPr>
            <w:tcW w:w="3087" w:type="dxa"/>
          </w:tcPr>
          <w:p w14:paraId="0A10B4D3" w14:textId="47776163" w:rsidR="00C26B77" w:rsidRDefault="00EE13B3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Guidance is geared towards code deployment. To horizontally scale the solution new container can be created</w:t>
            </w:r>
          </w:p>
        </w:tc>
        <w:tc>
          <w:tcPr>
            <w:tcW w:w="1344" w:type="dxa"/>
          </w:tcPr>
          <w:p w14:paraId="30FCCC0D" w14:textId="45C3F912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30" w:history="1">
              <w:r w:rsidR="00C26B77" w:rsidRPr="00973781">
                <w:rPr>
                  <w:rStyle w:val="Hyperlink"/>
                </w:rPr>
                <w:t>Performance Architecture</w:t>
              </w:r>
            </w:hyperlink>
          </w:p>
        </w:tc>
      </w:tr>
      <w:tr w:rsidR="00C26B77" w14:paraId="00C594D2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D30BFE" w14:textId="197AB4C1" w:rsidR="00C26B77" w:rsidRDefault="00C26B77" w:rsidP="00C26B77">
            <w:pPr>
              <w:ind w:left="0"/>
              <w:rPr>
                <w:lang w:val="en-AU"/>
              </w:rPr>
            </w:pPr>
            <w:r>
              <w:rPr>
                <w:lang w:val="en-AU"/>
              </w:rPr>
              <w:br/>
              <w:t>Sustainability</w:t>
            </w:r>
          </w:p>
        </w:tc>
        <w:tc>
          <w:tcPr>
            <w:tcW w:w="3029" w:type="dxa"/>
          </w:tcPr>
          <w:p w14:paraId="558007D5" w14:textId="35D70CF6" w:rsidR="00C26B77" w:rsidRPr="00A7772F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F536F6">
              <w:t>How does this Guidance scales to continually match the load and ensure that only the minimum resources required?</w:t>
            </w:r>
          </w:p>
        </w:tc>
        <w:tc>
          <w:tcPr>
            <w:tcW w:w="3087" w:type="dxa"/>
          </w:tcPr>
          <w:p w14:paraId="1613E4C4" w14:textId="5DED7C80" w:rsidR="00C26B77" w:rsidRDefault="001A16C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architecture is designed to be serverless (except EC2 instance)</w:t>
            </w:r>
          </w:p>
        </w:tc>
        <w:tc>
          <w:tcPr>
            <w:tcW w:w="1344" w:type="dxa"/>
          </w:tcPr>
          <w:p w14:paraId="2BB95A2F" w14:textId="3DF5B455" w:rsid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31" w:history="1">
              <w:r w:rsidR="00C26B77" w:rsidRPr="00CB4AB7">
                <w:rPr>
                  <w:rStyle w:val="Hyperlink"/>
                  <w:lang w:val="en-AU"/>
                </w:rPr>
                <w:t xml:space="preserve">User </w:t>
              </w:r>
              <w:proofErr w:type="spellStart"/>
              <w:r w:rsidR="00C26B77">
                <w:rPr>
                  <w:rStyle w:val="Hyperlink"/>
                  <w:lang w:val="en-AU"/>
                </w:rPr>
                <w:t>B</w:t>
              </w:r>
              <w:r w:rsidR="00C26B77" w:rsidRPr="00CB4AB7">
                <w:rPr>
                  <w:rStyle w:val="Hyperlink"/>
                  <w:lang w:val="en-AU"/>
                </w:rPr>
                <w:t>ehavior</w:t>
              </w:r>
              <w:proofErr w:type="spellEnd"/>
              <w:r w:rsidR="00C26B77" w:rsidRPr="00CB4AB7">
                <w:rPr>
                  <w:rStyle w:val="Hyperlink"/>
                  <w:lang w:val="en-AU"/>
                </w:rPr>
                <w:t xml:space="preserve"> </w:t>
              </w:r>
              <w:r w:rsidR="00C26B77">
                <w:rPr>
                  <w:rStyle w:val="Hyperlink"/>
                  <w:lang w:val="en-AU"/>
                </w:rPr>
                <w:t>P</w:t>
              </w:r>
              <w:r w:rsidR="00C26B77" w:rsidRPr="00CB4AB7">
                <w:rPr>
                  <w:rStyle w:val="Hyperlink"/>
                  <w:lang w:val="en-AU"/>
                </w:rPr>
                <w:t>atterns</w:t>
              </w:r>
            </w:hyperlink>
          </w:p>
        </w:tc>
      </w:tr>
      <w:tr w:rsidR="00C26B77" w14:paraId="166DE26B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BCE7B1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29115B67" w14:textId="7ADD6EB5" w:rsidR="00C26B77" w:rsidRPr="00A7772F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F536F6">
              <w:t>How does this Guidance implement architecture patterns for maintaining consistent high utilization of deployed resources?</w:t>
            </w:r>
          </w:p>
        </w:tc>
        <w:tc>
          <w:tcPr>
            <w:tcW w:w="3087" w:type="dxa"/>
          </w:tcPr>
          <w:p w14:paraId="6B2F21F9" w14:textId="77777777" w:rsidR="00C26B77" w:rsidRDefault="001A16C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  <w:p w14:paraId="5C4F0D60" w14:textId="53B1E871" w:rsidR="001A16C0" w:rsidRDefault="001A16C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14:paraId="19EC39B0" w14:textId="143BFC69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32" w:history="1">
              <w:r w:rsidR="00C26B77" w:rsidRPr="00CB4AB7">
                <w:rPr>
                  <w:rStyle w:val="Hyperlink"/>
                  <w:lang w:val="en-AU"/>
                </w:rPr>
                <w:t xml:space="preserve">Software and </w:t>
              </w:r>
              <w:r w:rsidR="00C26B77">
                <w:rPr>
                  <w:rStyle w:val="Hyperlink"/>
                  <w:lang w:val="en-AU"/>
                </w:rPr>
                <w:t>A</w:t>
              </w:r>
              <w:r w:rsidR="00C26B77" w:rsidRPr="00CB4AB7">
                <w:rPr>
                  <w:rStyle w:val="Hyperlink"/>
                  <w:lang w:val="en-AU"/>
                </w:rPr>
                <w:t xml:space="preserve">rchitecture </w:t>
              </w:r>
              <w:r w:rsidR="00C26B77">
                <w:rPr>
                  <w:rStyle w:val="Hyperlink"/>
                  <w:lang w:val="en-AU"/>
                </w:rPr>
                <w:t>P</w:t>
              </w:r>
              <w:r w:rsidR="00C26B77" w:rsidRPr="00CB4AB7">
                <w:rPr>
                  <w:rStyle w:val="Hyperlink"/>
                  <w:lang w:val="en-AU"/>
                </w:rPr>
                <w:t>atterns</w:t>
              </w:r>
            </w:hyperlink>
          </w:p>
        </w:tc>
      </w:tr>
      <w:tr w:rsidR="00C26B77" w14:paraId="7F09B86A" w14:textId="77777777" w:rsidTr="0061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DB8047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04D507AD" w14:textId="016F3A22" w:rsidR="00C26B77" w:rsidRPr="00A7772F" w:rsidRDefault="00C26B77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does this Guidance use technologies that support data access and storage patterns?</w:t>
            </w:r>
          </w:p>
        </w:tc>
        <w:tc>
          <w:tcPr>
            <w:tcW w:w="3087" w:type="dxa"/>
          </w:tcPr>
          <w:p w14:paraId="0D6D87CE" w14:textId="3F33DE07" w:rsidR="00C26B77" w:rsidRDefault="001A16C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344" w:type="dxa"/>
          </w:tcPr>
          <w:p w14:paraId="7B943031" w14:textId="5FC115C8" w:rsidR="00C26B77" w:rsidRDefault="00000000" w:rsidP="00C26B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hyperlink r:id="rId33" w:history="1">
              <w:r w:rsidR="00C26B77" w:rsidRPr="00CB4AB7">
                <w:rPr>
                  <w:rStyle w:val="Hyperlink"/>
                  <w:lang w:val="en-AU"/>
                </w:rPr>
                <w:t xml:space="preserve">Data </w:t>
              </w:r>
              <w:r w:rsidR="00C26B77">
                <w:rPr>
                  <w:rStyle w:val="Hyperlink"/>
                  <w:lang w:val="en-AU"/>
                </w:rPr>
                <w:t>P</w:t>
              </w:r>
              <w:r w:rsidR="00C26B77" w:rsidRPr="00CB4AB7">
                <w:rPr>
                  <w:rStyle w:val="Hyperlink"/>
                  <w:lang w:val="en-AU"/>
                </w:rPr>
                <w:t>at</w:t>
              </w:r>
              <w:r w:rsidR="00C26B77">
                <w:rPr>
                  <w:rStyle w:val="Hyperlink"/>
                  <w:lang w:val="en-AU"/>
                </w:rPr>
                <w:t>t</w:t>
              </w:r>
              <w:r w:rsidR="00C26B77" w:rsidRPr="00CB4AB7">
                <w:rPr>
                  <w:rStyle w:val="Hyperlink"/>
                  <w:lang w:val="en-AU"/>
                </w:rPr>
                <w:t>erns</w:t>
              </w:r>
            </w:hyperlink>
          </w:p>
        </w:tc>
      </w:tr>
      <w:tr w:rsidR="00C26B77" w14:paraId="4152C7B1" w14:textId="77777777" w:rsidTr="0061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4CBC01" w14:textId="77777777" w:rsidR="00C26B77" w:rsidRDefault="00C26B77" w:rsidP="00C26B77">
            <w:pPr>
              <w:ind w:left="0"/>
              <w:rPr>
                <w:lang w:val="en-AU"/>
              </w:rPr>
            </w:pPr>
          </w:p>
        </w:tc>
        <w:tc>
          <w:tcPr>
            <w:tcW w:w="3029" w:type="dxa"/>
          </w:tcPr>
          <w:p w14:paraId="10D564B5" w14:textId="5B6B99E2" w:rsidR="00C26B77" w:rsidRPr="00A7772F" w:rsidRDefault="00C26B77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C26B77">
              <w:rPr>
                <w:lang w:val="en-AU"/>
              </w:rPr>
              <w:t>How does this Guidance minimize the amount of hardware needed to provision?</w:t>
            </w:r>
          </w:p>
        </w:tc>
        <w:tc>
          <w:tcPr>
            <w:tcW w:w="3087" w:type="dxa"/>
          </w:tcPr>
          <w:p w14:paraId="125416F6" w14:textId="43D978C1" w:rsidR="00C26B77" w:rsidRDefault="001A16C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344" w:type="dxa"/>
          </w:tcPr>
          <w:p w14:paraId="65852E6C" w14:textId="0213731D" w:rsidR="00C26B77" w:rsidRDefault="00000000" w:rsidP="00C26B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hyperlink r:id="rId34" w:history="1">
              <w:r w:rsidR="00C26B77" w:rsidRPr="00CB4AB7">
                <w:rPr>
                  <w:rStyle w:val="Hyperlink"/>
                  <w:lang w:val="en-AU"/>
                </w:rPr>
                <w:t xml:space="preserve">Hardware </w:t>
              </w:r>
              <w:r w:rsidR="00C26B77">
                <w:rPr>
                  <w:rStyle w:val="Hyperlink"/>
                  <w:lang w:val="en-AU"/>
                </w:rPr>
                <w:t>P</w:t>
              </w:r>
              <w:r w:rsidR="00C26B77" w:rsidRPr="00CB4AB7">
                <w:rPr>
                  <w:rStyle w:val="Hyperlink"/>
                  <w:lang w:val="en-AU"/>
                </w:rPr>
                <w:t>atterns</w:t>
              </w:r>
            </w:hyperlink>
          </w:p>
        </w:tc>
      </w:tr>
    </w:tbl>
    <w:p w14:paraId="62EB11F4" w14:textId="77777777" w:rsidR="007E227E" w:rsidRPr="00FD2096" w:rsidRDefault="007E227E" w:rsidP="00FD2096">
      <w:pPr>
        <w:ind w:left="0"/>
        <w:rPr>
          <w:lang w:val="en-AU"/>
        </w:rPr>
      </w:pPr>
    </w:p>
    <w:sectPr w:rsidR="007E227E" w:rsidRPr="00FD2096" w:rsidSect="004757F4">
      <w:headerReference w:type="default" r:id="rId35"/>
      <w:footerReference w:type="even" r:id="rId36"/>
      <w:footerReference w:type="default" r:id="rId3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DBE6" w14:textId="77777777" w:rsidR="005509DC" w:rsidRDefault="005509DC" w:rsidP="00575693">
      <w:pPr>
        <w:spacing w:after="0" w:line="240" w:lineRule="auto"/>
      </w:pPr>
      <w:r>
        <w:separator/>
      </w:r>
    </w:p>
  </w:endnote>
  <w:endnote w:type="continuationSeparator" w:id="0">
    <w:p w14:paraId="7184B5EA" w14:textId="77777777" w:rsidR="005509DC" w:rsidRDefault="005509DC" w:rsidP="005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6785115"/>
      <w:docPartObj>
        <w:docPartGallery w:val="Page Numbers (Bottom of Page)"/>
        <w:docPartUnique/>
      </w:docPartObj>
    </w:sdtPr>
    <w:sdtContent>
      <w:p w14:paraId="1F15AC77" w14:textId="3CD37E5F" w:rsidR="00575693" w:rsidRDefault="00575693" w:rsidP="00192D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058B1E" w14:textId="77777777" w:rsidR="00575693" w:rsidRDefault="00575693" w:rsidP="00575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403616"/>
      <w:docPartObj>
        <w:docPartGallery w:val="Page Numbers (Bottom of Page)"/>
        <w:docPartUnique/>
      </w:docPartObj>
    </w:sdtPr>
    <w:sdtContent>
      <w:p w14:paraId="61810AE7" w14:textId="1C1E07EF" w:rsidR="00575693" w:rsidRDefault="00575693" w:rsidP="00192D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91B99" w14:textId="68D91842" w:rsidR="00575693" w:rsidRDefault="00575693" w:rsidP="00575693">
    <w:pPr>
      <w:pStyle w:val="Footer"/>
      <w:ind w:right="360"/>
    </w:pPr>
    <w:r>
      <w:t>Amazon Confidential</w:t>
    </w:r>
  </w:p>
  <w:p w14:paraId="13AD0274" w14:textId="77777777" w:rsidR="00575693" w:rsidRDefault="005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6405" w14:textId="77777777" w:rsidR="005509DC" w:rsidRDefault="005509DC" w:rsidP="00575693">
      <w:pPr>
        <w:spacing w:after="0" w:line="240" w:lineRule="auto"/>
      </w:pPr>
      <w:r>
        <w:separator/>
      </w:r>
    </w:p>
  </w:footnote>
  <w:footnote w:type="continuationSeparator" w:id="0">
    <w:p w14:paraId="48D4F16C" w14:textId="77777777" w:rsidR="005509DC" w:rsidRDefault="005509DC" w:rsidP="0057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B3CF" w14:textId="66C6CC8F" w:rsidR="00575693" w:rsidRDefault="00575693">
    <w:pPr>
      <w:pStyle w:val="Header"/>
    </w:pPr>
    <w:r>
      <w:t>WWSO Solutions: Well-Architected Pillars for Guidance</w:t>
    </w:r>
  </w:p>
  <w:p w14:paraId="5C46B238" w14:textId="77777777" w:rsidR="00575693" w:rsidRDefault="00575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3E"/>
    <w:multiLevelType w:val="hybridMultilevel"/>
    <w:tmpl w:val="2D8A65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83825"/>
    <w:multiLevelType w:val="hybridMultilevel"/>
    <w:tmpl w:val="63D8B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D24F9"/>
    <w:multiLevelType w:val="hybridMultilevel"/>
    <w:tmpl w:val="158628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B6173"/>
    <w:multiLevelType w:val="hybridMultilevel"/>
    <w:tmpl w:val="6CBAAC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415E9"/>
    <w:multiLevelType w:val="hybridMultilevel"/>
    <w:tmpl w:val="6268B180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4444A"/>
    <w:multiLevelType w:val="hybridMultilevel"/>
    <w:tmpl w:val="3488B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E3E1D"/>
    <w:multiLevelType w:val="hybridMultilevel"/>
    <w:tmpl w:val="49D4E0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8B5DF3"/>
    <w:multiLevelType w:val="hybridMultilevel"/>
    <w:tmpl w:val="DD9092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732F6E"/>
    <w:multiLevelType w:val="hybridMultilevel"/>
    <w:tmpl w:val="975C3B3A"/>
    <w:lvl w:ilvl="0" w:tplc="58482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9676B"/>
    <w:multiLevelType w:val="hybridMultilevel"/>
    <w:tmpl w:val="80B2CA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642817"/>
    <w:multiLevelType w:val="hybridMultilevel"/>
    <w:tmpl w:val="5F20A3F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E62199"/>
    <w:multiLevelType w:val="hybridMultilevel"/>
    <w:tmpl w:val="47E21B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F26092"/>
    <w:multiLevelType w:val="hybridMultilevel"/>
    <w:tmpl w:val="1C2285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657D9"/>
    <w:multiLevelType w:val="hybridMultilevel"/>
    <w:tmpl w:val="33467580"/>
    <w:lvl w:ilvl="0" w:tplc="B8C4C7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2A65"/>
    <w:multiLevelType w:val="hybridMultilevel"/>
    <w:tmpl w:val="558EB5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871170">
    <w:abstractNumId w:val="8"/>
  </w:num>
  <w:num w:numId="2" w16cid:durableId="1460227064">
    <w:abstractNumId w:val="13"/>
  </w:num>
  <w:num w:numId="3" w16cid:durableId="932779980">
    <w:abstractNumId w:val="5"/>
  </w:num>
  <w:num w:numId="4" w16cid:durableId="631205352">
    <w:abstractNumId w:val="0"/>
  </w:num>
  <w:num w:numId="5" w16cid:durableId="1764111159">
    <w:abstractNumId w:val="14"/>
  </w:num>
  <w:num w:numId="6" w16cid:durableId="693506851">
    <w:abstractNumId w:val="12"/>
  </w:num>
  <w:num w:numId="7" w16cid:durableId="1189220275">
    <w:abstractNumId w:val="7"/>
  </w:num>
  <w:num w:numId="8" w16cid:durableId="2039811694">
    <w:abstractNumId w:val="3"/>
  </w:num>
  <w:num w:numId="9" w16cid:durableId="57091374">
    <w:abstractNumId w:val="9"/>
  </w:num>
  <w:num w:numId="10" w16cid:durableId="2012559518">
    <w:abstractNumId w:val="11"/>
  </w:num>
  <w:num w:numId="11" w16cid:durableId="1209026586">
    <w:abstractNumId w:val="10"/>
  </w:num>
  <w:num w:numId="12" w16cid:durableId="897740090">
    <w:abstractNumId w:val="4"/>
  </w:num>
  <w:num w:numId="13" w16cid:durableId="1757432232">
    <w:abstractNumId w:val="2"/>
  </w:num>
  <w:num w:numId="14" w16cid:durableId="440297476">
    <w:abstractNumId w:val="6"/>
  </w:num>
  <w:num w:numId="15" w16cid:durableId="46196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84"/>
    <w:rsid w:val="00106CF6"/>
    <w:rsid w:val="00134A1E"/>
    <w:rsid w:val="001751C9"/>
    <w:rsid w:val="001A16C0"/>
    <w:rsid w:val="00212EED"/>
    <w:rsid w:val="00276184"/>
    <w:rsid w:val="002D0A9D"/>
    <w:rsid w:val="0031500A"/>
    <w:rsid w:val="00461DE1"/>
    <w:rsid w:val="004757F4"/>
    <w:rsid w:val="00485CC7"/>
    <w:rsid w:val="004C430C"/>
    <w:rsid w:val="004E4CCC"/>
    <w:rsid w:val="005509DC"/>
    <w:rsid w:val="00575693"/>
    <w:rsid w:val="005A7828"/>
    <w:rsid w:val="006168E6"/>
    <w:rsid w:val="00665BBB"/>
    <w:rsid w:val="007E227E"/>
    <w:rsid w:val="008902AE"/>
    <w:rsid w:val="00891844"/>
    <w:rsid w:val="008C3B0B"/>
    <w:rsid w:val="008E10AE"/>
    <w:rsid w:val="00990339"/>
    <w:rsid w:val="009965C9"/>
    <w:rsid w:val="00A113CF"/>
    <w:rsid w:val="00A7772F"/>
    <w:rsid w:val="00A80A71"/>
    <w:rsid w:val="00B4727D"/>
    <w:rsid w:val="00C26B77"/>
    <w:rsid w:val="00CB4AB7"/>
    <w:rsid w:val="00CC4E0C"/>
    <w:rsid w:val="00CD4D02"/>
    <w:rsid w:val="00CE01E5"/>
    <w:rsid w:val="00D76519"/>
    <w:rsid w:val="00DA65BB"/>
    <w:rsid w:val="00DF652D"/>
    <w:rsid w:val="00EE13B3"/>
    <w:rsid w:val="00F714B1"/>
    <w:rsid w:val="00F7287B"/>
    <w:rsid w:val="00FC1487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EE62"/>
  <w15:chartTrackingRefBased/>
  <w15:docId w15:val="{749A2C62-060B-FF47-938C-4BE77E09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18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18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8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8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84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84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84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84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8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8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8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184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184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18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184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184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18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184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184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184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7618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618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76184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184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76184"/>
    <w:rPr>
      <w:b/>
      <w:bCs/>
      <w:spacing w:val="0"/>
    </w:rPr>
  </w:style>
  <w:style w:type="character" w:styleId="Emphasis">
    <w:name w:val="Emphasis"/>
    <w:uiPriority w:val="20"/>
    <w:qFormat/>
    <w:rsid w:val="0027618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761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61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61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618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8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184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27618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76184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27618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76184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7618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18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76184"/>
    <w:rPr>
      <w:color w:val="5A5A5A" w:themeColor="text1" w:themeTint="A5"/>
    </w:rPr>
  </w:style>
  <w:style w:type="table" w:styleId="TableGrid">
    <w:name w:val="Table Grid"/>
    <w:basedOn w:val="TableNormal"/>
    <w:uiPriority w:val="39"/>
    <w:rsid w:val="0027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761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D20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FD209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7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9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57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93"/>
    <w:rPr>
      <w:color w:val="5A5A5A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575693"/>
  </w:style>
  <w:style w:type="table" w:styleId="GridTable1Light-Accent5">
    <w:name w:val="Grid Table 1 Light Accent 5"/>
    <w:basedOn w:val="TableNormal"/>
    <w:uiPriority w:val="46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1D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7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wellarchitected/latest/security-pillar/data-protection.html" TargetMode="External"/><Relationship Id="rId18" Type="http://schemas.openxmlformats.org/officeDocument/2006/relationships/hyperlink" Target="https://docs.aws.amazon.com/wellarchitected/latest/reliability-pillar/change-management.html" TargetMode="External"/><Relationship Id="rId26" Type="http://schemas.openxmlformats.org/officeDocument/2006/relationships/hyperlink" Target="https://docs.aws.amazon.com/wellarchitected/latest/operational-excellence-pillar/evolve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aws.amazon.com/wellarchitected/latest/reliability-pillar/failure-management.html" TargetMode="External"/><Relationship Id="rId34" Type="http://schemas.openxmlformats.org/officeDocument/2006/relationships/hyperlink" Target="https://docs.aws.amazon.com/wellarchitected/latest/sustainability-pillar/hardware-patterns.html" TargetMode="External"/><Relationship Id="rId7" Type="http://schemas.openxmlformats.org/officeDocument/2006/relationships/hyperlink" Target="https://docs.aws.amazon.com/wellarchitected/latest/cost-optimization-pillar/cost-effective-resources.html" TargetMode="External"/><Relationship Id="rId12" Type="http://schemas.openxmlformats.org/officeDocument/2006/relationships/hyperlink" Target="https://docs.aws.amazon.com/wellarchitected/latest/security-pillar/infrastructure-protection.html" TargetMode="External"/><Relationship Id="rId17" Type="http://schemas.openxmlformats.org/officeDocument/2006/relationships/hyperlink" Target="https://docs.aws.amazon.com/wellarchitected/latest/reliability-pillar/change-management.html" TargetMode="External"/><Relationship Id="rId25" Type="http://schemas.openxmlformats.org/officeDocument/2006/relationships/hyperlink" Target="https://docs.aws.amazon.com/wellarchitected/latest/operational-excellence-pillar/operate.html" TargetMode="External"/><Relationship Id="rId33" Type="http://schemas.openxmlformats.org/officeDocument/2006/relationships/hyperlink" Target="https://docs.aws.amazon.com/wellarchitected/latest/sustainability-pillar/data-pattern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wellarchitected/latest/reliability-pillar/change-management.html" TargetMode="External"/><Relationship Id="rId20" Type="http://schemas.openxmlformats.org/officeDocument/2006/relationships/hyperlink" Target="https://docs.aws.amazon.com/wellarchitected/latest/reliability-pillar/failure-management.html" TargetMode="External"/><Relationship Id="rId29" Type="http://schemas.openxmlformats.org/officeDocument/2006/relationships/hyperlink" Target="https://docs.aws.amazon.com/wellarchitected/latest/performance-efficiency-pillar/network-architecture-selec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wellarchitected/latest/security-pillar/identity-and-access-management.html" TargetMode="External"/><Relationship Id="rId24" Type="http://schemas.openxmlformats.org/officeDocument/2006/relationships/hyperlink" Target="https://docs.aws.amazon.com/wellarchitected/latest/operational-excellence-pillar/prepare.html" TargetMode="External"/><Relationship Id="rId32" Type="http://schemas.openxmlformats.org/officeDocument/2006/relationships/hyperlink" Target="https://docs.aws.amazon.com/wellarchitected/latest/sustainability-pillar/software-and-architecture-patterns.html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wellarchitected/latest/reliability-pillar/workload-architecture.html" TargetMode="External"/><Relationship Id="rId23" Type="http://schemas.openxmlformats.org/officeDocument/2006/relationships/hyperlink" Target="https://docs.aws.amazon.com/wellarchitected/latest/operational-excellence-pillar/prepare.html" TargetMode="External"/><Relationship Id="rId28" Type="http://schemas.openxmlformats.org/officeDocument/2006/relationships/hyperlink" Target="https://docs.aws.amazon.com/wellarchitected/latest/performance-efficiency-pillar/review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aws.amazon.com/wellarchitected/latest/cost-optimization-pillar/manage-demand-and-supply-resources.html" TargetMode="External"/><Relationship Id="rId19" Type="http://schemas.openxmlformats.org/officeDocument/2006/relationships/hyperlink" Target="https://docs.aws.amazon.com/wellarchitected/latest/reliability-pillar/failure-management.html" TargetMode="External"/><Relationship Id="rId31" Type="http://schemas.openxmlformats.org/officeDocument/2006/relationships/hyperlink" Target="https://docs.aws.amazon.com/wellarchitected/latest/sustainability-pillar/user-behavior-patter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wellarchitected/latest/cost-optimization-pillar/cost-effective-resources.html" TargetMode="External"/><Relationship Id="rId14" Type="http://schemas.openxmlformats.org/officeDocument/2006/relationships/hyperlink" Target="https://docs.aws.amazon.com/wellarchitected/latest/reliability-pillar/foundations.html" TargetMode="External"/><Relationship Id="rId22" Type="http://schemas.openxmlformats.org/officeDocument/2006/relationships/hyperlink" Target="https://docs.aws.amazon.com/wellarchitected/latest/reliability-pillar/failure-management.html" TargetMode="External"/><Relationship Id="rId27" Type="http://schemas.openxmlformats.org/officeDocument/2006/relationships/hyperlink" Target="https://docs.aws.amazon.com/wellarchitected/latest/performance-efficiency-pillar/selection.html" TargetMode="External"/><Relationship Id="rId30" Type="http://schemas.openxmlformats.org/officeDocument/2006/relationships/hyperlink" Target="https://docs.aws.amazon.com/wellarchitected/latest/performance-efficiency-pillar/performance-architecture-selection.html" TargetMode="External"/><Relationship Id="rId35" Type="http://schemas.openxmlformats.org/officeDocument/2006/relationships/header" Target="header1.xml"/><Relationship Id="rId8" Type="http://schemas.openxmlformats.org/officeDocument/2006/relationships/hyperlink" Target="https://docs.aws.amazon.com/wellarchitected/latest/cost-optimization-pillar/cost-effective-resourc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Schejtman</dc:creator>
  <cp:keywords/>
  <dc:description/>
  <cp:lastModifiedBy>Microsoft Office User</cp:lastModifiedBy>
  <cp:revision>2</cp:revision>
  <dcterms:created xsi:type="dcterms:W3CDTF">2023-01-19T21:28:00Z</dcterms:created>
  <dcterms:modified xsi:type="dcterms:W3CDTF">2023-01-19T21:28:00Z</dcterms:modified>
</cp:coreProperties>
</file>